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92E4" w14:textId="77777777" w:rsidR="001A2CC0" w:rsidRDefault="001A2CC0" w:rsidP="001A2CC0">
      <w:pPr>
        <w:rPr>
          <w:b/>
          <w:bCs/>
          <w:sz w:val="24"/>
          <w:szCs w:val="24"/>
        </w:rPr>
      </w:pPr>
      <w:r w:rsidRPr="001A2CC0">
        <w:rPr>
          <w:b/>
          <w:bCs/>
          <w:sz w:val="24"/>
          <w:szCs w:val="24"/>
        </w:rPr>
        <w:t>Case Study: Inappropriate Use of Surveys</w:t>
      </w:r>
    </w:p>
    <w:p w14:paraId="5CC2CAC2" w14:textId="77777777" w:rsidR="00D318AF" w:rsidRPr="001A2CC0" w:rsidRDefault="00D318AF" w:rsidP="001A2CC0">
      <w:pPr>
        <w:rPr>
          <w:b/>
          <w:bCs/>
          <w:sz w:val="24"/>
          <w:szCs w:val="24"/>
        </w:rPr>
      </w:pPr>
    </w:p>
    <w:p w14:paraId="2683F08C" w14:textId="77777777" w:rsidR="001A2CC0" w:rsidRPr="001A2CC0" w:rsidRDefault="001A2CC0" w:rsidP="001A2CC0">
      <w:r w:rsidRPr="001A2CC0">
        <w:t>The 2018 Cambridge Analytica scandal represents one of the most notorious examples of surveys being used unethically for data exploitation. The company gained access to the personal data of more than 80 million Facebook users by means of seemingly harmless personality quizzes distributed through the platform (Confessore, 2018). Although only a few hundred thousand users completed the surveys, Facebook’s API at the time allowed the app to harvest data from each participant’s friends list, thereby collecting information from millions who had not consented. This data was then analysed to build psychographic profiles and used to target political advertising during the 2016 US presidential election and the Brexit referendum.</w:t>
      </w:r>
    </w:p>
    <w:p w14:paraId="2EAFFBC9" w14:textId="77777777" w:rsidR="001A2CC0" w:rsidRPr="001A2CC0" w:rsidRDefault="001A2CC0" w:rsidP="001A2CC0">
      <w:r w:rsidRPr="001A2CC0">
        <w:t>From an ethical standpoint, this behaviour violated fundamental principles of informed consent and transparency. Participants were misled about how their data would be used, contradicting the ACM Code of Ethics (2018), which requires computing professionals to “respect privacy” (Principle 1.6) and “avoid harm” (Principle 1.2). Professionally, it undermined trust in data science and social media research, illustrating how the pursuit of profit and influence can override integrity when governance is weak.</w:t>
      </w:r>
    </w:p>
    <w:p w14:paraId="305B0817" w14:textId="77777777" w:rsidR="001A2CC0" w:rsidRPr="001A2CC0" w:rsidRDefault="001A2CC0" w:rsidP="001A2CC0">
      <w:r w:rsidRPr="001A2CC0">
        <w:t xml:space="preserve">A similar example occurred in 2020 when </w:t>
      </w:r>
      <w:proofErr w:type="spellStart"/>
      <w:r w:rsidRPr="001A2CC0">
        <w:t>OKCupid</w:t>
      </w:r>
      <w:proofErr w:type="spellEnd"/>
      <w:r w:rsidRPr="001A2CC0">
        <w:t>, a dating platform, shared anonymised user survey data with academic researchers, who then released it publicly online. Although the dataset excluded usernames, it contained detailed personal information such as sexual orientation, political opinions, and drug use, making re-identification possible (Hern, 2016; Narayanan, 2020). While the intent was academic rather than political, the release breached user expectations of privacy and violated principles of data minimisation under the UK GDPR (Information Commissioner’s Office, 2023).</w:t>
      </w:r>
    </w:p>
    <w:p w14:paraId="2F522B6E" w14:textId="61EFADCD" w:rsidR="001A2CC0" w:rsidRPr="001A2CC0" w:rsidRDefault="001A2CC0" w:rsidP="001A2CC0">
      <w:r w:rsidRPr="001A2CC0">
        <w:t xml:space="preserve">The social impact of such incidents includes loss of public confidence in digital surveys and reduced willingness to participate in legitimate research. Legally, both cases </w:t>
      </w:r>
      <w:r w:rsidR="00D318AF" w:rsidRPr="00D318AF">
        <w:t xml:space="preserve">highlight the importance of robust consent mechanisms and effective </w:t>
      </w:r>
      <w:r w:rsidRPr="001A2CC0">
        <w:t>data governance frameworks. In the UK, the Data Protection Act 2018 enforces explicit consent and lawful processing, while the GDPR establishes strict accountability for data controllers and processors.</w:t>
      </w:r>
    </w:p>
    <w:p w14:paraId="7E58E2F7" w14:textId="7139D3CD" w:rsidR="001A2CC0" w:rsidRPr="001A2CC0" w:rsidRDefault="001A2CC0" w:rsidP="001A2CC0">
      <w:r w:rsidRPr="001A2CC0">
        <w:t xml:space="preserve">From a professional perspective, these cases </w:t>
      </w:r>
      <w:r w:rsidR="00D318AF" w:rsidRPr="00D318AF">
        <w:t>highlight the responsibility of IT and research professionals to act transparently, design ethically sound data collection</w:t>
      </w:r>
      <w:r w:rsidRPr="001A2CC0">
        <w:t xml:space="preserve"> systems, and ensure that research serves the public interest. As the BCS (2023) Code of Conduct emphasises, members must protect the privacy of individuals and maintain the profession’s reputation by adhering to high ethical standards. The misuse of surveys for hidden agendas or secondary exploitation represents a failure of both technical design and moral duty.</w:t>
      </w:r>
    </w:p>
    <w:p w14:paraId="33080CED" w14:textId="77777777" w:rsidR="001A2CC0" w:rsidRPr="001A2CC0" w:rsidRDefault="001A2CC0" w:rsidP="001A2CC0">
      <w:r w:rsidRPr="001A2CC0">
        <w:t xml:space="preserve">Ultimately, the Cambridge Analytica and </w:t>
      </w:r>
      <w:proofErr w:type="spellStart"/>
      <w:r w:rsidRPr="001A2CC0">
        <w:t>OKCupid</w:t>
      </w:r>
      <w:proofErr w:type="spellEnd"/>
      <w:r w:rsidRPr="001A2CC0">
        <w:t xml:space="preserve"> cases show that the line between data collection and data manipulation is easily crossed without ethical oversight. Upholding privacy, informed consent, and accountability remains essential to preserving trust in digital research.</w:t>
      </w:r>
    </w:p>
    <w:p w14:paraId="56E4A8DA" w14:textId="154FBD13" w:rsidR="001A2CC0" w:rsidRPr="001A2CC0" w:rsidRDefault="001A2CC0" w:rsidP="001A2CC0"/>
    <w:p w14:paraId="1D2E9B59" w14:textId="77777777" w:rsidR="001A2CC0" w:rsidRPr="001A2CC0" w:rsidRDefault="001A2CC0" w:rsidP="001A2CC0">
      <w:pPr>
        <w:rPr>
          <w:b/>
          <w:bCs/>
        </w:rPr>
      </w:pPr>
      <w:r w:rsidRPr="001A2CC0">
        <w:rPr>
          <w:b/>
          <w:bCs/>
        </w:rPr>
        <w:t>References</w:t>
      </w:r>
    </w:p>
    <w:p w14:paraId="200A6B3E" w14:textId="3BEA6FB0" w:rsidR="001A2CC0" w:rsidRPr="001A2CC0" w:rsidRDefault="001A2CC0" w:rsidP="001A2CC0">
      <w:r w:rsidRPr="001A2CC0">
        <w:t xml:space="preserve">ACM (2018) </w:t>
      </w:r>
      <w:r w:rsidRPr="001A2CC0">
        <w:rPr>
          <w:i/>
          <w:iCs/>
        </w:rPr>
        <w:t>ACM Code of Ethics and Professional Conduct.</w:t>
      </w:r>
      <w:r w:rsidRPr="001A2CC0">
        <w:t xml:space="preserve"> Association for Computing Machinery. </w:t>
      </w:r>
      <w:hyperlink r:id="rId4" w:tgtFrame="_new" w:history="1">
        <w:r w:rsidRPr="001A2CC0">
          <w:rPr>
            <w:rStyle w:val="Hyperlink"/>
          </w:rPr>
          <w:t>https://ethics.acm.org/code-of-ethics/</w:t>
        </w:r>
      </w:hyperlink>
      <w:r w:rsidRPr="001A2CC0">
        <w:br/>
        <w:t xml:space="preserve">BCS (2023) </w:t>
      </w:r>
      <w:r w:rsidRPr="001A2CC0">
        <w:rPr>
          <w:i/>
          <w:iCs/>
        </w:rPr>
        <w:t>Code of Conduct.</w:t>
      </w:r>
      <w:r w:rsidRPr="001A2CC0">
        <w:t xml:space="preserve"> The Chartered Institute for IT. </w:t>
      </w:r>
      <w:hyperlink r:id="rId5" w:tgtFrame="_new" w:history="1">
        <w:r w:rsidRPr="001A2CC0">
          <w:rPr>
            <w:rStyle w:val="Hyperlink"/>
          </w:rPr>
          <w:t>https://www.bcs.org/membership/become-a-member/bcs-code-of-conduct/</w:t>
        </w:r>
      </w:hyperlink>
      <w:r w:rsidRPr="001A2CC0">
        <w:br/>
        <w:t xml:space="preserve">Confessore, N. (2018) ‘Cambridge Analytica and Facebook: The scandal and the fallout so far’, </w:t>
      </w:r>
      <w:r w:rsidRPr="001A2CC0">
        <w:rPr>
          <w:i/>
          <w:iCs/>
        </w:rPr>
        <w:t>The New York Times,</w:t>
      </w:r>
      <w:r w:rsidRPr="001A2CC0">
        <w:t xml:space="preserve"> 4 April. </w:t>
      </w:r>
      <w:hyperlink r:id="rId6" w:history="1">
        <w:r w:rsidR="00D318AF" w:rsidRPr="001A2CC0">
          <w:rPr>
            <w:rStyle w:val="Hyperlink"/>
          </w:rPr>
          <w:t>https://www.nytimes.com/2018/04/04/us/politics/cambridge-analytica-scandal-fallout.html</w:t>
        </w:r>
      </w:hyperlink>
      <w:r w:rsidR="00D318AF">
        <w:t xml:space="preserve"> </w:t>
      </w:r>
      <w:r w:rsidRPr="001A2CC0">
        <w:br/>
        <w:t>Hern, A. (2016) ‘</w:t>
      </w:r>
      <w:proofErr w:type="spellStart"/>
      <w:r w:rsidRPr="001A2CC0">
        <w:t>OKCupid</w:t>
      </w:r>
      <w:proofErr w:type="spellEnd"/>
      <w:r w:rsidRPr="001A2CC0">
        <w:t xml:space="preserve"> study reveals the perils of big-data science’, </w:t>
      </w:r>
      <w:r w:rsidRPr="001A2CC0">
        <w:rPr>
          <w:i/>
          <w:iCs/>
        </w:rPr>
        <w:t>The Guardian,</w:t>
      </w:r>
      <w:r w:rsidRPr="001A2CC0">
        <w:t xml:space="preserve"> 12 May. </w:t>
      </w:r>
      <w:hyperlink r:id="rId7" w:history="1">
        <w:r w:rsidRPr="001A2CC0">
          <w:rPr>
            <w:rStyle w:val="Hyperlink"/>
          </w:rPr>
          <w:t>https://www.theguardian.com/technology/2016/may/12/okcupid-study-reveals-perils-of-sharing-intimate-data</w:t>
        </w:r>
      </w:hyperlink>
      <w:r>
        <w:t xml:space="preserve"> </w:t>
      </w:r>
      <w:r w:rsidRPr="001A2CC0">
        <w:br/>
        <w:t xml:space="preserve">Information Commissioner’s Office (2023) </w:t>
      </w:r>
      <w:r w:rsidRPr="001A2CC0">
        <w:rPr>
          <w:i/>
          <w:iCs/>
        </w:rPr>
        <w:t>Guide to the UK General Data Protection Regulation (UK GDPR).</w:t>
      </w:r>
      <w:r w:rsidRPr="001A2CC0">
        <w:t xml:space="preserve"> </w:t>
      </w:r>
      <w:hyperlink r:id="rId8" w:tgtFrame="_new" w:history="1">
        <w:r w:rsidRPr="001A2CC0">
          <w:rPr>
            <w:rStyle w:val="Hyperlink"/>
          </w:rPr>
          <w:t>https://ico.org.uk/for-organisations/uk-gdpr-guidance-and-resources/</w:t>
        </w:r>
      </w:hyperlink>
      <w:r w:rsidRPr="001A2CC0">
        <w:br/>
        <w:t xml:space="preserve">Narayanan, A. (2020) ‘The </w:t>
      </w:r>
      <w:proofErr w:type="spellStart"/>
      <w:r w:rsidRPr="001A2CC0">
        <w:t>OKCupid</w:t>
      </w:r>
      <w:proofErr w:type="spellEnd"/>
      <w:r w:rsidRPr="001A2CC0">
        <w:t xml:space="preserve"> dataset: A case study in research ethics’, </w:t>
      </w:r>
      <w:r w:rsidRPr="001A2CC0">
        <w:rPr>
          <w:i/>
          <w:iCs/>
        </w:rPr>
        <w:t>Freedom to Tinker.</w:t>
      </w:r>
      <w:r w:rsidRPr="001A2CC0">
        <w:t xml:space="preserve"> </w:t>
      </w:r>
      <w:hyperlink r:id="rId9" w:tgtFrame="_new" w:history="1">
        <w:r w:rsidRPr="001A2CC0">
          <w:rPr>
            <w:rStyle w:val="Hyperlink"/>
          </w:rPr>
          <w:t>https://www.cs.princeton.edu/~arvindn/fairness-ethics/</w:t>
        </w:r>
      </w:hyperlink>
    </w:p>
    <w:p w14:paraId="5F58DA94" w14:textId="77777777" w:rsidR="006C3575" w:rsidRDefault="006C3575"/>
    <w:sectPr w:rsidR="006C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4848"/>
    <w:rsid w:val="00027E06"/>
    <w:rsid w:val="001A2CC0"/>
    <w:rsid w:val="001B2CB6"/>
    <w:rsid w:val="0025726F"/>
    <w:rsid w:val="00276A1B"/>
    <w:rsid w:val="006C3575"/>
    <w:rsid w:val="009A4979"/>
    <w:rsid w:val="00C54848"/>
    <w:rsid w:val="00D318AF"/>
    <w:rsid w:val="00F813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EED11"/>
  <w15:chartTrackingRefBased/>
  <w15:docId w15:val="{2F08F725-FC14-4273-827F-F926A752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848"/>
    <w:rPr>
      <w:rFonts w:eastAsiaTheme="majorEastAsia" w:cstheme="majorBidi"/>
      <w:color w:val="272727" w:themeColor="text1" w:themeTint="D8"/>
    </w:rPr>
  </w:style>
  <w:style w:type="paragraph" w:styleId="Title">
    <w:name w:val="Title"/>
    <w:basedOn w:val="Normal"/>
    <w:next w:val="Normal"/>
    <w:link w:val="TitleChar"/>
    <w:uiPriority w:val="10"/>
    <w:qFormat/>
    <w:rsid w:val="00C5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848"/>
    <w:pPr>
      <w:spacing w:before="160"/>
      <w:jc w:val="center"/>
    </w:pPr>
    <w:rPr>
      <w:i/>
      <w:iCs/>
      <w:color w:val="404040" w:themeColor="text1" w:themeTint="BF"/>
    </w:rPr>
  </w:style>
  <w:style w:type="character" w:customStyle="1" w:styleId="QuoteChar">
    <w:name w:val="Quote Char"/>
    <w:basedOn w:val="DefaultParagraphFont"/>
    <w:link w:val="Quote"/>
    <w:uiPriority w:val="29"/>
    <w:rsid w:val="00C54848"/>
    <w:rPr>
      <w:i/>
      <w:iCs/>
      <w:color w:val="404040" w:themeColor="text1" w:themeTint="BF"/>
    </w:rPr>
  </w:style>
  <w:style w:type="paragraph" w:styleId="ListParagraph">
    <w:name w:val="List Paragraph"/>
    <w:basedOn w:val="Normal"/>
    <w:uiPriority w:val="34"/>
    <w:qFormat/>
    <w:rsid w:val="00C54848"/>
    <w:pPr>
      <w:ind w:left="720"/>
      <w:contextualSpacing/>
    </w:pPr>
  </w:style>
  <w:style w:type="character" w:styleId="IntenseEmphasis">
    <w:name w:val="Intense Emphasis"/>
    <w:basedOn w:val="DefaultParagraphFont"/>
    <w:uiPriority w:val="21"/>
    <w:qFormat/>
    <w:rsid w:val="00C54848"/>
    <w:rPr>
      <w:i/>
      <w:iCs/>
      <w:color w:val="2F5496" w:themeColor="accent1" w:themeShade="BF"/>
    </w:rPr>
  </w:style>
  <w:style w:type="paragraph" w:styleId="IntenseQuote">
    <w:name w:val="Intense Quote"/>
    <w:basedOn w:val="Normal"/>
    <w:next w:val="Normal"/>
    <w:link w:val="IntenseQuoteChar"/>
    <w:uiPriority w:val="30"/>
    <w:qFormat/>
    <w:rsid w:val="00C54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848"/>
    <w:rPr>
      <w:i/>
      <w:iCs/>
      <w:color w:val="2F5496" w:themeColor="accent1" w:themeShade="BF"/>
    </w:rPr>
  </w:style>
  <w:style w:type="character" w:styleId="IntenseReference">
    <w:name w:val="Intense Reference"/>
    <w:basedOn w:val="DefaultParagraphFont"/>
    <w:uiPriority w:val="32"/>
    <w:qFormat/>
    <w:rsid w:val="00C54848"/>
    <w:rPr>
      <w:b/>
      <w:bCs/>
      <w:smallCaps/>
      <w:color w:val="2F5496" w:themeColor="accent1" w:themeShade="BF"/>
      <w:spacing w:val="5"/>
    </w:rPr>
  </w:style>
  <w:style w:type="character" w:styleId="Hyperlink">
    <w:name w:val="Hyperlink"/>
    <w:basedOn w:val="DefaultParagraphFont"/>
    <w:uiPriority w:val="99"/>
    <w:unhideWhenUsed/>
    <w:rsid w:val="001A2CC0"/>
    <w:rPr>
      <w:color w:val="0563C1" w:themeColor="hyperlink"/>
      <w:u w:val="single"/>
    </w:rPr>
  </w:style>
  <w:style w:type="character" w:styleId="UnresolvedMention">
    <w:name w:val="Unresolved Mention"/>
    <w:basedOn w:val="DefaultParagraphFont"/>
    <w:uiPriority w:val="99"/>
    <w:semiHidden/>
    <w:unhideWhenUsed/>
    <w:rsid w:val="001A2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uk-gdpr-guidance-and-resources/?utm_source=chatgpt.com" TargetMode="External"/><Relationship Id="rId3" Type="http://schemas.openxmlformats.org/officeDocument/2006/relationships/webSettings" Target="webSettings.xml"/><Relationship Id="rId7" Type="http://schemas.openxmlformats.org/officeDocument/2006/relationships/hyperlink" Target="https://www.theguardian.com/technology/2016/may/12/okcupid-study-reveals-perils-of-sharing-intimate-da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ytimes.com/2018/04/04/us/politics/cambridge-analytica-scandal-fallout.html" TargetMode="External"/><Relationship Id="rId11" Type="http://schemas.openxmlformats.org/officeDocument/2006/relationships/theme" Target="theme/theme1.xml"/><Relationship Id="rId5" Type="http://schemas.openxmlformats.org/officeDocument/2006/relationships/hyperlink" Target="https://www.bcs.org/membership/become-a-member/bcs-code-of-conduct/" TargetMode="External"/><Relationship Id="rId10" Type="http://schemas.openxmlformats.org/officeDocument/2006/relationships/fontTable" Target="fontTable.xml"/><Relationship Id="rId4" Type="http://schemas.openxmlformats.org/officeDocument/2006/relationships/hyperlink" Target="https://ethics.acm.org/code-of-ethics/" TargetMode="External"/><Relationship Id="rId9" Type="http://schemas.openxmlformats.org/officeDocument/2006/relationships/hyperlink" Target="https://www.cs.princeton.edu/~arvindn/fairness-eth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612</Words>
  <Characters>4119</Characters>
  <Application>Microsoft Office Word</Application>
  <DocSecurity>0</DocSecurity>
  <Lines>60</Lines>
  <Paragraphs>11</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Mustafa</dc:creator>
  <cp:keywords/>
  <dc:description/>
  <cp:lastModifiedBy>Hussein, Mustafa</cp:lastModifiedBy>
  <cp:revision>3</cp:revision>
  <dcterms:created xsi:type="dcterms:W3CDTF">2025-11-23T19:47:00Z</dcterms:created>
  <dcterms:modified xsi:type="dcterms:W3CDTF">2025-11-23T19:49:00Z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ec518b0c-ddfa-419e-b040-221868c830d4</vt:lpwstr>
  </property>
</Properties>
</file>