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AB6E" w14:textId="2E54A0AD" w:rsidR="00A3419A" w:rsidRPr="00A3419A" w:rsidRDefault="00A3419A" w:rsidP="00A3419A">
      <w:pPr>
        <w:rPr>
          <w:b/>
          <w:bCs/>
        </w:rPr>
      </w:pPr>
      <w:r w:rsidRPr="00A3419A">
        <w:rPr>
          <w:b/>
          <w:bCs/>
        </w:rPr>
        <w:t xml:space="preserve">Summary Post </w:t>
      </w:r>
    </w:p>
    <w:p w14:paraId="43BA6DD5" w14:textId="7DB39C1D" w:rsidR="00A3419A" w:rsidRPr="00A3419A" w:rsidRDefault="00A3419A" w:rsidP="00A3419A">
      <w:r w:rsidRPr="00A3419A">
        <w:t xml:space="preserve">Reflecting on my initial analysis of the </w:t>
      </w:r>
      <w:r w:rsidRPr="00A3419A">
        <w:rPr>
          <w:i/>
          <w:iCs/>
        </w:rPr>
        <w:t>ACM Abusive Workplace Behaviour</w:t>
      </w:r>
      <w:r w:rsidRPr="00A3419A">
        <w:t xml:space="preserve"> case and the constructive insights from peers, I now view ethical leadership and organisational culture as inseparable from professional computing practice. My original post centred on breaches of ACM Principles 1.2, 1.4</w:t>
      </w:r>
      <w:r w:rsidR="00AB3C19">
        <w:t>, and 1.5, as well as</w:t>
      </w:r>
      <w:r w:rsidRPr="00A3419A">
        <w:t xml:space="preserve"> the BCS Code of Conduct’s expectations of fairness and respect. The peer feedback broadened this by showing how ethical misconduct undermines not only individual </w:t>
      </w:r>
      <w:r w:rsidR="00AB3C19">
        <w:t>well-being</w:t>
      </w:r>
      <w:r w:rsidRPr="00A3419A">
        <w:t xml:space="preserve"> but also team performance and public confidence.</w:t>
      </w:r>
    </w:p>
    <w:p w14:paraId="62145A2C" w14:textId="51DF512C" w:rsidR="00A3419A" w:rsidRPr="00A3419A" w:rsidRDefault="00A3419A" w:rsidP="00A3419A">
      <w:r w:rsidRPr="00A3419A">
        <w:t>Abdulla’s contribution highlighted the psychological harm caused by intimidation and linked ethical failings directly to leadership obligations within ACM Principle 3.1 (</w:t>
      </w:r>
      <w:proofErr w:type="spellStart"/>
      <w:r w:rsidRPr="00A3419A">
        <w:t>Gotterbarn</w:t>
      </w:r>
      <w:proofErr w:type="spellEnd"/>
      <w:r w:rsidRPr="00A3419A">
        <w:t xml:space="preserve"> et al., 2019). James refined my understanding of the legal context, noting that persistent bullying—while not always discriminatory</w:t>
      </w:r>
      <w:r w:rsidR="00AB3C19">
        <w:t xml:space="preserve">, </w:t>
      </w:r>
      <w:r w:rsidRPr="00A3419A">
        <w:t>can still breach an employer’s duty of care and professional integrity (Pollini, 2022). Jordan added that workplace bullying generates measurable organisational risk through absenteeism and reputational damage (Kwan et al., 2020). Together, these views confirmed that governance, empathy and accountability are integral to sustainable digital workplaces.</w:t>
      </w:r>
    </w:p>
    <w:p w14:paraId="41D42300" w14:textId="58CD0BC8" w:rsidR="00A3419A" w:rsidRPr="00A3419A" w:rsidRDefault="00A3419A" w:rsidP="00A3419A">
      <w:r w:rsidRPr="00A3419A">
        <w:t xml:space="preserve">Overall, the discussion reaffirmed that computing ethics extend beyond technical skill. Professional conduct </w:t>
      </w:r>
      <w:r w:rsidR="00AB3C19">
        <w:t>requires an active commitment to respect, inclusion,</w:t>
      </w:r>
      <w:r w:rsidRPr="00A3419A">
        <w:t xml:space="preserve"> and transparency. Upholding the ACM (2018) and BCS (2023) codes in daily practice means ensuring that ethical values are not only written policies but lived behaviours that safeguard both people and the profession.</w:t>
      </w:r>
    </w:p>
    <w:p w14:paraId="024F88C0" w14:textId="41F9013E" w:rsidR="00A3419A" w:rsidRPr="00A3419A" w:rsidRDefault="00A3419A" w:rsidP="00A3419A"/>
    <w:p w14:paraId="403DE7BF" w14:textId="77777777" w:rsidR="00A3419A" w:rsidRPr="00A3419A" w:rsidRDefault="00A3419A" w:rsidP="00A3419A">
      <w:pPr>
        <w:rPr>
          <w:b/>
          <w:bCs/>
        </w:rPr>
      </w:pPr>
      <w:r w:rsidRPr="00A3419A">
        <w:rPr>
          <w:b/>
          <w:bCs/>
        </w:rPr>
        <w:t>References</w:t>
      </w:r>
    </w:p>
    <w:p w14:paraId="21F0547F" w14:textId="372AC610" w:rsidR="00A3419A" w:rsidRPr="00A3419A" w:rsidRDefault="00A3419A" w:rsidP="00A3419A">
      <w:r w:rsidRPr="00A3419A">
        <w:t xml:space="preserve">ACM (2018) </w:t>
      </w:r>
      <w:r w:rsidRPr="00A3419A">
        <w:rPr>
          <w:i/>
          <w:iCs/>
        </w:rPr>
        <w:t>ACM Code of Ethics and Professional Conduct.</w:t>
      </w:r>
      <w:r w:rsidRPr="00A3419A">
        <w:t xml:space="preserve"> Association for Computing Machinery. </w:t>
      </w:r>
      <w:hyperlink r:id="rId4" w:tgtFrame="_new" w:history="1">
        <w:r w:rsidRPr="00A3419A">
          <w:rPr>
            <w:rStyle w:val="Hyperlink"/>
          </w:rPr>
          <w:t>https://ethics.acm.org/code-of-ethics/</w:t>
        </w:r>
      </w:hyperlink>
      <w:r w:rsidRPr="00A3419A">
        <w:br/>
        <w:t xml:space="preserve">BCS (2023) </w:t>
      </w:r>
      <w:r w:rsidRPr="00A3419A">
        <w:rPr>
          <w:i/>
          <w:iCs/>
        </w:rPr>
        <w:t>Code of Conduct.</w:t>
      </w:r>
      <w:r w:rsidRPr="00A3419A">
        <w:t xml:space="preserve"> The Chartered Institute for IT. </w:t>
      </w:r>
      <w:hyperlink r:id="rId5" w:tgtFrame="_new" w:history="1">
        <w:r w:rsidRPr="00A3419A">
          <w:rPr>
            <w:rStyle w:val="Hyperlink"/>
          </w:rPr>
          <w:t>https://www.bcs.org/membership/become-a-member/bcs-code-of-conduct/</w:t>
        </w:r>
      </w:hyperlink>
      <w:r w:rsidRPr="00A3419A">
        <w:br/>
      </w:r>
      <w:proofErr w:type="spellStart"/>
      <w:r w:rsidRPr="00A3419A">
        <w:t>Gotterbarn</w:t>
      </w:r>
      <w:proofErr w:type="spellEnd"/>
      <w:r w:rsidRPr="00A3419A">
        <w:t xml:space="preserve">, D., Miller, K. and Rogerson, S. (2019) ‘Professional ethics in computing: ACM’s revised Code of Ethics’, </w:t>
      </w:r>
      <w:r w:rsidRPr="00A3419A">
        <w:rPr>
          <w:i/>
          <w:iCs/>
        </w:rPr>
        <w:t>Communications of the ACM,</w:t>
      </w:r>
      <w:r w:rsidRPr="00A3419A">
        <w:t xml:space="preserve"> 62(12), pp. 19–25. </w:t>
      </w:r>
      <w:hyperlink r:id="rId6" w:tgtFrame="_new" w:history="1">
        <w:r w:rsidRPr="00A3419A">
          <w:rPr>
            <w:rStyle w:val="Hyperlink"/>
          </w:rPr>
          <w:t>https://dl.acm.org/doi/10.1145/3339904</w:t>
        </w:r>
      </w:hyperlink>
      <w:r w:rsidRPr="00A3419A">
        <w:br/>
        <w:t xml:space="preserve">Kwan, S.S.M., Tuckey, M.R. and Dollard, M.F. (2020) ‘The importance of psychosocial safety climate for workplace bullying’, </w:t>
      </w:r>
      <w:r w:rsidRPr="00A3419A">
        <w:rPr>
          <w:i/>
          <w:iCs/>
        </w:rPr>
        <w:t>International Journal of Environmental Research and Public Health,</w:t>
      </w:r>
      <w:r w:rsidRPr="00A3419A">
        <w:t xml:space="preserve"> 17(11), p. 4131. </w:t>
      </w:r>
      <w:hyperlink r:id="rId7" w:history="1">
        <w:r w:rsidRPr="00A3419A">
          <w:rPr>
            <w:rStyle w:val="Hyperlink"/>
          </w:rPr>
          <w:t>https://doi.org/10.3390/ijerph17114131</w:t>
        </w:r>
      </w:hyperlink>
      <w:r>
        <w:t xml:space="preserve"> </w:t>
      </w:r>
      <w:r w:rsidRPr="00A3419A">
        <w:br/>
        <w:t xml:space="preserve">Pollini, G. (2022) ‘Ethics and self-regulation in computing professions’, </w:t>
      </w:r>
      <w:r w:rsidRPr="00A3419A">
        <w:rPr>
          <w:i/>
          <w:iCs/>
        </w:rPr>
        <w:t>Journal of Information, Communication and Ethics in Society,</w:t>
      </w:r>
      <w:r w:rsidRPr="00A3419A">
        <w:t xml:space="preserve"> 20(4), pp. 567–582. </w:t>
      </w:r>
      <w:hyperlink r:id="rId8" w:tgtFrame="_new" w:history="1">
        <w:r w:rsidRPr="00A3419A">
          <w:rPr>
            <w:rStyle w:val="Hyperlink"/>
          </w:rPr>
          <w:t>https://www.emerald.com/insight/content/doi/10.1108/JICES-05-2021-0051/full/html</w:t>
        </w:r>
      </w:hyperlink>
    </w:p>
    <w:p w14:paraId="3B312A75" w14:textId="77777777" w:rsidR="006C3575" w:rsidRPr="00A3419A" w:rsidRDefault="006C3575"/>
    <w:sectPr w:rsidR="006C3575" w:rsidRPr="00A34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510D8"/>
    <w:rsid w:val="001B2CB6"/>
    <w:rsid w:val="0025726F"/>
    <w:rsid w:val="00276A1B"/>
    <w:rsid w:val="002C706C"/>
    <w:rsid w:val="003510D8"/>
    <w:rsid w:val="0052632F"/>
    <w:rsid w:val="006C3575"/>
    <w:rsid w:val="009A4979"/>
    <w:rsid w:val="00A3419A"/>
    <w:rsid w:val="00AB3C19"/>
    <w:rsid w:val="00C1552E"/>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87C41"/>
  <w15:chartTrackingRefBased/>
  <w15:docId w15:val="{8CEEE6C7-9666-4B15-BD5C-5A7CC12C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0D8"/>
    <w:rPr>
      <w:rFonts w:eastAsiaTheme="majorEastAsia" w:cstheme="majorBidi"/>
      <w:color w:val="272727" w:themeColor="text1" w:themeTint="D8"/>
    </w:rPr>
  </w:style>
  <w:style w:type="paragraph" w:styleId="Title">
    <w:name w:val="Title"/>
    <w:basedOn w:val="Normal"/>
    <w:next w:val="Normal"/>
    <w:link w:val="TitleChar"/>
    <w:uiPriority w:val="10"/>
    <w:qFormat/>
    <w:rsid w:val="00351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0D8"/>
    <w:pPr>
      <w:spacing w:before="160"/>
      <w:jc w:val="center"/>
    </w:pPr>
    <w:rPr>
      <w:i/>
      <w:iCs/>
      <w:color w:val="404040" w:themeColor="text1" w:themeTint="BF"/>
    </w:rPr>
  </w:style>
  <w:style w:type="character" w:customStyle="1" w:styleId="QuoteChar">
    <w:name w:val="Quote Char"/>
    <w:basedOn w:val="DefaultParagraphFont"/>
    <w:link w:val="Quote"/>
    <w:uiPriority w:val="29"/>
    <w:rsid w:val="003510D8"/>
    <w:rPr>
      <w:i/>
      <w:iCs/>
      <w:color w:val="404040" w:themeColor="text1" w:themeTint="BF"/>
    </w:rPr>
  </w:style>
  <w:style w:type="paragraph" w:styleId="ListParagraph">
    <w:name w:val="List Paragraph"/>
    <w:basedOn w:val="Normal"/>
    <w:uiPriority w:val="34"/>
    <w:qFormat/>
    <w:rsid w:val="003510D8"/>
    <w:pPr>
      <w:ind w:left="720"/>
      <w:contextualSpacing/>
    </w:pPr>
  </w:style>
  <w:style w:type="character" w:styleId="IntenseEmphasis">
    <w:name w:val="Intense Emphasis"/>
    <w:basedOn w:val="DefaultParagraphFont"/>
    <w:uiPriority w:val="21"/>
    <w:qFormat/>
    <w:rsid w:val="003510D8"/>
    <w:rPr>
      <w:i/>
      <w:iCs/>
      <w:color w:val="2F5496" w:themeColor="accent1" w:themeShade="BF"/>
    </w:rPr>
  </w:style>
  <w:style w:type="paragraph" w:styleId="IntenseQuote">
    <w:name w:val="Intense Quote"/>
    <w:basedOn w:val="Normal"/>
    <w:next w:val="Normal"/>
    <w:link w:val="IntenseQuoteChar"/>
    <w:uiPriority w:val="30"/>
    <w:qFormat/>
    <w:rsid w:val="00351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0D8"/>
    <w:rPr>
      <w:i/>
      <w:iCs/>
      <w:color w:val="2F5496" w:themeColor="accent1" w:themeShade="BF"/>
    </w:rPr>
  </w:style>
  <w:style w:type="character" w:styleId="IntenseReference">
    <w:name w:val="Intense Reference"/>
    <w:basedOn w:val="DefaultParagraphFont"/>
    <w:uiPriority w:val="32"/>
    <w:qFormat/>
    <w:rsid w:val="003510D8"/>
    <w:rPr>
      <w:b/>
      <w:bCs/>
      <w:smallCaps/>
      <w:color w:val="2F5496" w:themeColor="accent1" w:themeShade="BF"/>
      <w:spacing w:val="5"/>
    </w:rPr>
  </w:style>
  <w:style w:type="character" w:styleId="Hyperlink">
    <w:name w:val="Hyperlink"/>
    <w:basedOn w:val="DefaultParagraphFont"/>
    <w:uiPriority w:val="99"/>
    <w:unhideWhenUsed/>
    <w:rsid w:val="00C1552E"/>
    <w:rPr>
      <w:color w:val="0563C1" w:themeColor="hyperlink"/>
      <w:u w:val="single"/>
    </w:rPr>
  </w:style>
  <w:style w:type="character" w:styleId="UnresolvedMention">
    <w:name w:val="Unresolved Mention"/>
    <w:basedOn w:val="DefaultParagraphFont"/>
    <w:uiPriority w:val="99"/>
    <w:semiHidden/>
    <w:unhideWhenUsed/>
    <w:rsid w:val="00C15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ald.com/insight/content/doi/10.1108/JICES-05-2021-0051/full/html" TargetMode="External"/><Relationship Id="rId3" Type="http://schemas.openxmlformats.org/officeDocument/2006/relationships/webSettings" Target="webSettings.xml"/><Relationship Id="rId7" Type="http://schemas.openxmlformats.org/officeDocument/2006/relationships/hyperlink" Target="https://doi.org/10.3390/ijerph1711413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l.acm.org/doi/10.1145/3339904" TargetMode="External"/><Relationship Id="rId5" Type="http://schemas.openxmlformats.org/officeDocument/2006/relationships/hyperlink" Target="https://www.bcs.org/membership/become-a-member/bcs-code-of-conduct/" TargetMode="External"/><Relationship Id="rId10" Type="http://schemas.openxmlformats.org/officeDocument/2006/relationships/theme" Target="theme/theme1.xml"/><Relationship Id="rId4" Type="http://schemas.openxmlformats.org/officeDocument/2006/relationships/hyperlink" Target="https://ethics.acm.org/code-of-ethic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372</Words>
  <Characters>2564</Characters>
  <Application>Microsoft Office Word</Application>
  <DocSecurity>0</DocSecurity>
  <Lines>37</Lines>
  <Paragraphs>7</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5</cp:revision>
  <dcterms:created xsi:type="dcterms:W3CDTF">2025-11-08T10:22:00Z</dcterms:created>
  <dcterms:modified xsi:type="dcterms:W3CDTF">2025-11-08T10:26:00Z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5da3b07d-1fac-4263-b278-f18d65319552</vt:lpwstr>
  </property>
</Properties>
</file>