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3C363" w14:textId="39150A9B" w:rsidR="00EE3CD7" w:rsidRDefault="00EE3CD7" w:rsidP="00EE3CD7">
      <w:pPr>
        <w:rPr>
          <w:b/>
          <w:bCs/>
        </w:rPr>
      </w:pPr>
      <w:r w:rsidRPr="00EE3CD7">
        <w:br/>
      </w:r>
      <w:r w:rsidRPr="00EE3CD7">
        <w:rPr>
          <w:b/>
          <w:bCs/>
        </w:rPr>
        <w:t>Initial Post – ACM Case Study Analysis: Abusive Workplace Behaviour</w:t>
      </w:r>
    </w:p>
    <w:p w14:paraId="23B32E78" w14:textId="77777777" w:rsidR="00EE3CD7" w:rsidRPr="00EE3CD7" w:rsidRDefault="00EE3CD7" w:rsidP="00EE3CD7">
      <w:pPr>
        <w:rPr>
          <w:b/>
          <w:bCs/>
        </w:rPr>
      </w:pPr>
    </w:p>
    <w:p w14:paraId="68EA32E1" w14:textId="1D92159C" w:rsidR="00EE3CD7" w:rsidRPr="00EE3CD7" w:rsidRDefault="00EE3CD7" w:rsidP="00EE3CD7">
      <w:r w:rsidRPr="00EE3CD7">
        <w:t>The ACM Abusive Workplace Behaviour case study describes a senior computing professional who persistently intimidates and belittles junior colleagues. While this person’s technical output meets expectations, their behaviour creates a damaging atmosphere that undermines confidence, teamwork, and overall wellbeing.</w:t>
      </w:r>
    </w:p>
    <w:p w14:paraId="7BAEE10A" w14:textId="77777777" w:rsidR="00EE3CD7" w:rsidRPr="00EE3CD7" w:rsidRDefault="00EE3CD7" w:rsidP="00EE3CD7">
      <w:r w:rsidRPr="00EE3CD7">
        <w:t>Looking at this through the ACM Code of Ethics, the situation clearly breaches several key principles. Principle 1.2, </w:t>
      </w:r>
      <w:r w:rsidRPr="00EE3CD7">
        <w:rPr>
          <w:i/>
          <w:iCs/>
        </w:rPr>
        <w:t>Avoid harm</w:t>
      </w:r>
      <w:r w:rsidRPr="00EE3CD7">
        <w:t>, is not limited to technical errors but extends to emotional and psychological safety (ACM, 2018). Principles 1.4 and 1.5, which call for fairness, respect, and acknowledgment of others’ work, are also relevant. The senior employee’s conduct falls far short of these standards, showing a lack of empathy and professional responsibility.</w:t>
      </w:r>
    </w:p>
    <w:p w14:paraId="7EFC2DC5" w14:textId="77777777" w:rsidR="00EE3CD7" w:rsidRPr="00EE3CD7" w:rsidRDefault="00EE3CD7" w:rsidP="00EE3CD7">
      <w:r w:rsidRPr="00EE3CD7">
        <w:t>The British Computer Society (BCS) Code of Conduct takes a similar stance. Section 1 asks members to “have due regard for public interest”, and Section 2 requires that all people are treated “fairly and without discrimination” (BCS, 2021). The BCS also links ethical behaviour directly to professional credibility, reminding members that integrity and respect are essential to maintaining trust in the profession.</w:t>
      </w:r>
    </w:p>
    <w:p w14:paraId="2B74E98F" w14:textId="77777777" w:rsidR="00EE3CD7" w:rsidRPr="00EE3CD7" w:rsidRDefault="00EE3CD7" w:rsidP="00EE3CD7">
      <w:r w:rsidRPr="00EE3CD7">
        <w:t>From a legal viewpoint, repeated workplace abuse could amount to harassment under the </w:t>
      </w:r>
      <w:r w:rsidRPr="00EE3CD7">
        <w:rPr>
          <w:i/>
          <w:iCs/>
        </w:rPr>
        <w:t>Equality Act 2010</w:t>
      </w:r>
      <w:r w:rsidRPr="00EE3CD7">
        <w:t>, which protects individuals from unfair treatment and hostile environments. Socially, this kind of behaviour damages inclusivity, discourages collaboration, and can harm an organisation’s reputation. Professionally, it erodes ethical culture and violates the duty of care computing professionals owe to colleagues and clients alike.</w:t>
      </w:r>
    </w:p>
    <w:p w14:paraId="3F30EAB1" w14:textId="77777777" w:rsidR="00EE3CD7" w:rsidRPr="00EE3CD7" w:rsidRDefault="00EE3CD7" w:rsidP="00EE3CD7">
      <w:r w:rsidRPr="00EE3CD7">
        <w:t>In short, both the ACM and BCS frameworks make it clear that professionalism goes well beyond technical skill. Upholding respect, fairness, and kindness is part of what defines ethical computing practice. Tackling abusive behaviour is therefore not optional—it is a vital part of maintaining integrity, trust, and a healthy workplace culture.</w:t>
      </w:r>
    </w:p>
    <w:p w14:paraId="52A856AD" w14:textId="77777777" w:rsidR="00EE3CD7" w:rsidRPr="00EE3CD7" w:rsidRDefault="00EE3CD7" w:rsidP="00EE3CD7">
      <w:r w:rsidRPr="00EE3CD7">
        <w:t> </w:t>
      </w:r>
    </w:p>
    <w:p w14:paraId="1F12048A" w14:textId="77777777" w:rsidR="00EE3CD7" w:rsidRPr="00EE3CD7" w:rsidRDefault="00EE3CD7" w:rsidP="00EE3CD7">
      <w:r w:rsidRPr="00EE3CD7">
        <w:rPr>
          <w:b/>
          <w:bCs/>
        </w:rPr>
        <w:t>References</w:t>
      </w:r>
    </w:p>
    <w:p w14:paraId="1144E5DF" w14:textId="77777777" w:rsidR="00EE3CD7" w:rsidRPr="00EE3CD7" w:rsidRDefault="00EE3CD7" w:rsidP="00EE3CD7">
      <w:r w:rsidRPr="00EE3CD7">
        <w:t>ACM (2018) </w:t>
      </w:r>
      <w:r w:rsidRPr="00EE3CD7">
        <w:rPr>
          <w:i/>
          <w:iCs/>
        </w:rPr>
        <w:t>ACM Code of Ethics and Professional Conduct.</w:t>
      </w:r>
      <w:r w:rsidRPr="00EE3CD7">
        <w:t> Association for Computing Machinery. Available at: </w:t>
      </w:r>
      <w:hyperlink r:id="rId4" w:history="1">
        <w:r w:rsidRPr="00EE3CD7">
          <w:rPr>
            <w:rStyle w:val="Hyperlink"/>
            <w:b/>
            <w:bCs/>
          </w:rPr>
          <w:t>https://ethics.acm.org/code-of-ethics/</w:t>
        </w:r>
      </w:hyperlink>
    </w:p>
    <w:p w14:paraId="1B335748" w14:textId="77777777" w:rsidR="00EE3CD7" w:rsidRPr="00EE3CD7" w:rsidRDefault="00EE3CD7" w:rsidP="00EE3CD7">
      <w:r w:rsidRPr="00EE3CD7">
        <w:t>BCS (2021) </w:t>
      </w:r>
      <w:r w:rsidRPr="00EE3CD7">
        <w:rPr>
          <w:i/>
          <w:iCs/>
        </w:rPr>
        <w:t>Code of Conduct.</w:t>
      </w:r>
      <w:r w:rsidRPr="00EE3CD7">
        <w:t> The Chartered Institute for IT. Available at: </w:t>
      </w:r>
      <w:hyperlink r:id="rId5" w:history="1">
        <w:r w:rsidRPr="00EE3CD7">
          <w:rPr>
            <w:rStyle w:val="Hyperlink"/>
            <w:b/>
            <w:bCs/>
          </w:rPr>
          <w:t>https://www.bcs.org/membership/become-a-member/bcs-code-of-conduct/</w:t>
        </w:r>
      </w:hyperlink>
    </w:p>
    <w:p w14:paraId="1BA832A2" w14:textId="77777777" w:rsidR="00EE3CD7" w:rsidRPr="00EE3CD7" w:rsidRDefault="00EE3CD7" w:rsidP="00EE3CD7">
      <w:r w:rsidRPr="00EE3CD7">
        <w:t>Equality Act 2010 (UK) </w:t>
      </w:r>
      <w:r w:rsidRPr="00EE3CD7">
        <w:rPr>
          <w:i/>
          <w:iCs/>
        </w:rPr>
        <w:t>Legislation.gov.uk.</w:t>
      </w:r>
      <w:r w:rsidRPr="00EE3CD7">
        <w:t> Available at: </w:t>
      </w:r>
      <w:hyperlink r:id="rId6" w:history="1">
        <w:r w:rsidRPr="00EE3CD7">
          <w:rPr>
            <w:rStyle w:val="Hyperlink"/>
            <w:b/>
            <w:bCs/>
          </w:rPr>
          <w:t>https://www.legislation.gov.uk/ukpga/2010/15/contents</w:t>
        </w:r>
      </w:hyperlink>
    </w:p>
    <w:p w14:paraId="5FBB77A1" w14:textId="77777777" w:rsidR="006C3575" w:rsidRDefault="006C3575"/>
    <w:sectPr w:rsidR="006C35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84FC8"/>
    <w:rsid w:val="00027E06"/>
    <w:rsid w:val="001B2CB6"/>
    <w:rsid w:val="0025726F"/>
    <w:rsid w:val="00276A1B"/>
    <w:rsid w:val="006C3575"/>
    <w:rsid w:val="009A4979"/>
    <w:rsid w:val="00E84FC8"/>
    <w:rsid w:val="00EE3CD7"/>
    <w:rsid w:val="00F813B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401697"/>
  <w15:chartTrackingRefBased/>
  <w15:docId w15:val="{FBAC17F7-4E8C-4271-9BA7-CFA67EE85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4F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4F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84F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4F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4F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4F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4F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4F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4F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4F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4F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84F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4F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4F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4F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4F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4F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4FC8"/>
    <w:rPr>
      <w:rFonts w:eastAsiaTheme="majorEastAsia" w:cstheme="majorBidi"/>
      <w:color w:val="272727" w:themeColor="text1" w:themeTint="D8"/>
    </w:rPr>
  </w:style>
  <w:style w:type="paragraph" w:styleId="Title">
    <w:name w:val="Title"/>
    <w:basedOn w:val="Normal"/>
    <w:next w:val="Normal"/>
    <w:link w:val="TitleChar"/>
    <w:uiPriority w:val="10"/>
    <w:qFormat/>
    <w:rsid w:val="00E84F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4F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4F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4F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4FC8"/>
    <w:pPr>
      <w:spacing w:before="160"/>
      <w:jc w:val="center"/>
    </w:pPr>
    <w:rPr>
      <w:i/>
      <w:iCs/>
      <w:color w:val="404040" w:themeColor="text1" w:themeTint="BF"/>
    </w:rPr>
  </w:style>
  <w:style w:type="character" w:customStyle="1" w:styleId="QuoteChar">
    <w:name w:val="Quote Char"/>
    <w:basedOn w:val="DefaultParagraphFont"/>
    <w:link w:val="Quote"/>
    <w:uiPriority w:val="29"/>
    <w:rsid w:val="00E84FC8"/>
    <w:rPr>
      <w:i/>
      <w:iCs/>
      <w:color w:val="404040" w:themeColor="text1" w:themeTint="BF"/>
    </w:rPr>
  </w:style>
  <w:style w:type="paragraph" w:styleId="ListParagraph">
    <w:name w:val="List Paragraph"/>
    <w:basedOn w:val="Normal"/>
    <w:uiPriority w:val="34"/>
    <w:qFormat/>
    <w:rsid w:val="00E84FC8"/>
    <w:pPr>
      <w:ind w:left="720"/>
      <w:contextualSpacing/>
    </w:pPr>
  </w:style>
  <w:style w:type="character" w:styleId="IntenseEmphasis">
    <w:name w:val="Intense Emphasis"/>
    <w:basedOn w:val="DefaultParagraphFont"/>
    <w:uiPriority w:val="21"/>
    <w:qFormat/>
    <w:rsid w:val="00E84FC8"/>
    <w:rPr>
      <w:i/>
      <w:iCs/>
      <w:color w:val="2F5496" w:themeColor="accent1" w:themeShade="BF"/>
    </w:rPr>
  </w:style>
  <w:style w:type="paragraph" w:styleId="IntenseQuote">
    <w:name w:val="Intense Quote"/>
    <w:basedOn w:val="Normal"/>
    <w:next w:val="Normal"/>
    <w:link w:val="IntenseQuoteChar"/>
    <w:uiPriority w:val="30"/>
    <w:qFormat/>
    <w:rsid w:val="00E84F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4FC8"/>
    <w:rPr>
      <w:i/>
      <w:iCs/>
      <w:color w:val="2F5496" w:themeColor="accent1" w:themeShade="BF"/>
    </w:rPr>
  </w:style>
  <w:style w:type="character" w:styleId="IntenseReference">
    <w:name w:val="Intense Reference"/>
    <w:basedOn w:val="DefaultParagraphFont"/>
    <w:uiPriority w:val="32"/>
    <w:qFormat/>
    <w:rsid w:val="00E84FC8"/>
    <w:rPr>
      <w:b/>
      <w:bCs/>
      <w:smallCaps/>
      <w:color w:val="2F5496" w:themeColor="accent1" w:themeShade="BF"/>
      <w:spacing w:val="5"/>
    </w:rPr>
  </w:style>
  <w:style w:type="character" w:styleId="Hyperlink">
    <w:name w:val="Hyperlink"/>
    <w:basedOn w:val="DefaultParagraphFont"/>
    <w:uiPriority w:val="99"/>
    <w:unhideWhenUsed/>
    <w:rsid w:val="00EE3CD7"/>
    <w:rPr>
      <w:color w:val="0563C1" w:themeColor="hyperlink"/>
      <w:u w:val="single"/>
    </w:rPr>
  </w:style>
  <w:style w:type="character" w:styleId="UnresolvedMention">
    <w:name w:val="Unresolved Mention"/>
    <w:basedOn w:val="DefaultParagraphFont"/>
    <w:uiPriority w:val="99"/>
    <w:semiHidden/>
    <w:unhideWhenUsed/>
    <w:rsid w:val="00EE3C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legislation.gov.uk/ukpga/2010/15/contents" TargetMode="External"/><Relationship Id="rId5" Type="http://schemas.openxmlformats.org/officeDocument/2006/relationships/hyperlink" Target="https://www.bcs.org/membership/become-a-member/bcs-code-of-conduct/" TargetMode="External"/><Relationship Id="rId4" Type="http://schemas.openxmlformats.org/officeDocument/2006/relationships/hyperlink" Target="https://ethics.acm.org/code-of-eth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357</Words>
  <Characters>2307</Characters>
  <Application>Microsoft Office Word</Application>
  <DocSecurity>0</DocSecurity>
  <Lines>36</Lines>
  <Paragraphs>11</Paragraphs>
  <ScaleCrop>false</ScaleCrop>
  <Company/>
  <LinksUpToDate>false</LinksUpToDate>
  <CharactersWithSpaces>2653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Hussein, Mustafa</dc:creator>
  <cp:keywords/>
  <dc:description/>
  <cp:lastModifiedBy>Hussein, Mustafa</cp:lastModifiedBy>
  <cp:revision>2</cp:revision>
  <dcterms:created xsi:type="dcterms:W3CDTF">2025-11-23T20:32:00Z</dcterms:created>
  <dcterms:modified xsi:type="dcterms:W3CDTF">2025-11-23T20:33:00Z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e059d9ca-4d97-452c-8599-90a0938d21cc</vt:lpwstr>
  </property>
</Properties>
</file>