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1F5CF" w14:textId="77777777" w:rsidR="00F25C48" w:rsidRPr="006E7925" w:rsidRDefault="00F25C48" w:rsidP="00F25C48">
      <w:pPr>
        <w:rPr>
          <w:rFonts w:cstheme="minorHAnsi"/>
          <w:b/>
          <w:bCs/>
          <w:sz w:val="24"/>
          <w:szCs w:val="24"/>
        </w:rPr>
      </w:pPr>
      <w:r w:rsidRPr="006E7925">
        <w:rPr>
          <w:rFonts w:cstheme="minorHAnsi"/>
          <w:b/>
          <w:bCs/>
          <w:sz w:val="24"/>
          <w:szCs w:val="24"/>
        </w:rPr>
        <w:t>Case Study 6:</w:t>
      </w:r>
      <w:bookmarkStart w:id="0" w:name="201806"/>
      <w:r w:rsidRPr="006E7925">
        <w:rPr>
          <w:rFonts w:cstheme="minorHAnsi"/>
          <w:b/>
          <w:bCs/>
          <w:sz w:val="24"/>
          <w:szCs w:val="24"/>
        </w:rPr>
        <w:t> The importance of data controllers having appropriate mechanisms in place to respond to access requests and document compliance.</w:t>
      </w:r>
      <w:bookmarkEnd w:id="0"/>
    </w:p>
    <w:p w14:paraId="785B205B" w14:textId="7E616253" w:rsidR="003C53DE" w:rsidRPr="006E7925" w:rsidRDefault="00000000" w:rsidP="003C53DE">
      <w:pPr>
        <w:rPr>
          <w:rFonts w:cstheme="minorHAnsi"/>
          <w:b/>
          <w:bCs/>
        </w:rPr>
      </w:pPr>
      <w:hyperlink r:id="rId5" w:anchor="201806" w:history="1">
        <w:r w:rsidR="00F25C48" w:rsidRPr="006E7925">
          <w:rPr>
            <w:rStyle w:val="Hyperlink"/>
            <w:rFonts w:cstheme="minorHAnsi"/>
            <w:i/>
            <w:iCs/>
            <w:sz w:val="20"/>
            <w:szCs w:val="20"/>
          </w:rPr>
          <w:t>https://dataprotection.ie/en/pre-gdpr/case-studies#201806</w:t>
        </w:r>
      </w:hyperlink>
      <w:r w:rsidR="00F25C48" w:rsidRPr="006E7925">
        <w:rPr>
          <w:rFonts w:cstheme="minorHAnsi"/>
          <w:b/>
          <w:bCs/>
        </w:rPr>
        <w:t xml:space="preserve"> </w:t>
      </w:r>
      <w:r w:rsidR="005B7E1D" w:rsidRPr="006E7925">
        <w:rPr>
          <w:rFonts w:cstheme="minorHAnsi"/>
          <w:b/>
          <w:bCs/>
        </w:rPr>
        <w:br/>
      </w:r>
      <w:r w:rsidR="005B7E1D" w:rsidRPr="006E7925">
        <w:rPr>
          <w:rFonts w:cstheme="minorHAnsi"/>
          <w:b/>
          <w:bCs/>
        </w:rPr>
        <w:br/>
      </w:r>
      <w:r w:rsidR="003C53DE" w:rsidRPr="006E7925">
        <w:rPr>
          <w:rFonts w:cstheme="minorHAnsi"/>
          <w:b/>
          <w:bCs/>
          <w:sz w:val="24"/>
          <w:szCs w:val="24"/>
        </w:rPr>
        <w:t>Specific Aspect of GDPR Addressed</w:t>
      </w:r>
    </w:p>
    <w:p w14:paraId="5AF53DF1" w14:textId="77777777" w:rsidR="003C53DE" w:rsidRPr="006E7925" w:rsidRDefault="003C53DE" w:rsidP="003C53DE">
      <w:pPr>
        <w:rPr>
          <w:rFonts w:cstheme="minorHAnsi"/>
        </w:rPr>
      </w:pPr>
      <w:r w:rsidRPr="006E7925">
        <w:rPr>
          <w:rFonts w:cstheme="minorHAnsi"/>
        </w:rPr>
        <w:t xml:space="preserve">The case study focuses on the right of access under Article 15 of the GDPR. This right allows individuals to access their personal data and understand how it's being processed. The issue highlighted is </w:t>
      </w:r>
      <w:proofErr w:type="spellStart"/>
      <w:r w:rsidRPr="006E7925">
        <w:rPr>
          <w:rFonts w:cstheme="minorHAnsi"/>
        </w:rPr>
        <w:t>eir’s</w:t>
      </w:r>
      <w:proofErr w:type="spellEnd"/>
      <w:r w:rsidRPr="006E7925">
        <w:rPr>
          <w:rFonts w:cstheme="minorHAnsi"/>
        </w:rPr>
        <w:t xml:space="preserve"> failure to provide clear and complete information, including proper communication of statutory exemptions when withholding data.</w:t>
      </w:r>
    </w:p>
    <w:p w14:paraId="56165349" w14:textId="77777777" w:rsidR="00F27768" w:rsidRPr="00F27768" w:rsidRDefault="00F27768" w:rsidP="00F27768">
      <w:pPr>
        <w:rPr>
          <w:rFonts w:cstheme="minorHAnsi"/>
          <w:b/>
          <w:bCs/>
          <w:sz w:val="24"/>
          <w:szCs w:val="24"/>
        </w:rPr>
      </w:pPr>
      <w:r w:rsidRPr="00F27768">
        <w:rPr>
          <w:rFonts w:cstheme="minorHAnsi"/>
          <w:b/>
          <w:bCs/>
          <w:sz w:val="24"/>
          <w:szCs w:val="24"/>
        </w:rPr>
        <w:t>How was it resolved?</w:t>
      </w:r>
    </w:p>
    <w:p w14:paraId="3B84753E" w14:textId="77777777" w:rsidR="003C53DE" w:rsidRPr="006E7925" w:rsidRDefault="003C53DE" w:rsidP="003C53DE">
      <w:pPr>
        <w:rPr>
          <w:rFonts w:cstheme="minorHAnsi"/>
        </w:rPr>
      </w:pPr>
      <w:r w:rsidRPr="006E7925">
        <w:rPr>
          <w:rFonts w:cstheme="minorHAnsi"/>
        </w:rPr>
        <w:t xml:space="preserve">The Data Protection Commission (DPC) directed </w:t>
      </w:r>
      <w:proofErr w:type="spellStart"/>
      <w:r w:rsidRPr="006E7925">
        <w:rPr>
          <w:rFonts w:cstheme="minorHAnsi"/>
        </w:rPr>
        <w:t>eir</w:t>
      </w:r>
      <w:proofErr w:type="spellEnd"/>
      <w:r w:rsidRPr="006E7925">
        <w:rPr>
          <w:rFonts w:cstheme="minorHAnsi"/>
        </w:rPr>
        <w:t xml:space="preserve"> to:</w:t>
      </w:r>
    </w:p>
    <w:p w14:paraId="6392A583" w14:textId="111E5D53" w:rsidR="003C53DE" w:rsidRPr="006E7925" w:rsidRDefault="003C53DE" w:rsidP="00B7660D">
      <w:pPr>
        <w:numPr>
          <w:ilvl w:val="0"/>
          <w:numId w:val="3"/>
        </w:numPr>
        <w:rPr>
          <w:rFonts w:cstheme="minorHAnsi"/>
        </w:rPr>
      </w:pPr>
      <w:proofErr w:type="spellStart"/>
      <w:r w:rsidRPr="006E7925">
        <w:rPr>
          <w:rFonts w:cstheme="minorHAnsi"/>
        </w:rPr>
        <w:t>eir</w:t>
      </w:r>
      <w:proofErr w:type="spellEnd"/>
      <w:r w:rsidRPr="006E7925">
        <w:rPr>
          <w:rFonts w:cstheme="minorHAnsi"/>
        </w:rPr>
        <w:t xml:space="preserve"> had to reassess all personal data related to the complainant and reissue it with explanations.</w:t>
      </w:r>
    </w:p>
    <w:p w14:paraId="0BE47234" w14:textId="54EF0128" w:rsidR="003C53DE" w:rsidRPr="006E7925" w:rsidRDefault="003C53DE" w:rsidP="00B7660D">
      <w:pPr>
        <w:numPr>
          <w:ilvl w:val="0"/>
          <w:numId w:val="3"/>
        </w:numPr>
        <w:rPr>
          <w:rFonts w:cstheme="minorHAnsi"/>
        </w:rPr>
      </w:pPr>
      <w:r w:rsidRPr="006E7925">
        <w:rPr>
          <w:rFonts w:cstheme="minorHAnsi"/>
        </w:rPr>
        <w:t>Provide reasons for withholding any data and explain the legal exemptions used.</w:t>
      </w:r>
    </w:p>
    <w:p w14:paraId="55FDDFAC" w14:textId="700C4AB9" w:rsidR="003C53DE" w:rsidRPr="006E7925" w:rsidRDefault="003C53DE" w:rsidP="00B7660D">
      <w:pPr>
        <w:numPr>
          <w:ilvl w:val="0"/>
          <w:numId w:val="3"/>
        </w:numPr>
        <w:rPr>
          <w:rFonts w:cstheme="minorHAnsi"/>
        </w:rPr>
      </w:pPr>
      <w:proofErr w:type="spellStart"/>
      <w:r w:rsidRPr="006E7925">
        <w:rPr>
          <w:rFonts w:cstheme="minorHAnsi"/>
        </w:rPr>
        <w:t>eir</w:t>
      </w:r>
      <w:proofErr w:type="spellEnd"/>
      <w:r w:rsidRPr="006E7925">
        <w:rPr>
          <w:rFonts w:cstheme="minorHAnsi"/>
        </w:rPr>
        <w:t xml:space="preserve"> was required to copy its response to the DPC to ensure oversight.</w:t>
      </w:r>
    </w:p>
    <w:p w14:paraId="077ABED3" w14:textId="77777777" w:rsidR="003C53DE" w:rsidRPr="006E7925" w:rsidRDefault="003C53DE" w:rsidP="003C53DE">
      <w:pPr>
        <w:rPr>
          <w:rFonts w:cstheme="minorHAnsi"/>
        </w:rPr>
      </w:pPr>
      <w:r w:rsidRPr="006E7925">
        <w:rPr>
          <w:rFonts w:cstheme="minorHAnsi"/>
        </w:rPr>
        <w:t xml:space="preserve">The complainant withdrew the complaint after </w:t>
      </w:r>
      <w:proofErr w:type="spellStart"/>
      <w:r w:rsidRPr="006E7925">
        <w:rPr>
          <w:rFonts w:cstheme="minorHAnsi"/>
        </w:rPr>
        <w:t>eir</w:t>
      </w:r>
      <w:proofErr w:type="spellEnd"/>
      <w:r w:rsidRPr="006E7925">
        <w:rPr>
          <w:rFonts w:cstheme="minorHAnsi"/>
        </w:rPr>
        <w:t xml:space="preserve"> complied.</w:t>
      </w:r>
    </w:p>
    <w:p w14:paraId="445640A3" w14:textId="77777777" w:rsidR="00C551E5" w:rsidRPr="00EB5AB7" w:rsidRDefault="00C551E5" w:rsidP="006A0902">
      <w:pPr>
        <w:shd w:val="clear" w:color="auto" w:fill="FFFFFF"/>
        <w:spacing w:before="100" w:beforeAutospacing="1" w:after="100" w:afterAutospacing="1" w:line="240" w:lineRule="auto"/>
        <w:rPr>
          <w:rFonts w:eastAsia="Times New Roman" w:cstheme="minorHAnsi"/>
          <w:b/>
          <w:bCs/>
          <w:color w:val="000000" w:themeColor="text1"/>
          <w:kern w:val="0"/>
          <w:sz w:val="24"/>
          <w:szCs w:val="24"/>
          <w:lang w:eastAsia="en-GB"/>
          <w14:ligatures w14:val="none"/>
        </w:rPr>
      </w:pPr>
      <w:r w:rsidRPr="00EB5AB7">
        <w:rPr>
          <w:rFonts w:eastAsia="Times New Roman" w:cstheme="minorHAnsi"/>
          <w:b/>
          <w:bCs/>
          <w:color w:val="000000" w:themeColor="text1"/>
          <w:kern w:val="0"/>
          <w:sz w:val="24"/>
          <w:szCs w:val="24"/>
          <w:lang w:eastAsia="en-GB"/>
          <w14:ligatures w14:val="none"/>
        </w:rPr>
        <w:t>If this was your organisation, what steps would you take as an Information Security Manager to mitigate the issue?</w:t>
      </w:r>
    </w:p>
    <w:p w14:paraId="5091DDEA" w14:textId="3EF1A6B5" w:rsidR="003C53DE" w:rsidRPr="006E7925" w:rsidRDefault="003C53DE" w:rsidP="006A0902">
      <w:pPr>
        <w:numPr>
          <w:ilvl w:val="0"/>
          <w:numId w:val="6"/>
        </w:numPr>
        <w:rPr>
          <w:rFonts w:cstheme="minorHAnsi"/>
        </w:rPr>
      </w:pPr>
      <w:r w:rsidRPr="006E7925">
        <w:rPr>
          <w:rFonts w:cstheme="minorHAnsi"/>
        </w:rPr>
        <w:t>Strengthen Record-Keeping</w:t>
      </w:r>
      <w:r w:rsidR="006E7925" w:rsidRPr="006E7925">
        <w:rPr>
          <w:rFonts w:cstheme="minorHAnsi"/>
        </w:rPr>
        <w:t xml:space="preserve"> and implement</w:t>
      </w:r>
      <w:r w:rsidRPr="006E7925">
        <w:rPr>
          <w:rFonts w:cstheme="minorHAnsi"/>
        </w:rPr>
        <w:t xml:space="preserve"> systems to track and document data access requests and responses.</w:t>
      </w:r>
    </w:p>
    <w:p w14:paraId="06FB3EA4" w14:textId="55BD8A66" w:rsidR="003C53DE" w:rsidRPr="006E7925" w:rsidRDefault="003C53DE" w:rsidP="006A0902">
      <w:pPr>
        <w:numPr>
          <w:ilvl w:val="0"/>
          <w:numId w:val="6"/>
        </w:numPr>
        <w:rPr>
          <w:rFonts w:cstheme="minorHAnsi"/>
        </w:rPr>
      </w:pPr>
      <w:r w:rsidRPr="006E7925">
        <w:rPr>
          <w:rFonts w:cstheme="minorHAnsi"/>
        </w:rPr>
        <w:t>Clear Procedures</w:t>
      </w:r>
      <w:r w:rsidR="006A0902" w:rsidRPr="006E7925">
        <w:rPr>
          <w:rFonts w:cstheme="minorHAnsi"/>
        </w:rPr>
        <w:t>,</w:t>
      </w:r>
      <w:r w:rsidRPr="006E7925">
        <w:rPr>
          <w:rFonts w:cstheme="minorHAnsi"/>
        </w:rPr>
        <w:t xml:space="preserve"> Develop and communicate procedures for handling access requests and applying exemptions.</w:t>
      </w:r>
    </w:p>
    <w:p w14:paraId="6F9ECAE1" w14:textId="2C841F86" w:rsidR="003C53DE" w:rsidRPr="006E7925" w:rsidRDefault="003C53DE" w:rsidP="006A0902">
      <w:pPr>
        <w:numPr>
          <w:ilvl w:val="0"/>
          <w:numId w:val="6"/>
        </w:numPr>
        <w:rPr>
          <w:rFonts w:cstheme="minorHAnsi"/>
        </w:rPr>
      </w:pPr>
      <w:r w:rsidRPr="006E7925">
        <w:rPr>
          <w:rFonts w:cstheme="minorHAnsi"/>
        </w:rPr>
        <w:t>Staff Training</w:t>
      </w:r>
      <w:r w:rsidR="007444AB" w:rsidRPr="006E7925">
        <w:rPr>
          <w:rFonts w:cstheme="minorHAnsi"/>
        </w:rPr>
        <w:t>,</w:t>
      </w:r>
      <w:r w:rsidRPr="006E7925">
        <w:rPr>
          <w:rFonts w:cstheme="minorHAnsi"/>
        </w:rPr>
        <w:t xml:space="preserve"> </w:t>
      </w:r>
      <w:r w:rsidR="006E7925" w:rsidRPr="006E7925">
        <w:rPr>
          <w:rFonts w:cstheme="minorHAnsi"/>
        </w:rPr>
        <w:t>regularly</w:t>
      </w:r>
      <w:r w:rsidRPr="006E7925">
        <w:rPr>
          <w:rFonts w:cstheme="minorHAnsi"/>
        </w:rPr>
        <w:t xml:space="preserve"> train staff on GDPR compliance and effective communication.</w:t>
      </w:r>
    </w:p>
    <w:p w14:paraId="39DA0782" w14:textId="3A05CAF9" w:rsidR="003C53DE" w:rsidRPr="006E7925" w:rsidRDefault="003C53DE" w:rsidP="006A0902">
      <w:pPr>
        <w:numPr>
          <w:ilvl w:val="0"/>
          <w:numId w:val="6"/>
        </w:numPr>
        <w:rPr>
          <w:rFonts w:cstheme="minorHAnsi"/>
        </w:rPr>
      </w:pPr>
      <w:r w:rsidRPr="006E7925">
        <w:rPr>
          <w:rFonts w:cstheme="minorHAnsi"/>
        </w:rPr>
        <w:t>Audit Compliance</w:t>
      </w:r>
      <w:r w:rsidR="007444AB" w:rsidRPr="006E7925">
        <w:rPr>
          <w:rFonts w:cstheme="minorHAnsi"/>
        </w:rPr>
        <w:t>,</w:t>
      </w:r>
      <w:r w:rsidRPr="006E7925">
        <w:rPr>
          <w:rFonts w:cstheme="minorHAnsi"/>
        </w:rPr>
        <w:t xml:space="preserve"> </w:t>
      </w:r>
      <w:r w:rsidR="006E7925" w:rsidRPr="006E7925">
        <w:rPr>
          <w:rFonts w:cstheme="minorHAnsi"/>
        </w:rPr>
        <w:t>regularly</w:t>
      </w:r>
      <w:r w:rsidRPr="006E7925">
        <w:rPr>
          <w:rFonts w:cstheme="minorHAnsi"/>
        </w:rPr>
        <w:t xml:space="preserve"> audit processes related to data requests to ensure GDPR adherence.</w:t>
      </w:r>
    </w:p>
    <w:p w14:paraId="7C5EE41C" w14:textId="2580534A" w:rsidR="003C53DE" w:rsidRPr="006E7925" w:rsidRDefault="003C53DE" w:rsidP="006A0902">
      <w:pPr>
        <w:numPr>
          <w:ilvl w:val="0"/>
          <w:numId w:val="6"/>
        </w:numPr>
        <w:rPr>
          <w:rFonts w:cstheme="minorHAnsi"/>
        </w:rPr>
      </w:pPr>
      <w:r w:rsidRPr="006E7925">
        <w:rPr>
          <w:rFonts w:cstheme="minorHAnsi"/>
        </w:rPr>
        <w:t>Improve Communication</w:t>
      </w:r>
      <w:r w:rsidR="006E7925" w:rsidRPr="006E7925">
        <w:rPr>
          <w:rFonts w:cstheme="minorHAnsi"/>
        </w:rPr>
        <w:t xml:space="preserve"> and create</w:t>
      </w:r>
      <w:r w:rsidRPr="006E7925">
        <w:rPr>
          <w:rFonts w:cstheme="minorHAnsi"/>
        </w:rPr>
        <w:t xml:space="preserve"> clear templates for responding to requests, ensuring transparency and clarity.</w:t>
      </w:r>
    </w:p>
    <w:p w14:paraId="68F6D2B7" w14:textId="77777777" w:rsidR="006C3575" w:rsidRDefault="006C3575"/>
    <w:sectPr w:rsidR="006C3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4D2C18"/>
    <w:multiLevelType w:val="multilevel"/>
    <w:tmpl w:val="8E8AF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BD454E"/>
    <w:multiLevelType w:val="multilevel"/>
    <w:tmpl w:val="E7E602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BC023A"/>
    <w:multiLevelType w:val="multilevel"/>
    <w:tmpl w:val="269C8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1C4BDD"/>
    <w:multiLevelType w:val="multilevel"/>
    <w:tmpl w:val="2AB25F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816452"/>
    <w:multiLevelType w:val="multilevel"/>
    <w:tmpl w:val="9D88F2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3B6516"/>
    <w:multiLevelType w:val="multilevel"/>
    <w:tmpl w:val="6254C3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1347525">
    <w:abstractNumId w:val="2"/>
  </w:num>
  <w:num w:numId="2" w16cid:durableId="1157113228">
    <w:abstractNumId w:val="0"/>
  </w:num>
  <w:num w:numId="3" w16cid:durableId="938219462">
    <w:abstractNumId w:val="5"/>
  </w:num>
  <w:num w:numId="4" w16cid:durableId="464851823">
    <w:abstractNumId w:val="1"/>
  </w:num>
  <w:num w:numId="5" w16cid:durableId="218517256">
    <w:abstractNumId w:val="3"/>
  </w:num>
  <w:num w:numId="6" w16cid:durableId="17604428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D4534"/>
    <w:rsid w:val="001B2CB6"/>
    <w:rsid w:val="001E5079"/>
    <w:rsid w:val="001F7349"/>
    <w:rsid w:val="0025726F"/>
    <w:rsid w:val="00276A1B"/>
    <w:rsid w:val="003C53DE"/>
    <w:rsid w:val="005B7E1D"/>
    <w:rsid w:val="006A0902"/>
    <w:rsid w:val="006C3575"/>
    <w:rsid w:val="006E7925"/>
    <w:rsid w:val="007444AB"/>
    <w:rsid w:val="009A4979"/>
    <w:rsid w:val="00B7660D"/>
    <w:rsid w:val="00BB3384"/>
    <w:rsid w:val="00C551E5"/>
    <w:rsid w:val="00EB5AB7"/>
    <w:rsid w:val="00F25C48"/>
    <w:rsid w:val="00F27768"/>
    <w:rsid w:val="00F813B9"/>
    <w:rsid w:val="00FD453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D758F9"/>
  <w15:chartTrackingRefBased/>
  <w15:docId w15:val="{EC605ED0-FF09-4B37-9DB7-33FC789E5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5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45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D45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45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45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45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5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5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5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5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45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D45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45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45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45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45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45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4534"/>
    <w:rPr>
      <w:rFonts w:eastAsiaTheme="majorEastAsia" w:cstheme="majorBidi"/>
      <w:color w:val="272727" w:themeColor="text1" w:themeTint="D8"/>
    </w:rPr>
  </w:style>
  <w:style w:type="paragraph" w:styleId="Title">
    <w:name w:val="Title"/>
    <w:basedOn w:val="Normal"/>
    <w:next w:val="Normal"/>
    <w:link w:val="TitleChar"/>
    <w:uiPriority w:val="10"/>
    <w:qFormat/>
    <w:rsid w:val="00FD45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5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5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5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534"/>
    <w:pPr>
      <w:spacing w:before="160"/>
      <w:jc w:val="center"/>
    </w:pPr>
    <w:rPr>
      <w:i/>
      <w:iCs/>
      <w:color w:val="404040" w:themeColor="text1" w:themeTint="BF"/>
    </w:rPr>
  </w:style>
  <w:style w:type="character" w:customStyle="1" w:styleId="QuoteChar">
    <w:name w:val="Quote Char"/>
    <w:basedOn w:val="DefaultParagraphFont"/>
    <w:link w:val="Quote"/>
    <w:uiPriority w:val="29"/>
    <w:rsid w:val="00FD4534"/>
    <w:rPr>
      <w:i/>
      <w:iCs/>
      <w:color w:val="404040" w:themeColor="text1" w:themeTint="BF"/>
    </w:rPr>
  </w:style>
  <w:style w:type="paragraph" w:styleId="ListParagraph">
    <w:name w:val="List Paragraph"/>
    <w:basedOn w:val="Normal"/>
    <w:uiPriority w:val="34"/>
    <w:qFormat/>
    <w:rsid w:val="00FD4534"/>
    <w:pPr>
      <w:ind w:left="720"/>
      <w:contextualSpacing/>
    </w:pPr>
  </w:style>
  <w:style w:type="character" w:styleId="IntenseEmphasis">
    <w:name w:val="Intense Emphasis"/>
    <w:basedOn w:val="DefaultParagraphFont"/>
    <w:uiPriority w:val="21"/>
    <w:qFormat/>
    <w:rsid w:val="00FD4534"/>
    <w:rPr>
      <w:i/>
      <w:iCs/>
      <w:color w:val="2F5496" w:themeColor="accent1" w:themeShade="BF"/>
    </w:rPr>
  </w:style>
  <w:style w:type="paragraph" w:styleId="IntenseQuote">
    <w:name w:val="Intense Quote"/>
    <w:basedOn w:val="Normal"/>
    <w:next w:val="Normal"/>
    <w:link w:val="IntenseQuoteChar"/>
    <w:uiPriority w:val="30"/>
    <w:qFormat/>
    <w:rsid w:val="00FD45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4534"/>
    <w:rPr>
      <w:i/>
      <w:iCs/>
      <w:color w:val="2F5496" w:themeColor="accent1" w:themeShade="BF"/>
    </w:rPr>
  </w:style>
  <w:style w:type="character" w:styleId="IntenseReference">
    <w:name w:val="Intense Reference"/>
    <w:basedOn w:val="DefaultParagraphFont"/>
    <w:uiPriority w:val="32"/>
    <w:qFormat/>
    <w:rsid w:val="00FD4534"/>
    <w:rPr>
      <w:b/>
      <w:bCs/>
      <w:smallCaps/>
      <w:color w:val="2F5496" w:themeColor="accent1" w:themeShade="BF"/>
      <w:spacing w:val="5"/>
    </w:rPr>
  </w:style>
  <w:style w:type="character" w:styleId="Hyperlink">
    <w:name w:val="Hyperlink"/>
    <w:basedOn w:val="DefaultParagraphFont"/>
    <w:uiPriority w:val="99"/>
    <w:unhideWhenUsed/>
    <w:rsid w:val="00F25C48"/>
    <w:rPr>
      <w:color w:val="0563C1" w:themeColor="hyperlink"/>
      <w:u w:val="single"/>
    </w:rPr>
  </w:style>
  <w:style w:type="character" w:styleId="UnresolvedMention">
    <w:name w:val="Unresolved Mention"/>
    <w:basedOn w:val="DefaultParagraphFont"/>
    <w:uiPriority w:val="99"/>
    <w:semiHidden/>
    <w:unhideWhenUsed/>
    <w:rsid w:val="00F25C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462937">
      <w:bodyDiv w:val="1"/>
      <w:marLeft w:val="0"/>
      <w:marRight w:val="0"/>
      <w:marTop w:val="0"/>
      <w:marBottom w:val="0"/>
      <w:divBdr>
        <w:top w:val="none" w:sz="0" w:space="0" w:color="auto"/>
        <w:left w:val="none" w:sz="0" w:space="0" w:color="auto"/>
        <w:bottom w:val="none" w:sz="0" w:space="0" w:color="auto"/>
        <w:right w:val="none" w:sz="0" w:space="0" w:color="auto"/>
      </w:divBdr>
    </w:div>
    <w:div w:id="706952797">
      <w:bodyDiv w:val="1"/>
      <w:marLeft w:val="0"/>
      <w:marRight w:val="0"/>
      <w:marTop w:val="0"/>
      <w:marBottom w:val="0"/>
      <w:divBdr>
        <w:top w:val="none" w:sz="0" w:space="0" w:color="auto"/>
        <w:left w:val="none" w:sz="0" w:space="0" w:color="auto"/>
        <w:bottom w:val="none" w:sz="0" w:space="0" w:color="auto"/>
        <w:right w:val="none" w:sz="0" w:space="0" w:color="auto"/>
      </w:divBdr>
      <w:divsChild>
        <w:div w:id="1562523403">
          <w:marLeft w:val="0"/>
          <w:marRight w:val="0"/>
          <w:marTop w:val="0"/>
          <w:marBottom w:val="0"/>
          <w:divBdr>
            <w:top w:val="none" w:sz="0" w:space="0" w:color="auto"/>
            <w:left w:val="none" w:sz="0" w:space="0" w:color="auto"/>
            <w:bottom w:val="none" w:sz="0" w:space="0" w:color="auto"/>
            <w:right w:val="none" w:sz="0" w:space="0" w:color="auto"/>
          </w:divBdr>
          <w:divsChild>
            <w:div w:id="1592467511">
              <w:marLeft w:val="0"/>
              <w:marRight w:val="0"/>
              <w:marTop w:val="0"/>
              <w:marBottom w:val="0"/>
              <w:divBdr>
                <w:top w:val="none" w:sz="0" w:space="0" w:color="auto"/>
                <w:left w:val="none" w:sz="0" w:space="0" w:color="auto"/>
                <w:bottom w:val="none" w:sz="0" w:space="0" w:color="auto"/>
                <w:right w:val="none" w:sz="0" w:space="0" w:color="auto"/>
              </w:divBdr>
              <w:divsChild>
                <w:div w:id="1097557649">
                  <w:marLeft w:val="0"/>
                  <w:marRight w:val="0"/>
                  <w:marTop w:val="0"/>
                  <w:marBottom w:val="0"/>
                  <w:divBdr>
                    <w:top w:val="none" w:sz="0" w:space="0" w:color="auto"/>
                    <w:left w:val="none" w:sz="0" w:space="0" w:color="auto"/>
                    <w:bottom w:val="none" w:sz="0" w:space="0" w:color="auto"/>
                    <w:right w:val="none" w:sz="0" w:space="0" w:color="auto"/>
                  </w:divBdr>
                  <w:divsChild>
                    <w:div w:id="1081683749">
                      <w:marLeft w:val="0"/>
                      <w:marRight w:val="0"/>
                      <w:marTop w:val="0"/>
                      <w:marBottom w:val="0"/>
                      <w:divBdr>
                        <w:top w:val="none" w:sz="0" w:space="0" w:color="auto"/>
                        <w:left w:val="none" w:sz="0" w:space="0" w:color="auto"/>
                        <w:bottom w:val="none" w:sz="0" w:space="0" w:color="auto"/>
                        <w:right w:val="none" w:sz="0" w:space="0" w:color="auto"/>
                      </w:divBdr>
                      <w:divsChild>
                        <w:div w:id="1481577355">
                          <w:marLeft w:val="0"/>
                          <w:marRight w:val="0"/>
                          <w:marTop w:val="0"/>
                          <w:marBottom w:val="0"/>
                          <w:divBdr>
                            <w:top w:val="none" w:sz="0" w:space="0" w:color="auto"/>
                            <w:left w:val="none" w:sz="0" w:space="0" w:color="auto"/>
                            <w:bottom w:val="none" w:sz="0" w:space="0" w:color="auto"/>
                            <w:right w:val="none" w:sz="0" w:space="0" w:color="auto"/>
                          </w:divBdr>
                          <w:divsChild>
                            <w:div w:id="137842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982687">
      <w:bodyDiv w:val="1"/>
      <w:marLeft w:val="0"/>
      <w:marRight w:val="0"/>
      <w:marTop w:val="0"/>
      <w:marBottom w:val="0"/>
      <w:divBdr>
        <w:top w:val="none" w:sz="0" w:space="0" w:color="auto"/>
        <w:left w:val="none" w:sz="0" w:space="0" w:color="auto"/>
        <w:bottom w:val="none" w:sz="0" w:space="0" w:color="auto"/>
        <w:right w:val="none" w:sz="0" w:space="0" w:color="auto"/>
      </w:divBdr>
    </w:div>
    <w:div w:id="921716558">
      <w:bodyDiv w:val="1"/>
      <w:marLeft w:val="0"/>
      <w:marRight w:val="0"/>
      <w:marTop w:val="0"/>
      <w:marBottom w:val="0"/>
      <w:divBdr>
        <w:top w:val="none" w:sz="0" w:space="0" w:color="auto"/>
        <w:left w:val="none" w:sz="0" w:space="0" w:color="auto"/>
        <w:bottom w:val="none" w:sz="0" w:space="0" w:color="auto"/>
        <w:right w:val="none" w:sz="0" w:space="0" w:color="auto"/>
      </w:divBdr>
    </w:div>
    <w:div w:id="1357198480">
      <w:bodyDiv w:val="1"/>
      <w:marLeft w:val="0"/>
      <w:marRight w:val="0"/>
      <w:marTop w:val="0"/>
      <w:marBottom w:val="0"/>
      <w:divBdr>
        <w:top w:val="none" w:sz="0" w:space="0" w:color="auto"/>
        <w:left w:val="none" w:sz="0" w:space="0" w:color="auto"/>
        <w:bottom w:val="none" w:sz="0" w:space="0" w:color="auto"/>
        <w:right w:val="none" w:sz="0" w:space="0" w:color="auto"/>
      </w:divBdr>
      <w:divsChild>
        <w:div w:id="225802130">
          <w:marLeft w:val="0"/>
          <w:marRight w:val="0"/>
          <w:marTop w:val="0"/>
          <w:marBottom w:val="0"/>
          <w:divBdr>
            <w:top w:val="none" w:sz="0" w:space="0" w:color="auto"/>
            <w:left w:val="none" w:sz="0" w:space="0" w:color="auto"/>
            <w:bottom w:val="none" w:sz="0" w:space="0" w:color="auto"/>
            <w:right w:val="none" w:sz="0" w:space="0" w:color="auto"/>
          </w:divBdr>
          <w:divsChild>
            <w:div w:id="1287664440">
              <w:marLeft w:val="0"/>
              <w:marRight w:val="0"/>
              <w:marTop w:val="0"/>
              <w:marBottom w:val="0"/>
              <w:divBdr>
                <w:top w:val="none" w:sz="0" w:space="0" w:color="auto"/>
                <w:left w:val="none" w:sz="0" w:space="0" w:color="auto"/>
                <w:bottom w:val="none" w:sz="0" w:space="0" w:color="auto"/>
                <w:right w:val="none" w:sz="0" w:space="0" w:color="auto"/>
              </w:divBdr>
              <w:divsChild>
                <w:div w:id="796602230">
                  <w:marLeft w:val="0"/>
                  <w:marRight w:val="0"/>
                  <w:marTop w:val="0"/>
                  <w:marBottom w:val="0"/>
                  <w:divBdr>
                    <w:top w:val="none" w:sz="0" w:space="0" w:color="auto"/>
                    <w:left w:val="none" w:sz="0" w:space="0" w:color="auto"/>
                    <w:bottom w:val="none" w:sz="0" w:space="0" w:color="auto"/>
                    <w:right w:val="none" w:sz="0" w:space="0" w:color="auto"/>
                  </w:divBdr>
                  <w:divsChild>
                    <w:div w:id="830878188">
                      <w:marLeft w:val="0"/>
                      <w:marRight w:val="0"/>
                      <w:marTop w:val="0"/>
                      <w:marBottom w:val="0"/>
                      <w:divBdr>
                        <w:top w:val="none" w:sz="0" w:space="0" w:color="auto"/>
                        <w:left w:val="none" w:sz="0" w:space="0" w:color="auto"/>
                        <w:bottom w:val="none" w:sz="0" w:space="0" w:color="auto"/>
                        <w:right w:val="none" w:sz="0" w:space="0" w:color="auto"/>
                      </w:divBdr>
                      <w:divsChild>
                        <w:div w:id="1468671176">
                          <w:marLeft w:val="0"/>
                          <w:marRight w:val="0"/>
                          <w:marTop w:val="0"/>
                          <w:marBottom w:val="0"/>
                          <w:divBdr>
                            <w:top w:val="none" w:sz="0" w:space="0" w:color="auto"/>
                            <w:left w:val="none" w:sz="0" w:space="0" w:color="auto"/>
                            <w:bottom w:val="none" w:sz="0" w:space="0" w:color="auto"/>
                            <w:right w:val="none" w:sz="0" w:space="0" w:color="auto"/>
                          </w:divBdr>
                          <w:divsChild>
                            <w:div w:id="8013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385262">
      <w:bodyDiv w:val="1"/>
      <w:marLeft w:val="0"/>
      <w:marRight w:val="0"/>
      <w:marTop w:val="0"/>
      <w:marBottom w:val="0"/>
      <w:divBdr>
        <w:top w:val="none" w:sz="0" w:space="0" w:color="auto"/>
        <w:left w:val="none" w:sz="0" w:space="0" w:color="auto"/>
        <w:bottom w:val="none" w:sz="0" w:space="0" w:color="auto"/>
        <w:right w:val="none" w:sz="0" w:space="0" w:color="auto"/>
      </w:divBdr>
    </w:div>
    <w:div w:id="2003582028">
      <w:bodyDiv w:val="1"/>
      <w:marLeft w:val="0"/>
      <w:marRight w:val="0"/>
      <w:marTop w:val="0"/>
      <w:marBottom w:val="0"/>
      <w:divBdr>
        <w:top w:val="none" w:sz="0" w:space="0" w:color="auto"/>
        <w:left w:val="none" w:sz="0" w:space="0" w:color="auto"/>
        <w:bottom w:val="none" w:sz="0" w:space="0" w:color="auto"/>
        <w:right w:val="none" w:sz="0" w:space="0" w:color="auto"/>
      </w:divBdr>
    </w:div>
    <w:div w:id="211231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protection.ie/en/pre-gdpr/case-stud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233</Words>
  <Characters>1424</Characters>
  <Application>Microsoft Office Word</Application>
  <DocSecurity>0</DocSecurity>
  <Lines>28</Lines>
  <Paragraphs>18</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Mustafa</dc:creator>
  <cp:keywords/>
  <dc:description/>
  <cp:lastModifiedBy>Hussein, Mustafa</cp:lastModifiedBy>
  <cp:revision>13</cp:revision>
  <dcterms:created xsi:type="dcterms:W3CDTF">2024-09-01T10:40:00Z</dcterms:created>
  <dcterms:modified xsi:type="dcterms:W3CDTF">2024-09-01T10:50:00Z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0d5b3a1d0117846d40746e775711d8bf844f15f022463cb635758540cef16834</vt:lpwstr>
  </property>
</Properties>
</file>