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B794F" w14:textId="3AC31FF2" w:rsidR="00515B81" w:rsidRPr="00515B81" w:rsidRDefault="00515B81" w:rsidP="00515B81">
      <w:pPr>
        <w:rPr>
          <w:b/>
          <w:bCs/>
          <w:sz w:val="24"/>
          <w:szCs w:val="24"/>
        </w:rPr>
      </w:pPr>
      <w:r w:rsidRPr="00515B81">
        <w:rPr>
          <w:b/>
          <w:bCs/>
          <w:sz w:val="24"/>
          <w:szCs w:val="24"/>
        </w:rPr>
        <w:t>Security and Risk Management Module</w:t>
      </w:r>
      <w:r w:rsidR="000902DD">
        <w:rPr>
          <w:b/>
          <w:bCs/>
          <w:sz w:val="24"/>
          <w:szCs w:val="24"/>
        </w:rPr>
        <w:t xml:space="preserve"> </w:t>
      </w:r>
      <w:r w:rsidR="000902DD" w:rsidRPr="00515B81">
        <w:rPr>
          <w:b/>
          <w:bCs/>
          <w:sz w:val="24"/>
          <w:szCs w:val="24"/>
        </w:rPr>
        <w:t>Reflecti</w:t>
      </w:r>
      <w:r w:rsidR="000902DD">
        <w:rPr>
          <w:b/>
          <w:bCs/>
          <w:sz w:val="24"/>
          <w:szCs w:val="24"/>
        </w:rPr>
        <w:t xml:space="preserve">on </w:t>
      </w:r>
    </w:p>
    <w:p w14:paraId="3729AB89" w14:textId="77777777" w:rsidR="00515B81" w:rsidRPr="00515B81" w:rsidRDefault="00515B81" w:rsidP="00515B81">
      <w:pPr>
        <w:rPr>
          <w:b/>
          <w:bCs/>
          <w:sz w:val="24"/>
          <w:szCs w:val="24"/>
        </w:rPr>
      </w:pPr>
      <w:r w:rsidRPr="00515B81">
        <w:rPr>
          <w:b/>
          <w:bCs/>
          <w:sz w:val="24"/>
          <w:szCs w:val="24"/>
        </w:rPr>
        <w:t>Introduction</w:t>
      </w:r>
    </w:p>
    <w:p w14:paraId="54A66675" w14:textId="77777777" w:rsidR="00515B81" w:rsidRPr="00515B81" w:rsidRDefault="00515B81" w:rsidP="00515B81">
      <w:pPr>
        <w:rPr>
          <w:sz w:val="24"/>
          <w:szCs w:val="24"/>
        </w:rPr>
      </w:pPr>
      <w:r w:rsidRPr="00515B81">
        <w:rPr>
          <w:sz w:val="24"/>
          <w:szCs w:val="24"/>
        </w:rPr>
        <w:t>This reflective piece explores my experience and learning during the Security and Risk Management module, following Rolfe et al.'s (2001) reflective model. The reflection examines how the module has influenced my learning and impacted my professional work, particularly in risk and security management. Drawing on key theoretical concepts and practical applications, I will reflect on how this module has shaped my approach to managing risk and security in real-world contexts.</w:t>
      </w:r>
    </w:p>
    <w:p w14:paraId="63E85784" w14:textId="77777777" w:rsidR="00515B81" w:rsidRPr="00515B81" w:rsidRDefault="00515B81" w:rsidP="00515B81">
      <w:pPr>
        <w:rPr>
          <w:sz w:val="24"/>
          <w:szCs w:val="24"/>
        </w:rPr>
      </w:pPr>
      <w:r w:rsidRPr="00515B81">
        <w:rPr>
          <w:sz w:val="24"/>
          <w:szCs w:val="24"/>
        </w:rPr>
        <w:t>The Security and Risk Management module offered a thorough exploration of risk management strategies, security standards, and their practical application in both individual and group settings. The curriculum covered a variety of topics including risk assessment techniques, threat modelling frameworks such as STRIDE and DREAD, quantitative risk analysis, disaster recovery planning, and emerging trends in the field.</w:t>
      </w:r>
    </w:p>
    <w:p w14:paraId="637247E1" w14:textId="7F38C11F" w:rsidR="00515B81" w:rsidRPr="00515B81" w:rsidRDefault="00515B81" w:rsidP="00515B81">
      <w:pPr>
        <w:rPr>
          <w:sz w:val="24"/>
          <w:szCs w:val="24"/>
        </w:rPr>
      </w:pPr>
      <w:r w:rsidRPr="00515B81">
        <w:rPr>
          <w:sz w:val="24"/>
          <w:szCs w:val="24"/>
        </w:rPr>
        <w:t>One of the most significant components of the module was the Development Team Project Risk Identification Report, where I took on the role of team leader. My responsibilities included organi</w:t>
      </w:r>
      <w:r w:rsidR="008C71B2" w:rsidRPr="006F5A95">
        <w:rPr>
          <w:sz w:val="24"/>
          <w:szCs w:val="24"/>
        </w:rPr>
        <w:t>s</w:t>
      </w:r>
      <w:r w:rsidRPr="00515B81">
        <w:rPr>
          <w:sz w:val="24"/>
          <w:szCs w:val="24"/>
        </w:rPr>
        <w:t>ing meetings, establishing the structure of the report, integrating contributions from team members, and ensuring the report was completed and submitted on time. Through this role, I developed key skills in risk assessment, quantitative modelling, and the practical application of security standards like ISO 27001.</w:t>
      </w:r>
    </w:p>
    <w:p w14:paraId="323C7647" w14:textId="77777777" w:rsidR="00515B81" w:rsidRPr="00515B81" w:rsidRDefault="00515B81" w:rsidP="00515B81">
      <w:pPr>
        <w:rPr>
          <w:sz w:val="24"/>
          <w:szCs w:val="24"/>
        </w:rPr>
      </w:pPr>
      <w:r w:rsidRPr="00515B81">
        <w:rPr>
          <w:sz w:val="24"/>
          <w:szCs w:val="24"/>
        </w:rPr>
        <w:t>This module not only deepened my technical understanding but also allowed me to enhance my leadership and collaboration skills, which are essential for managing security risks in a professional setting. It provided me with hands-on experience in applying risk management concepts and navigating the challenges of team dynamics.</w:t>
      </w:r>
    </w:p>
    <w:p w14:paraId="0E566194" w14:textId="77777777" w:rsidR="00515B81" w:rsidRPr="00515B81" w:rsidRDefault="00515B81" w:rsidP="00515B81">
      <w:pPr>
        <w:rPr>
          <w:sz w:val="24"/>
          <w:szCs w:val="24"/>
        </w:rPr>
      </w:pPr>
      <w:r w:rsidRPr="00515B81">
        <w:rPr>
          <w:sz w:val="24"/>
          <w:szCs w:val="24"/>
        </w:rPr>
        <w:t>The module had a significant impact on my learning, particularly in helping me understand the complexities of managing risk in collaborative settings. While working individually allowed me to control my approach to risk assessments and quantitative models, leading a group project introduced real-world challenges that mirrored those in professional environments. These challenges included coordinating diverse viewpoints, maintaining consistency across different sections of the report, and ensuring clear communication.</w:t>
      </w:r>
    </w:p>
    <w:p w14:paraId="22EA200B" w14:textId="1893F532" w:rsidR="00515B81" w:rsidRPr="00515B81" w:rsidRDefault="00515B81" w:rsidP="00515B81">
      <w:pPr>
        <w:rPr>
          <w:sz w:val="24"/>
          <w:szCs w:val="24"/>
        </w:rPr>
      </w:pPr>
      <w:r w:rsidRPr="00515B81">
        <w:rPr>
          <w:sz w:val="24"/>
          <w:szCs w:val="24"/>
        </w:rPr>
        <w:t xml:space="preserve">Through the experience of leading the group, I learned the importance of aligning tasks with the strengths of each team member. For example, I delegated the creation of visual aids to a member with strong design skills, which resulted in a report that was both visually effective and professionally presented. This experience has since influenced how I manage projects at work, where I now </w:t>
      </w:r>
      <w:r w:rsidR="0023605D" w:rsidRPr="00515B81">
        <w:rPr>
          <w:sz w:val="24"/>
          <w:szCs w:val="24"/>
        </w:rPr>
        <w:t>prioriti</w:t>
      </w:r>
      <w:r w:rsidR="0023605D" w:rsidRPr="006F5A95">
        <w:rPr>
          <w:sz w:val="24"/>
          <w:szCs w:val="24"/>
        </w:rPr>
        <w:t>s</w:t>
      </w:r>
      <w:r w:rsidR="0023605D" w:rsidRPr="00515B81">
        <w:rPr>
          <w:sz w:val="24"/>
          <w:szCs w:val="24"/>
        </w:rPr>
        <w:t>e,</w:t>
      </w:r>
      <w:r w:rsidRPr="00515B81">
        <w:rPr>
          <w:sz w:val="24"/>
          <w:szCs w:val="24"/>
        </w:rPr>
        <w:t xml:space="preserve"> assigning tasks based on individual competencies to improve efficiency (Gjerdrum &amp; Peter, 2011).</w:t>
      </w:r>
    </w:p>
    <w:p w14:paraId="0ADBFF18" w14:textId="77777777" w:rsidR="00515B81" w:rsidRPr="00515B81" w:rsidRDefault="00515B81" w:rsidP="00515B81">
      <w:pPr>
        <w:rPr>
          <w:sz w:val="24"/>
          <w:szCs w:val="24"/>
        </w:rPr>
      </w:pPr>
      <w:r w:rsidRPr="00515B81">
        <w:rPr>
          <w:sz w:val="24"/>
          <w:szCs w:val="24"/>
        </w:rPr>
        <w:t xml:space="preserve">The module also significantly enhanced my understanding of structured risk management processes. Before this course, my approach to risk management was largely reactive—addressing risks as they arose. However, the module introduced me to both qualitative and quantitative risk assessment techniques, such as Monte Carlo simulations and Bayes Theorem, which provided me with tools to proactively identify and mitigate risks. These </w:t>
      </w:r>
      <w:r w:rsidRPr="00515B81">
        <w:rPr>
          <w:sz w:val="24"/>
          <w:szCs w:val="24"/>
        </w:rPr>
        <w:lastRenderedPageBreak/>
        <w:t>methods are invaluable in my professional role, where informed risk-based decision-making is critical to maintaining operational security and business continuity (Aven, 2015).</w:t>
      </w:r>
    </w:p>
    <w:p w14:paraId="34D5FEEE" w14:textId="77777777" w:rsidR="00515B81" w:rsidRPr="00515B81" w:rsidRDefault="00515B81" w:rsidP="00515B81">
      <w:pPr>
        <w:rPr>
          <w:sz w:val="24"/>
          <w:szCs w:val="24"/>
        </w:rPr>
      </w:pPr>
      <w:r w:rsidRPr="00515B81">
        <w:rPr>
          <w:sz w:val="24"/>
          <w:szCs w:val="24"/>
        </w:rPr>
        <w:t>Moreover, the module's emphasis on real-world case studies and practical exercises made the theoretical concepts more applicable to my current work. For instance, understanding how to apply threat modelling frameworks such as STRIDE has allowed me to evaluate potential security risks in a more structured way. This practical knowledge has been particularly useful in industries where risk management is a key part of daily operations, providing a foundation for making more informed decisions about risk mitigation.</w:t>
      </w:r>
    </w:p>
    <w:p w14:paraId="10A1C7AE" w14:textId="54CC5136" w:rsidR="00515B81" w:rsidRPr="00515B81" w:rsidRDefault="00515B81" w:rsidP="00515B81">
      <w:pPr>
        <w:rPr>
          <w:sz w:val="24"/>
          <w:szCs w:val="24"/>
        </w:rPr>
      </w:pPr>
      <w:r w:rsidRPr="00515B81">
        <w:rPr>
          <w:sz w:val="24"/>
          <w:szCs w:val="24"/>
        </w:rPr>
        <w:t>From an emotional perspective, the pressures of leading the group project were both challenging and rewarding. At times, I felt frustrat</w:t>
      </w:r>
      <w:r w:rsidR="00A06363" w:rsidRPr="006F5A95">
        <w:rPr>
          <w:sz w:val="24"/>
          <w:szCs w:val="24"/>
        </w:rPr>
        <w:t>ed</w:t>
      </w:r>
      <w:r w:rsidRPr="00515B81">
        <w:rPr>
          <w:sz w:val="24"/>
          <w:szCs w:val="24"/>
        </w:rPr>
        <w:t xml:space="preserve"> when managing conflicting opinions or when team members did not meet deadlines. However, these difficulties also helped me develop important conflict-resolution skills and learn how to maintain morale within the team. These leadership and emotional intelligence skills are crucial in professional environments, where managing diverse teams is often part of risk management (Rolfe, Freshwater &amp; Jasper, 2001).</w:t>
      </w:r>
    </w:p>
    <w:p w14:paraId="3409C229" w14:textId="77777777" w:rsidR="00515B81" w:rsidRPr="00515B81" w:rsidRDefault="00515B81" w:rsidP="00515B81">
      <w:pPr>
        <w:rPr>
          <w:sz w:val="24"/>
          <w:szCs w:val="24"/>
        </w:rPr>
      </w:pPr>
      <w:r w:rsidRPr="00515B81">
        <w:rPr>
          <w:sz w:val="24"/>
          <w:szCs w:val="24"/>
        </w:rPr>
        <w:t>Looking ahead, the skills and knowledge gained from this module will continue to inform my approach to security and risk management in professional contexts. One of the key takeaways from the course is the importance of adopting a structured, proactive approach to risk management. In my current role, I plan to implement more rigorous risk assessment processes, using both qualitative and quantitative methods to ensure all potential risks are identified early and effectively mitigated (Aven, 2015).</w:t>
      </w:r>
    </w:p>
    <w:p w14:paraId="756A6001" w14:textId="4C731722" w:rsidR="00515B81" w:rsidRPr="00515B81" w:rsidRDefault="00515B81" w:rsidP="00515B81">
      <w:pPr>
        <w:rPr>
          <w:sz w:val="24"/>
          <w:szCs w:val="24"/>
        </w:rPr>
      </w:pPr>
      <w:r w:rsidRPr="00515B81">
        <w:rPr>
          <w:sz w:val="24"/>
          <w:szCs w:val="24"/>
        </w:rPr>
        <w:t xml:space="preserve">I also intend to apply the leadership skills I developed during the group project to future professional projects. </w:t>
      </w:r>
      <w:r w:rsidR="00CA4B7B" w:rsidRPr="006F5A95">
        <w:rPr>
          <w:sz w:val="24"/>
          <w:szCs w:val="24"/>
        </w:rPr>
        <w:t>I</w:t>
      </w:r>
      <w:r w:rsidRPr="00515B81">
        <w:rPr>
          <w:sz w:val="24"/>
          <w:szCs w:val="24"/>
        </w:rPr>
        <w:t xml:space="preserve"> will continue to emphasi</w:t>
      </w:r>
      <w:r w:rsidR="00CA4B7B" w:rsidRPr="006F5A95">
        <w:rPr>
          <w:sz w:val="24"/>
          <w:szCs w:val="24"/>
        </w:rPr>
        <w:t>s</w:t>
      </w:r>
      <w:r w:rsidRPr="00515B81">
        <w:rPr>
          <w:sz w:val="24"/>
          <w:szCs w:val="24"/>
        </w:rPr>
        <w:t>e the importance of clear communication and delegation based on team members’ strengths. This approach has already proven effective in ensuring smoother workflows and better project outcomes in my workplace, and I am confident it will enhance team collaboration in future endeavo</w:t>
      </w:r>
      <w:r w:rsidR="00CA4B7B" w:rsidRPr="006F5A95">
        <w:rPr>
          <w:sz w:val="24"/>
          <w:szCs w:val="24"/>
        </w:rPr>
        <w:t>u</w:t>
      </w:r>
      <w:r w:rsidRPr="00515B81">
        <w:rPr>
          <w:sz w:val="24"/>
          <w:szCs w:val="24"/>
        </w:rPr>
        <w:t>rs.</w:t>
      </w:r>
    </w:p>
    <w:p w14:paraId="0CF200A6" w14:textId="77777777" w:rsidR="00515B81" w:rsidRPr="00515B81" w:rsidRDefault="00515B81" w:rsidP="00515B81">
      <w:pPr>
        <w:rPr>
          <w:sz w:val="24"/>
          <w:szCs w:val="24"/>
        </w:rPr>
      </w:pPr>
      <w:r w:rsidRPr="00515B81">
        <w:rPr>
          <w:sz w:val="24"/>
          <w:szCs w:val="24"/>
        </w:rPr>
        <w:t>Another significant insight I gained from the module is the importance of integrating regulatory requirements, such as GDPR, into risk management practices. In today's regulatory landscape, ensuring compliance with data protection standards is crucial, especially when dealing with sensitive information. The module’s focus on GDPR helped me understand how to incorporate these standards into risk assessments and security strategies (European Commission, 2016). Moving forward, I plan to ensure that compliance with legal frameworks is a core part of my risk management approach, particularly when handling data security.</w:t>
      </w:r>
    </w:p>
    <w:p w14:paraId="3B0FA491" w14:textId="77777777" w:rsidR="00515B81" w:rsidRPr="00515B81" w:rsidRDefault="00515B81" w:rsidP="00515B81">
      <w:pPr>
        <w:rPr>
          <w:sz w:val="24"/>
          <w:szCs w:val="24"/>
        </w:rPr>
      </w:pPr>
      <w:r w:rsidRPr="00515B81">
        <w:rPr>
          <w:sz w:val="24"/>
          <w:szCs w:val="24"/>
        </w:rPr>
        <w:t>In terms of emerging trends, the module’s coverage of future developments in security, such as AI and automation, highlighted the need to stay informed about technological advancements. As security threats continue to evolve, it is essential to remain adaptable and continuously refine risk management practices. I intend to keep up with industry trends and explore how new technologies can be integrated into security strategies to manage emerging risks more effectively (Weber, 2010).</w:t>
      </w:r>
    </w:p>
    <w:p w14:paraId="6229145B" w14:textId="444446CC" w:rsidR="00515B81" w:rsidRPr="00515B81" w:rsidRDefault="00515B81" w:rsidP="00515B81">
      <w:pPr>
        <w:rPr>
          <w:sz w:val="24"/>
          <w:szCs w:val="24"/>
        </w:rPr>
      </w:pPr>
      <w:r w:rsidRPr="00515B81">
        <w:rPr>
          <w:sz w:val="24"/>
          <w:szCs w:val="24"/>
        </w:rPr>
        <w:lastRenderedPageBreak/>
        <w:t>Additionally, the module's focus on business continuity and disaster recovery (BC/DR) has prompted me to reconsider how these plans are implemented in my current organisation. I now recogni</w:t>
      </w:r>
      <w:r w:rsidR="00CA4B7B" w:rsidRPr="006F5A95">
        <w:rPr>
          <w:sz w:val="24"/>
          <w:szCs w:val="24"/>
        </w:rPr>
        <w:t>s</w:t>
      </w:r>
      <w:r w:rsidRPr="00515B81">
        <w:rPr>
          <w:sz w:val="24"/>
          <w:szCs w:val="24"/>
        </w:rPr>
        <w:t>e the importance of conducting thorough Business Impact Assessments (BIA) and setting realistic Recovery Time Objectives (RTO) and Recovery Point Objectives (RPO) to ensure my workplace is prepared for potential disruptions. These insights will inform my future work in disaster recovery planning, ensuring that my organisation is resilient in the face of unexpected events.</w:t>
      </w:r>
    </w:p>
    <w:p w14:paraId="5CFEE46A" w14:textId="77777777" w:rsidR="00515B81" w:rsidRPr="00515B81" w:rsidRDefault="00515B81" w:rsidP="00515B81">
      <w:pPr>
        <w:rPr>
          <w:b/>
          <w:bCs/>
          <w:sz w:val="24"/>
          <w:szCs w:val="24"/>
        </w:rPr>
      </w:pPr>
      <w:r w:rsidRPr="00515B81">
        <w:rPr>
          <w:b/>
          <w:bCs/>
          <w:sz w:val="24"/>
          <w:szCs w:val="24"/>
        </w:rPr>
        <w:t>Conclusion</w:t>
      </w:r>
    </w:p>
    <w:p w14:paraId="398D8BED" w14:textId="77777777" w:rsidR="00515B81" w:rsidRPr="00515B81" w:rsidRDefault="00515B81" w:rsidP="00515B81">
      <w:pPr>
        <w:rPr>
          <w:sz w:val="24"/>
          <w:szCs w:val="24"/>
        </w:rPr>
      </w:pPr>
      <w:r w:rsidRPr="00515B81">
        <w:rPr>
          <w:sz w:val="24"/>
          <w:szCs w:val="24"/>
        </w:rPr>
        <w:t>Reflecting on my experience in the Security and Risk Management module, I have gained both technical skills and personal insights that will significantly influence my professional practice. The module has shifted my approach to risk management from reactive to proactive, providing me with the tools to assess and mitigate risks more effectively. Additionally, the leadership and collaboration skills I developed through the group project have improved my ability to manage teams and projects in a professional setting.</w:t>
      </w:r>
    </w:p>
    <w:p w14:paraId="063DDFA3" w14:textId="77777777" w:rsidR="00515B81" w:rsidRPr="00515B81" w:rsidRDefault="00515B81" w:rsidP="00515B81">
      <w:pPr>
        <w:rPr>
          <w:sz w:val="24"/>
          <w:szCs w:val="24"/>
        </w:rPr>
      </w:pPr>
      <w:r w:rsidRPr="00515B81">
        <w:rPr>
          <w:sz w:val="24"/>
          <w:szCs w:val="24"/>
        </w:rPr>
        <w:t>Moving forward, I am committed to applying the knowledge and skills gained from this module in both academic and professional contexts. By adopting a more structured, informed approach to risk management, I will be better equipped to contribute to the security and resilience of the organisations I work with. Moreover, I plan to continue developing my skills and staying updated on emerging trends in security to ensure I remain adaptable and effective in managing the ever-evolving risks associated with today’s technological landscape.</w:t>
      </w:r>
    </w:p>
    <w:p w14:paraId="0EB93035" w14:textId="6A385DD7" w:rsidR="00515B81" w:rsidRPr="00515B81" w:rsidRDefault="00515B81" w:rsidP="00515B81">
      <w:pPr>
        <w:rPr>
          <w:sz w:val="24"/>
          <w:szCs w:val="24"/>
        </w:rPr>
      </w:pPr>
    </w:p>
    <w:p w14:paraId="717B195F" w14:textId="77777777" w:rsidR="00515B81" w:rsidRPr="00515B81" w:rsidRDefault="00515B81" w:rsidP="00515B81">
      <w:pPr>
        <w:rPr>
          <w:b/>
          <w:bCs/>
          <w:sz w:val="24"/>
          <w:szCs w:val="24"/>
        </w:rPr>
      </w:pPr>
      <w:r w:rsidRPr="00515B81">
        <w:rPr>
          <w:b/>
          <w:bCs/>
          <w:sz w:val="24"/>
          <w:szCs w:val="24"/>
        </w:rPr>
        <w:t>References</w:t>
      </w:r>
    </w:p>
    <w:p w14:paraId="3ED44966" w14:textId="77777777" w:rsidR="006F5A95" w:rsidRPr="006F5A95" w:rsidRDefault="006F5A95" w:rsidP="006F5A95">
      <w:pPr>
        <w:pStyle w:val="ListParagraph"/>
        <w:numPr>
          <w:ilvl w:val="0"/>
          <w:numId w:val="1"/>
        </w:numPr>
        <w:rPr>
          <w:sz w:val="24"/>
          <w:szCs w:val="24"/>
        </w:rPr>
      </w:pPr>
      <w:r w:rsidRPr="006F5A95">
        <w:rPr>
          <w:sz w:val="24"/>
          <w:szCs w:val="24"/>
        </w:rPr>
        <w:t xml:space="preserve">Aven, T. (2015) </w:t>
      </w:r>
      <w:r w:rsidRPr="006F5A95">
        <w:rPr>
          <w:i/>
          <w:iCs/>
          <w:sz w:val="24"/>
          <w:szCs w:val="24"/>
        </w:rPr>
        <w:t>Risk analysis</w:t>
      </w:r>
      <w:r w:rsidRPr="006F5A95">
        <w:rPr>
          <w:sz w:val="24"/>
          <w:szCs w:val="24"/>
        </w:rPr>
        <w:t xml:space="preserve">. 2nd </w:t>
      </w:r>
      <w:proofErr w:type="spellStart"/>
      <w:r w:rsidRPr="006F5A95">
        <w:rPr>
          <w:sz w:val="24"/>
          <w:szCs w:val="24"/>
        </w:rPr>
        <w:t>edn</w:t>
      </w:r>
      <w:proofErr w:type="spellEnd"/>
      <w:r w:rsidRPr="006F5A95">
        <w:rPr>
          <w:sz w:val="24"/>
          <w:szCs w:val="24"/>
        </w:rPr>
        <w:t>. Chichester: Wiley.</w:t>
      </w:r>
    </w:p>
    <w:p w14:paraId="711094EF" w14:textId="77777777" w:rsidR="006F5A95" w:rsidRPr="006F5A95" w:rsidRDefault="006F5A95" w:rsidP="006F5A95">
      <w:pPr>
        <w:pStyle w:val="ListParagraph"/>
        <w:numPr>
          <w:ilvl w:val="0"/>
          <w:numId w:val="1"/>
        </w:numPr>
        <w:rPr>
          <w:sz w:val="24"/>
          <w:szCs w:val="24"/>
        </w:rPr>
      </w:pPr>
      <w:r w:rsidRPr="006F5A95">
        <w:rPr>
          <w:sz w:val="24"/>
          <w:szCs w:val="24"/>
        </w:rPr>
        <w:t xml:space="preserve">European Commission (2016) </w:t>
      </w:r>
      <w:r w:rsidRPr="006F5A95">
        <w:rPr>
          <w:i/>
          <w:iCs/>
          <w:sz w:val="24"/>
          <w:szCs w:val="24"/>
        </w:rPr>
        <w:t>General Data Protection Regulation (GDPR)</w:t>
      </w:r>
      <w:r w:rsidRPr="006F5A95">
        <w:rPr>
          <w:sz w:val="24"/>
          <w:szCs w:val="24"/>
        </w:rPr>
        <w:t>.</w:t>
      </w:r>
    </w:p>
    <w:p w14:paraId="242E8E96" w14:textId="77777777" w:rsidR="006F5A95" w:rsidRPr="006F5A95" w:rsidRDefault="006F5A95" w:rsidP="006F5A95">
      <w:pPr>
        <w:pStyle w:val="ListParagraph"/>
        <w:numPr>
          <w:ilvl w:val="0"/>
          <w:numId w:val="1"/>
        </w:numPr>
        <w:rPr>
          <w:sz w:val="24"/>
          <w:szCs w:val="24"/>
        </w:rPr>
      </w:pPr>
      <w:r w:rsidRPr="006F5A95">
        <w:rPr>
          <w:sz w:val="24"/>
          <w:szCs w:val="24"/>
        </w:rPr>
        <w:t xml:space="preserve">Gjerdrum, D. and Peter, M. (2011) 'The new international standard on the practice of risk management—A comparison of ISO 31000:2009 and the COSO ERM framework', </w:t>
      </w:r>
      <w:r w:rsidRPr="006F5A95">
        <w:rPr>
          <w:i/>
          <w:iCs/>
          <w:sz w:val="24"/>
          <w:szCs w:val="24"/>
        </w:rPr>
        <w:t>Risk Management</w:t>
      </w:r>
      <w:r w:rsidRPr="006F5A95">
        <w:rPr>
          <w:sz w:val="24"/>
          <w:szCs w:val="24"/>
        </w:rPr>
        <w:t>, 31(5), pp. 8–12.</w:t>
      </w:r>
    </w:p>
    <w:p w14:paraId="2920CA6A" w14:textId="77777777" w:rsidR="006F5A95" w:rsidRPr="006F5A95" w:rsidRDefault="006F5A95" w:rsidP="006F5A95">
      <w:pPr>
        <w:pStyle w:val="ListParagraph"/>
        <w:numPr>
          <w:ilvl w:val="0"/>
          <w:numId w:val="1"/>
        </w:numPr>
        <w:rPr>
          <w:sz w:val="24"/>
          <w:szCs w:val="24"/>
        </w:rPr>
      </w:pPr>
      <w:r w:rsidRPr="006F5A95">
        <w:rPr>
          <w:sz w:val="24"/>
          <w:szCs w:val="24"/>
        </w:rPr>
        <w:t xml:space="preserve">Rolfe, G., Freshwater, D. and Jasper, M. (2001) </w:t>
      </w:r>
      <w:r w:rsidRPr="006F5A95">
        <w:rPr>
          <w:i/>
          <w:iCs/>
          <w:sz w:val="24"/>
          <w:szCs w:val="24"/>
        </w:rPr>
        <w:t>Critical reflection in nursing and the helping professions: A user's guide</w:t>
      </w:r>
      <w:r w:rsidRPr="006F5A95">
        <w:rPr>
          <w:sz w:val="24"/>
          <w:szCs w:val="24"/>
        </w:rPr>
        <w:t>. Basingstoke: Palgrave Macmillan.</w:t>
      </w:r>
    </w:p>
    <w:p w14:paraId="6A0207A4" w14:textId="77777777" w:rsidR="006F5A95" w:rsidRPr="006F5A95" w:rsidRDefault="006F5A95" w:rsidP="006F5A95">
      <w:pPr>
        <w:pStyle w:val="ListParagraph"/>
        <w:numPr>
          <w:ilvl w:val="0"/>
          <w:numId w:val="1"/>
        </w:numPr>
        <w:rPr>
          <w:sz w:val="24"/>
          <w:szCs w:val="24"/>
        </w:rPr>
      </w:pPr>
      <w:r w:rsidRPr="006F5A95">
        <w:rPr>
          <w:sz w:val="24"/>
          <w:szCs w:val="24"/>
        </w:rPr>
        <w:t xml:space="preserve">Weber, K. (2010) 'The future of security: New technology and emerging trends', </w:t>
      </w:r>
      <w:r w:rsidRPr="006F5A95">
        <w:rPr>
          <w:i/>
          <w:iCs/>
          <w:sz w:val="24"/>
          <w:szCs w:val="24"/>
        </w:rPr>
        <w:t>Information Security Journal: A Global Perspective</w:t>
      </w:r>
      <w:r w:rsidRPr="006F5A95">
        <w:rPr>
          <w:sz w:val="24"/>
          <w:szCs w:val="24"/>
        </w:rPr>
        <w:t>, 19(5), pp. 251–257.</w:t>
      </w:r>
    </w:p>
    <w:p w14:paraId="6E3C29F1" w14:textId="77777777" w:rsidR="006C3575" w:rsidRPr="006F5A95" w:rsidRDefault="006C3575">
      <w:pPr>
        <w:rPr>
          <w:sz w:val="24"/>
          <w:szCs w:val="24"/>
        </w:rPr>
      </w:pPr>
    </w:p>
    <w:sectPr w:rsidR="006C3575" w:rsidRPr="006F5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3742F"/>
    <w:multiLevelType w:val="hybridMultilevel"/>
    <w:tmpl w:val="EE503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08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5423"/>
    <w:rsid w:val="000902DD"/>
    <w:rsid w:val="000E453C"/>
    <w:rsid w:val="001B2CB6"/>
    <w:rsid w:val="00215423"/>
    <w:rsid w:val="0023605D"/>
    <w:rsid w:val="0025726F"/>
    <w:rsid w:val="00276A1B"/>
    <w:rsid w:val="00515B81"/>
    <w:rsid w:val="006C3575"/>
    <w:rsid w:val="006D56B4"/>
    <w:rsid w:val="006F5A95"/>
    <w:rsid w:val="008C71B2"/>
    <w:rsid w:val="009A4979"/>
    <w:rsid w:val="00A06363"/>
    <w:rsid w:val="00CA4B7B"/>
    <w:rsid w:val="00EF1DE7"/>
    <w:rsid w:val="00F813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056BC"/>
  <w15:chartTrackingRefBased/>
  <w15:docId w15:val="{7700F99D-E3DC-43E7-8860-BDB805FB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4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4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4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4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4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4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4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4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4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4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423"/>
    <w:rPr>
      <w:rFonts w:eastAsiaTheme="majorEastAsia" w:cstheme="majorBidi"/>
      <w:color w:val="272727" w:themeColor="text1" w:themeTint="D8"/>
    </w:rPr>
  </w:style>
  <w:style w:type="paragraph" w:styleId="Title">
    <w:name w:val="Title"/>
    <w:basedOn w:val="Normal"/>
    <w:next w:val="Normal"/>
    <w:link w:val="TitleChar"/>
    <w:uiPriority w:val="10"/>
    <w:qFormat/>
    <w:rsid w:val="00215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423"/>
    <w:pPr>
      <w:spacing w:before="160"/>
      <w:jc w:val="center"/>
    </w:pPr>
    <w:rPr>
      <w:i/>
      <w:iCs/>
      <w:color w:val="404040" w:themeColor="text1" w:themeTint="BF"/>
    </w:rPr>
  </w:style>
  <w:style w:type="character" w:customStyle="1" w:styleId="QuoteChar">
    <w:name w:val="Quote Char"/>
    <w:basedOn w:val="DefaultParagraphFont"/>
    <w:link w:val="Quote"/>
    <w:uiPriority w:val="29"/>
    <w:rsid w:val="00215423"/>
    <w:rPr>
      <w:i/>
      <w:iCs/>
      <w:color w:val="404040" w:themeColor="text1" w:themeTint="BF"/>
    </w:rPr>
  </w:style>
  <w:style w:type="paragraph" w:styleId="ListParagraph">
    <w:name w:val="List Paragraph"/>
    <w:basedOn w:val="Normal"/>
    <w:uiPriority w:val="34"/>
    <w:qFormat/>
    <w:rsid w:val="00215423"/>
    <w:pPr>
      <w:ind w:left="720"/>
      <w:contextualSpacing/>
    </w:pPr>
  </w:style>
  <w:style w:type="character" w:styleId="IntenseEmphasis">
    <w:name w:val="Intense Emphasis"/>
    <w:basedOn w:val="DefaultParagraphFont"/>
    <w:uiPriority w:val="21"/>
    <w:qFormat/>
    <w:rsid w:val="00215423"/>
    <w:rPr>
      <w:i/>
      <w:iCs/>
      <w:color w:val="2F5496" w:themeColor="accent1" w:themeShade="BF"/>
    </w:rPr>
  </w:style>
  <w:style w:type="paragraph" w:styleId="IntenseQuote">
    <w:name w:val="Intense Quote"/>
    <w:basedOn w:val="Normal"/>
    <w:next w:val="Normal"/>
    <w:link w:val="IntenseQuoteChar"/>
    <w:uiPriority w:val="30"/>
    <w:qFormat/>
    <w:rsid w:val="002154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423"/>
    <w:rPr>
      <w:i/>
      <w:iCs/>
      <w:color w:val="2F5496" w:themeColor="accent1" w:themeShade="BF"/>
    </w:rPr>
  </w:style>
  <w:style w:type="character" w:styleId="IntenseReference">
    <w:name w:val="Intense Reference"/>
    <w:basedOn w:val="DefaultParagraphFont"/>
    <w:uiPriority w:val="32"/>
    <w:qFormat/>
    <w:rsid w:val="00215423"/>
    <w:rPr>
      <w:b/>
      <w:bCs/>
      <w:smallCaps/>
      <w:color w:val="2F5496" w:themeColor="accent1" w:themeShade="BF"/>
      <w:spacing w:val="5"/>
    </w:rPr>
  </w:style>
  <w:style w:type="character" w:styleId="Hyperlink">
    <w:name w:val="Hyperlink"/>
    <w:basedOn w:val="DefaultParagraphFont"/>
    <w:uiPriority w:val="99"/>
    <w:unhideWhenUsed/>
    <w:rsid w:val="00515B81"/>
    <w:rPr>
      <w:color w:val="0563C1" w:themeColor="hyperlink"/>
      <w:u w:val="single"/>
    </w:rPr>
  </w:style>
  <w:style w:type="character" w:styleId="UnresolvedMention">
    <w:name w:val="Unresolved Mention"/>
    <w:basedOn w:val="DefaultParagraphFont"/>
    <w:uiPriority w:val="99"/>
    <w:semiHidden/>
    <w:unhideWhenUsed/>
    <w:rsid w:val="00515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2391">
      <w:bodyDiv w:val="1"/>
      <w:marLeft w:val="0"/>
      <w:marRight w:val="0"/>
      <w:marTop w:val="0"/>
      <w:marBottom w:val="0"/>
      <w:divBdr>
        <w:top w:val="none" w:sz="0" w:space="0" w:color="auto"/>
        <w:left w:val="none" w:sz="0" w:space="0" w:color="auto"/>
        <w:bottom w:val="none" w:sz="0" w:space="0" w:color="auto"/>
        <w:right w:val="none" w:sz="0" w:space="0" w:color="auto"/>
      </w:divBdr>
    </w:div>
    <w:div w:id="506141207">
      <w:bodyDiv w:val="1"/>
      <w:marLeft w:val="0"/>
      <w:marRight w:val="0"/>
      <w:marTop w:val="0"/>
      <w:marBottom w:val="0"/>
      <w:divBdr>
        <w:top w:val="none" w:sz="0" w:space="0" w:color="auto"/>
        <w:left w:val="none" w:sz="0" w:space="0" w:color="auto"/>
        <w:bottom w:val="none" w:sz="0" w:space="0" w:color="auto"/>
        <w:right w:val="none" w:sz="0" w:space="0" w:color="auto"/>
      </w:divBdr>
    </w:div>
    <w:div w:id="819033109">
      <w:bodyDiv w:val="1"/>
      <w:marLeft w:val="0"/>
      <w:marRight w:val="0"/>
      <w:marTop w:val="0"/>
      <w:marBottom w:val="0"/>
      <w:divBdr>
        <w:top w:val="none" w:sz="0" w:space="0" w:color="auto"/>
        <w:left w:val="none" w:sz="0" w:space="0" w:color="auto"/>
        <w:bottom w:val="none" w:sz="0" w:space="0" w:color="auto"/>
        <w:right w:val="none" w:sz="0" w:space="0" w:color="auto"/>
      </w:divBdr>
    </w:div>
    <w:div w:id="1034162020">
      <w:bodyDiv w:val="1"/>
      <w:marLeft w:val="0"/>
      <w:marRight w:val="0"/>
      <w:marTop w:val="0"/>
      <w:marBottom w:val="0"/>
      <w:divBdr>
        <w:top w:val="none" w:sz="0" w:space="0" w:color="auto"/>
        <w:left w:val="none" w:sz="0" w:space="0" w:color="auto"/>
        <w:bottom w:val="none" w:sz="0" w:space="0" w:color="auto"/>
        <w:right w:val="none" w:sz="0" w:space="0" w:color="auto"/>
      </w:divBdr>
    </w:div>
    <w:div w:id="1095789313">
      <w:bodyDiv w:val="1"/>
      <w:marLeft w:val="0"/>
      <w:marRight w:val="0"/>
      <w:marTop w:val="0"/>
      <w:marBottom w:val="0"/>
      <w:divBdr>
        <w:top w:val="none" w:sz="0" w:space="0" w:color="auto"/>
        <w:left w:val="none" w:sz="0" w:space="0" w:color="auto"/>
        <w:bottom w:val="none" w:sz="0" w:space="0" w:color="auto"/>
        <w:right w:val="none" w:sz="0" w:space="0" w:color="auto"/>
      </w:divBdr>
    </w:div>
    <w:div w:id="202840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38345-E98B-42D2-A141-8948AE2B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1195</Words>
  <Characters>7607</Characters>
  <Application>Microsoft Office Word</Application>
  <DocSecurity>0</DocSecurity>
  <Lines>108</Lines>
  <Paragraphs>24</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10</cp:revision>
  <dcterms:created xsi:type="dcterms:W3CDTF">2024-10-19T14:27:00Z</dcterms:created>
  <dcterms:modified xsi:type="dcterms:W3CDTF">2024-10-19T15:01:00Z</dcterms:modified>
</cp:coreProperties>
</file>