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8BE5" w14:textId="77777777" w:rsidR="00D3721F" w:rsidRPr="00D3721F" w:rsidRDefault="00D3721F" w:rsidP="00D3721F">
      <w:pPr>
        <w:rPr>
          <w:b/>
          <w:bCs/>
        </w:rPr>
      </w:pPr>
      <w:r w:rsidRPr="00D3721F">
        <w:rPr>
          <w:b/>
          <w:bCs/>
        </w:rPr>
        <w:t>Literature Review Outline</w:t>
      </w:r>
    </w:p>
    <w:p w14:paraId="7D58AA67" w14:textId="77777777" w:rsidR="00D3721F" w:rsidRPr="00D3721F" w:rsidRDefault="00D3721F" w:rsidP="00D3721F">
      <w:pPr>
        <w:rPr>
          <w:b/>
          <w:bCs/>
        </w:rPr>
      </w:pPr>
      <w:r w:rsidRPr="00D3721F">
        <w:rPr>
          <w:b/>
          <w:bCs/>
        </w:rPr>
        <w:t>Working Title</w:t>
      </w:r>
    </w:p>
    <w:p w14:paraId="4D8E25EE" w14:textId="77777777" w:rsidR="00D3721F" w:rsidRPr="00D3721F" w:rsidRDefault="00D3721F" w:rsidP="00D3721F">
      <w:r w:rsidRPr="00D3721F">
        <w:rPr>
          <w:b/>
          <w:bCs/>
        </w:rPr>
        <w:t>The Impact of Large Language Models (LLMs) in the Public Sector</w:t>
      </w:r>
    </w:p>
    <w:p w14:paraId="615206AE" w14:textId="18A622DD" w:rsidR="00D3721F" w:rsidRPr="00D3721F" w:rsidRDefault="00D3721F" w:rsidP="00D3721F"/>
    <w:p w14:paraId="22D73EA5" w14:textId="77777777" w:rsidR="00D3721F" w:rsidRPr="00D3721F" w:rsidRDefault="00D3721F" w:rsidP="00D3721F">
      <w:pPr>
        <w:rPr>
          <w:b/>
          <w:bCs/>
        </w:rPr>
      </w:pPr>
      <w:r w:rsidRPr="00D3721F">
        <w:rPr>
          <w:b/>
          <w:bCs/>
        </w:rPr>
        <w:t>Research Aim</w:t>
      </w:r>
    </w:p>
    <w:p w14:paraId="368AF5F7" w14:textId="77777777" w:rsidR="00D3721F" w:rsidRPr="00D3721F" w:rsidRDefault="00D3721F" w:rsidP="00D3721F">
      <w:r w:rsidRPr="00D3721F">
        <w:t>To critically evaluate how Large Language Models (LLMs), such as ChatGPT and Google Gemini, are transforming service delivery, decision-making, and information management within the public sector, with a focus on both opportunities and ethical challenges.</w:t>
      </w:r>
    </w:p>
    <w:p w14:paraId="0C0ADD26" w14:textId="1338A272" w:rsidR="00D3721F" w:rsidRPr="00D3721F" w:rsidRDefault="00D3721F" w:rsidP="00D3721F"/>
    <w:p w14:paraId="17D2BB2C" w14:textId="77777777" w:rsidR="00D3721F" w:rsidRPr="00D3721F" w:rsidRDefault="00D3721F" w:rsidP="00D3721F">
      <w:pPr>
        <w:rPr>
          <w:b/>
          <w:bCs/>
        </w:rPr>
      </w:pPr>
      <w:r w:rsidRPr="00D3721F">
        <w:rPr>
          <w:b/>
          <w:bCs/>
        </w:rPr>
        <w:t>Research Objectives</w:t>
      </w:r>
    </w:p>
    <w:p w14:paraId="0A633B96" w14:textId="77777777" w:rsidR="00D3721F" w:rsidRPr="00D3721F" w:rsidRDefault="00D3721F" w:rsidP="00D3721F">
      <w:pPr>
        <w:numPr>
          <w:ilvl w:val="0"/>
          <w:numId w:val="1"/>
        </w:numPr>
      </w:pPr>
      <w:r w:rsidRPr="00D3721F">
        <w:t>To explore the role and applications of LLMs in public-sector organisations, including citizen engagement, document automation, and data analysis.</w:t>
      </w:r>
    </w:p>
    <w:p w14:paraId="1BF1B09A" w14:textId="77777777" w:rsidR="00D3721F" w:rsidRPr="00D3721F" w:rsidRDefault="00D3721F" w:rsidP="00D3721F">
      <w:pPr>
        <w:numPr>
          <w:ilvl w:val="0"/>
          <w:numId w:val="1"/>
        </w:numPr>
      </w:pPr>
      <w:r w:rsidRPr="00D3721F">
        <w:t>To assess the ethical, social, and governance implications of LLM adoption, including data privacy, bias, and accountability.</w:t>
      </w:r>
    </w:p>
    <w:p w14:paraId="2210C5E2" w14:textId="77777777" w:rsidR="00D3721F" w:rsidRPr="00D3721F" w:rsidRDefault="00D3721F" w:rsidP="00D3721F">
      <w:pPr>
        <w:numPr>
          <w:ilvl w:val="0"/>
          <w:numId w:val="1"/>
        </w:numPr>
      </w:pPr>
      <w:r w:rsidRPr="00D3721F">
        <w:t>To examine how public-sector IT and policy frameworks can ensure responsible, transparent, and secure deployment of LLM technologies.</w:t>
      </w:r>
    </w:p>
    <w:p w14:paraId="788442F1" w14:textId="77777777" w:rsidR="00D3721F" w:rsidRPr="00D3721F" w:rsidRDefault="00D3721F" w:rsidP="00D3721F">
      <w:pPr>
        <w:numPr>
          <w:ilvl w:val="0"/>
          <w:numId w:val="1"/>
        </w:numPr>
      </w:pPr>
      <w:r w:rsidRPr="00D3721F">
        <w:t>To identify best practices and recommendations for integrating LLMs effectively within public administration.</w:t>
      </w:r>
    </w:p>
    <w:p w14:paraId="05092193" w14:textId="04B88B04" w:rsidR="00D3721F" w:rsidRPr="00D3721F" w:rsidRDefault="00D3721F" w:rsidP="00D3721F"/>
    <w:p w14:paraId="4A59A7FE" w14:textId="77777777" w:rsidR="00D3721F" w:rsidRPr="00D3721F" w:rsidRDefault="00D3721F" w:rsidP="00D3721F">
      <w:pPr>
        <w:rPr>
          <w:b/>
          <w:bCs/>
        </w:rPr>
      </w:pPr>
      <w:r w:rsidRPr="00D3721F">
        <w:rPr>
          <w:b/>
          <w:bCs/>
        </w:rPr>
        <w:t>Rationale / Background</w:t>
      </w:r>
    </w:p>
    <w:p w14:paraId="6C8E9FD3" w14:textId="10F19A8D" w:rsidR="00D3721F" w:rsidRPr="00D3721F" w:rsidRDefault="00D3721F" w:rsidP="00D3721F">
      <w:r w:rsidRPr="00D3721F">
        <w:t>Public authorities have begun adopting LLMs to improve efficiency in communication, automate report generation, and enhance citizen-facing services. Governments and local councils are trialling tools such as ChatGPT to draft correspondence, summarise reports, and analyse large datasets.</w:t>
      </w:r>
      <w:r w:rsidRPr="00D3721F">
        <w:br/>
        <w:t xml:space="preserve">However, these developments raise questions of trust, data protection, and transparency. Correa et al. (2023) note that global AI governance remains fragmented, while </w:t>
      </w:r>
      <w:proofErr w:type="spellStart"/>
      <w:r w:rsidRPr="00D3721F">
        <w:t>Floridi</w:t>
      </w:r>
      <w:proofErr w:type="spellEnd"/>
      <w:r w:rsidRPr="00D3721F">
        <w:t xml:space="preserve"> (2023) argues that ethical alignment between human values and AI systems is essential to maintain legitimacy. The European Commission’s AI Act (2024) introduces risk-based controls that classify such systems as potentially high-risk, particularly when used for decision-making or communication with the public.</w:t>
      </w:r>
      <w:r w:rsidRPr="00D3721F">
        <w:br/>
        <w:t>This topic is both relevant and timely, bridging technology, ethics, and governance</w:t>
      </w:r>
      <w:r>
        <w:t xml:space="preserve">, </w:t>
      </w:r>
      <w:r w:rsidRPr="00D3721F">
        <w:t>three pillars of modern digital transformation. For practitioners working in IT governance and automation, understanding how LLMs reshape public service operations provides direct academic and professional value.</w:t>
      </w:r>
    </w:p>
    <w:p w14:paraId="369658B7" w14:textId="52B00F73" w:rsidR="00D3721F" w:rsidRPr="00D3721F" w:rsidRDefault="00D3721F" w:rsidP="00D3721F"/>
    <w:p w14:paraId="40D63015" w14:textId="77777777" w:rsidR="00D3721F" w:rsidRPr="00D3721F" w:rsidRDefault="00D3721F" w:rsidP="00D3721F">
      <w:pPr>
        <w:rPr>
          <w:b/>
          <w:bCs/>
        </w:rPr>
      </w:pPr>
      <w:r w:rsidRPr="00D3721F">
        <w:rPr>
          <w:b/>
          <w:bCs/>
        </w:rPr>
        <w:t>Initial Literature Themes</w:t>
      </w:r>
    </w:p>
    <w:p w14:paraId="73FF7A08" w14:textId="77777777" w:rsidR="00D3721F" w:rsidRPr="00D3721F" w:rsidRDefault="00D3721F" w:rsidP="00D3721F">
      <w:r w:rsidRPr="00D3721F">
        <w:rPr>
          <w:b/>
          <w:bCs/>
        </w:rPr>
        <w:t>Transformation of Public Services through LLMs</w:t>
      </w:r>
      <w:r w:rsidRPr="00D3721F">
        <w:br/>
        <w:t>Automation of administrative tasks, citizen chatbots, and policy-analysis tools (Hacker et al., 2023; BCS, 2023).</w:t>
      </w:r>
      <w:r w:rsidRPr="00D3721F">
        <w:br/>
        <w:t>Benefits include efficiency, accessibility, and improved communication.</w:t>
      </w:r>
    </w:p>
    <w:p w14:paraId="2AF96E08" w14:textId="77777777" w:rsidR="00D3721F" w:rsidRPr="00D3721F" w:rsidRDefault="00D3721F" w:rsidP="00D3721F">
      <w:r w:rsidRPr="00D3721F">
        <w:rPr>
          <w:b/>
          <w:bCs/>
        </w:rPr>
        <w:lastRenderedPageBreak/>
        <w:t>Ethical and Legal Implications</w:t>
      </w:r>
      <w:r w:rsidRPr="00D3721F">
        <w:br/>
        <w:t>Risks of bias, misinformation, and hallucination in automated systems (</w:t>
      </w:r>
      <w:proofErr w:type="spellStart"/>
      <w:r w:rsidRPr="00D3721F">
        <w:t>Gotterbarn</w:t>
      </w:r>
      <w:proofErr w:type="spellEnd"/>
      <w:r w:rsidRPr="00D3721F">
        <w:t xml:space="preserve">, Miller and Rogerson, 2019; </w:t>
      </w:r>
      <w:proofErr w:type="spellStart"/>
      <w:r w:rsidRPr="00D3721F">
        <w:t>Floridi</w:t>
      </w:r>
      <w:proofErr w:type="spellEnd"/>
      <w:r w:rsidRPr="00D3721F">
        <w:t>, 2023).</w:t>
      </w:r>
      <w:r w:rsidRPr="00D3721F">
        <w:br/>
        <w:t>Legal frameworks such as the GDPR, EU AI Act, and the UK AI White Paper (UK Government, 2023) provide guidance.</w:t>
      </w:r>
    </w:p>
    <w:p w14:paraId="3DFEFCC0" w14:textId="77777777" w:rsidR="00D3721F" w:rsidRPr="00D3721F" w:rsidRDefault="00D3721F" w:rsidP="00D3721F">
      <w:r w:rsidRPr="00D3721F">
        <w:rPr>
          <w:b/>
          <w:bCs/>
        </w:rPr>
        <w:t>Data Security and Governance</w:t>
      </w:r>
      <w:r w:rsidRPr="00D3721F">
        <w:br/>
        <w:t>Managing confidential public data in AI systems while ensuring traceability and auditability (Pollini, 2022; European Data Protection Board, 2024).</w:t>
      </w:r>
      <w:r w:rsidRPr="00D3721F">
        <w:br/>
        <w:t>Emphasises accountability frameworks and transparency mechanisms.</w:t>
      </w:r>
    </w:p>
    <w:p w14:paraId="7A333567" w14:textId="77777777" w:rsidR="00D3721F" w:rsidRPr="00D3721F" w:rsidRDefault="00D3721F" w:rsidP="00D3721F">
      <w:r w:rsidRPr="00D3721F">
        <w:rPr>
          <w:b/>
          <w:bCs/>
        </w:rPr>
        <w:t>Public Trust and Human Oversight</w:t>
      </w:r>
      <w:r w:rsidRPr="00D3721F">
        <w:br/>
        <w:t>Citizen trust in AI-assisted decisions and the importance of human-in-the-loop mechanisms (Deckard, 2023; UNESCO, 2021).</w:t>
      </w:r>
      <w:r w:rsidRPr="00D3721F">
        <w:br/>
        <w:t>Focus on balancing automation with ethical judgement in sensitive services.</w:t>
      </w:r>
    </w:p>
    <w:p w14:paraId="1994A097" w14:textId="566BEBCE" w:rsidR="00D3721F" w:rsidRPr="00D3721F" w:rsidRDefault="00D3721F" w:rsidP="00D3721F"/>
    <w:p w14:paraId="75E1712E" w14:textId="77777777" w:rsidR="00D3721F" w:rsidRPr="00D3721F" w:rsidRDefault="00D3721F" w:rsidP="00D3721F">
      <w:pPr>
        <w:rPr>
          <w:b/>
          <w:bCs/>
        </w:rPr>
      </w:pPr>
      <w:r w:rsidRPr="00D3721F">
        <w:rPr>
          <w:b/>
          <w:bCs/>
        </w:rPr>
        <w:t>Identified Gap</w:t>
      </w:r>
    </w:p>
    <w:p w14:paraId="64BFF7FB" w14:textId="77777777" w:rsidR="00D3721F" w:rsidRPr="00D3721F" w:rsidRDefault="00D3721F" w:rsidP="00D3721F">
      <w:r w:rsidRPr="00D3721F">
        <w:t>While research on LLMs in business and education is expanding, studies on their use in the public sector remain limited. Existing work often focuses on technical performance rather than governance and citizen trust. This review addresses that gap by integrating technological, ethical, and institutional perspectives.</w:t>
      </w:r>
    </w:p>
    <w:p w14:paraId="33994535" w14:textId="000B12CA" w:rsidR="00D3721F" w:rsidRPr="00D3721F" w:rsidRDefault="00D3721F" w:rsidP="00D3721F"/>
    <w:p w14:paraId="1A00C0BF" w14:textId="77777777" w:rsidR="00D3721F" w:rsidRPr="00D3721F" w:rsidRDefault="00D3721F" w:rsidP="00D3721F">
      <w:pPr>
        <w:rPr>
          <w:b/>
          <w:bCs/>
        </w:rPr>
      </w:pPr>
      <w:r w:rsidRPr="00D3721F">
        <w:rPr>
          <w:b/>
          <w:bCs/>
        </w:rPr>
        <w:t>Proposed Structure of the Full Literature Review</w:t>
      </w:r>
    </w:p>
    <w:p w14:paraId="29EF2599" w14:textId="77777777" w:rsidR="00D3721F" w:rsidRPr="00D3721F" w:rsidRDefault="00D3721F" w:rsidP="00D3721F">
      <w:pPr>
        <w:numPr>
          <w:ilvl w:val="0"/>
          <w:numId w:val="2"/>
        </w:numPr>
      </w:pPr>
      <w:r w:rsidRPr="00D3721F">
        <w:t>Introduction – Overview of LLM technology and its relevance to public administration.</w:t>
      </w:r>
    </w:p>
    <w:p w14:paraId="568219A0" w14:textId="77777777" w:rsidR="00D3721F" w:rsidRPr="00D3721F" w:rsidRDefault="00D3721F" w:rsidP="00D3721F">
      <w:pPr>
        <w:numPr>
          <w:ilvl w:val="0"/>
          <w:numId w:val="2"/>
        </w:numPr>
      </w:pPr>
      <w:r w:rsidRPr="00D3721F">
        <w:t>Applications in the Public Sector – Examples of LLM use cases and benefits.</w:t>
      </w:r>
    </w:p>
    <w:p w14:paraId="581DEE0F" w14:textId="77777777" w:rsidR="00D3721F" w:rsidRPr="00D3721F" w:rsidRDefault="00D3721F" w:rsidP="00D3721F">
      <w:pPr>
        <w:numPr>
          <w:ilvl w:val="0"/>
          <w:numId w:val="2"/>
        </w:numPr>
      </w:pPr>
      <w:r w:rsidRPr="00D3721F">
        <w:t>Ethical, Legal, and Governance Challenges – Discussion of privacy, bias, transparency, and regulatory compliance.</w:t>
      </w:r>
    </w:p>
    <w:p w14:paraId="0F42949D" w14:textId="77777777" w:rsidR="00D3721F" w:rsidRPr="00D3721F" w:rsidRDefault="00D3721F" w:rsidP="00D3721F">
      <w:pPr>
        <w:numPr>
          <w:ilvl w:val="0"/>
          <w:numId w:val="2"/>
        </w:numPr>
      </w:pPr>
      <w:r w:rsidRPr="00D3721F">
        <w:t>Public Trust and Professional Responsibility – Computing ethics and accountability frameworks.</w:t>
      </w:r>
    </w:p>
    <w:p w14:paraId="084BF260" w14:textId="77777777" w:rsidR="00D3721F" w:rsidRPr="00D3721F" w:rsidRDefault="00D3721F" w:rsidP="00D3721F">
      <w:pPr>
        <w:numPr>
          <w:ilvl w:val="0"/>
          <w:numId w:val="2"/>
        </w:numPr>
      </w:pPr>
      <w:r w:rsidRPr="00D3721F">
        <w:t>Critical Analysis and Discussion – Synthesising findings and identifying research gaps.</w:t>
      </w:r>
    </w:p>
    <w:p w14:paraId="649E0E36" w14:textId="77777777" w:rsidR="00D3721F" w:rsidRPr="00D3721F" w:rsidRDefault="00D3721F" w:rsidP="00D3721F">
      <w:pPr>
        <w:numPr>
          <w:ilvl w:val="0"/>
          <w:numId w:val="2"/>
        </w:numPr>
      </w:pPr>
      <w:r w:rsidRPr="00D3721F">
        <w:t>Conclusion and Recommendations – Summary of insights and proposals for future work.</w:t>
      </w:r>
    </w:p>
    <w:p w14:paraId="1E941672" w14:textId="7C55332D" w:rsidR="00D3721F" w:rsidRPr="00D3721F" w:rsidRDefault="00D3721F" w:rsidP="00D3721F"/>
    <w:p w14:paraId="322DCB50" w14:textId="20921064" w:rsidR="00D3721F" w:rsidRPr="00D3721F" w:rsidRDefault="00D3721F" w:rsidP="00D3721F">
      <w:pPr>
        <w:rPr>
          <w:b/>
          <w:bCs/>
        </w:rPr>
      </w:pPr>
      <w:r w:rsidRPr="00D3721F">
        <w:rPr>
          <w:b/>
          <w:bCs/>
        </w:rPr>
        <w:t xml:space="preserve">References </w:t>
      </w:r>
    </w:p>
    <w:p w14:paraId="21DD82DF" w14:textId="77777777" w:rsidR="00D3721F" w:rsidRPr="00D3721F" w:rsidRDefault="00D3721F" w:rsidP="00D3721F">
      <w:r w:rsidRPr="00D3721F">
        <w:t xml:space="preserve">ACM (2018) </w:t>
      </w:r>
      <w:r w:rsidRPr="00D3721F">
        <w:rPr>
          <w:i/>
          <w:iCs/>
        </w:rPr>
        <w:t>ACM Code of Ethics and Professional Conduct.</w:t>
      </w:r>
      <w:r w:rsidRPr="00D3721F">
        <w:t xml:space="preserve"> Association for Computing Machinery. </w:t>
      </w:r>
      <w:hyperlink r:id="rId5" w:tgtFrame="_new" w:history="1">
        <w:r w:rsidRPr="00D3721F">
          <w:rPr>
            <w:rStyle w:val="Hyperlink"/>
          </w:rPr>
          <w:t>https://ethics.acm.org/code-of-ethics/</w:t>
        </w:r>
      </w:hyperlink>
      <w:r w:rsidRPr="00D3721F">
        <w:br/>
        <w:t xml:space="preserve">BCS (2023) </w:t>
      </w:r>
      <w:r w:rsidRPr="00D3721F">
        <w:rPr>
          <w:i/>
          <w:iCs/>
        </w:rPr>
        <w:t>Code of Conduct.</w:t>
      </w:r>
      <w:r w:rsidRPr="00D3721F">
        <w:t xml:space="preserve"> The Chartered Institute for IT. </w:t>
      </w:r>
      <w:hyperlink r:id="rId6" w:tgtFrame="_new" w:history="1">
        <w:r w:rsidRPr="00D3721F">
          <w:rPr>
            <w:rStyle w:val="Hyperlink"/>
          </w:rPr>
          <w:t>https://www.bcs.org/membership/become-a-member/bcs-code-of-conduct/</w:t>
        </w:r>
      </w:hyperlink>
      <w:r w:rsidRPr="00D3721F">
        <w:br/>
        <w:t xml:space="preserve">Correa, C. et al. (2023) ‘Worldwide AI ethics: A review of 200 guidelines and recommendations’, </w:t>
      </w:r>
      <w:r w:rsidRPr="00D3721F">
        <w:rPr>
          <w:i/>
          <w:iCs/>
        </w:rPr>
        <w:t>AI and Society.</w:t>
      </w:r>
      <w:r w:rsidRPr="00D3721F">
        <w:t xml:space="preserve"> </w:t>
      </w:r>
      <w:hyperlink r:id="rId7" w:tgtFrame="_new" w:history="1">
        <w:r w:rsidRPr="00D3721F">
          <w:rPr>
            <w:rStyle w:val="Hyperlink"/>
          </w:rPr>
          <w:t>https://www.sciencedirect.com/science/article/pii/S2666389923002416</w:t>
        </w:r>
      </w:hyperlink>
      <w:r w:rsidRPr="00D3721F">
        <w:br/>
        <w:t xml:space="preserve">Deckard, R. (2023) ‘What are ethics in AI?’, </w:t>
      </w:r>
      <w:r w:rsidRPr="00D3721F">
        <w:rPr>
          <w:i/>
          <w:iCs/>
        </w:rPr>
        <w:t>BCS Articles – Opinion and Research.</w:t>
      </w:r>
      <w:r w:rsidRPr="00D3721F">
        <w:t xml:space="preserve"> </w:t>
      </w:r>
      <w:hyperlink r:id="rId8" w:tgtFrame="_new" w:history="1">
        <w:r w:rsidRPr="00D3721F">
          <w:rPr>
            <w:rStyle w:val="Hyperlink"/>
          </w:rPr>
          <w:t>https://www.bcs.org/articles-opinion-and-research/what-are-ethics-in-ai/</w:t>
        </w:r>
      </w:hyperlink>
      <w:r w:rsidRPr="00D3721F">
        <w:br/>
      </w:r>
      <w:r w:rsidRPr="00D3721F">
        <w:lastRenderedPageBreak/>
        <w:t xml:space="preserve">European Commission (2024) </w:t>
      </w:r>
      <w:r w:rsidRPr="00D3721F">
        <w:rPr>
          <w:i/>
          <w:iCs/>
        </w:rPr>
        <w:t>Artificial Intelligence Act (AI Act).</w:t>
      </w:r>
      <w:r w:rsidRPr="00D3721F">
        <w:t xml:space="preserve"> </w:t>
      </w:r>
      <w:hyperlink r:id="rId9" w:tgtFrame="_new" w:history="1">
        <w:r w:rsidRPr="00D3721F">
          <w:rPr>
            <w:rStyle w:val="Hyperlink"/>
          </w:rPr>
          <w:t>https://eur-lex.europa.eu/legal-content/EN/TXT/?uri=CELEX%3A32024R1689</w:t>
        </w:r>
      </w:hyperlink>
      <w:r w:rsidRPr="00D3721F">
        <w:br/>
      </w:r>
      <w:proofErr w:type="spellStart"/>
      <w:r w:rsidRPr="00D3721F">
        <w:t>Floridi</w:t>
      </w:r>
      <w:proofErr w:type="spellEnd"/>
      <w:r w:rsidRPr="00D3721F">
        <w:t xml:space="preserve">, L. (2023) ‘The ethics of artificial intelligence for the Sustainable Development Goals’, </w:t>
      </w:r>
      <w:r w:rsidRPr="00D3721F">
        <w:rPr>
          <w:i/>
          <w:iCs/>
        </w:rPr>
        <w:t>Nature Machine Intelligence,</w:t>
      </w:r>
      <w:r w:rsidRPr="00D3721F">
        <w:t xml:space="preserve"> 5(2), pp. 101–109.</w:t>
      </w:r>
      <w:r w:rsidRPr="00D3721F">
        <w:br/>
      </w:r>
      <w:proofErr w:type="spellStart"/>
      <w:r w:rsidRPr="00D3721F">
        <w:t>Gotterbarn</w:t>
      </w:r>
      <w:proofErr w:type="spellEnd"/>
      <w:r w:rsidRPr="00D3721F">
        <w:t xml:space="preserve">, D., Miller, K. and Rogerson, S. (2019) ‘Professional ethics in computing: ACM’s revised Code of Ethics’, </w:t>
      </w:r>
      <w:r w:rsidRPr="00D3721F">
        <w:rPr>
          <w:i/>
          <w:iCs/>
        </w:rPr>
        <w:t>Communications of the ACM,</w:t>
      </w:r>
      <w:r w:rsidRPr="00D3721F">
        <w:t xml:space="preserve"> 62(12), pp. 19–25.</w:t>
      </w:r>
      <w:r w:rsidRPr="00D3721F">
        <w:br/>
        <w:t xml:space="preserve">Hacker, P., Engel, A. and Mauer, M. (2023) ‘Regulating ChatGPT and other large generative AI models’, </w:t>
      </w:r>
      <w:proofErr w:type="spellStart"/>
      <w:r w:rsidRPr="00D3721F">
        <w:rPr>
          <w:i/>
          <w:iCs/>
        </w:rPr>
        <w:t>arXiv</w:t>
      </w:r>
      <w:proofErr w:type="spellEnd"/>
      <w:r w:rsidRPr="00D3721F">
        <w:rPr>
          <w:i/>
          <w:iCs/>
        </w:rPr>
        <w:t xml:space="preserve"> pre-print.</w:t>
      </w:r>
      <w:r w:rsidRPr="00D3721F">
        <w:t xml:space="preserve"> </w:t>
      </w:r>
      <w:hyperlink r:id="rId10" w:tgtFrame="_new" w:history="1">
        <w:r w:rsidRPr="00D3721F">
          <w:rPr>
            <w:rStyle w:val="Hyperlink"/>
          </w:rPr>
          <w:t>https://arxiv.org/abs/2302.02337</w:t>
        </w:r>
      </w:hyperlink>
      <w:r w:rsidRPr="00D3721F">
        <w:br/>
        <w:t xml:space="preserve">Pollini, G. (2022) ‘Ethics and self-regulation in computing professions’, </w:t>
      </w:r>
      <w:r w:rsidRPr="00D3721F">
        <w:rPr>
          <w:i/>
          <w:iCs/>
        </w:rPr>
        <w:t>Journal of Information, Communication and Ethics in Society,</w:t>
      </w:r>
      <w:r w:rsidRPr="00D3721F">
        <w:t xml:space="preserve"> 20(4), pp. 567–582.</w:t>
      </w:r>
      <w:r w:rsidRPr="00D3721F">
        <w:br/>
        <w:t xml:space="preserve">UK Government (2023) </w:t>
      </w:r>
      <w:r w:rsidRPr="00D3721F">
        <w:rPr>
          <w:i/>
          <w:iCs/>
        </w:rPr>
        <w:t>A Pro-innovation Approach to AI Regulation: Policy Paper.</w:t>
      </w:r>
      <w:r w:rsidRPr="00D3721F">
        <w:t xml:space="preserve"> </w:t>
      </w:r>
      <w:hyperlink r:id="rId11" w:tgtFrame="_new" w:history="1">
        <w:r w:rsidRPr="00D3721F">
          <w:rPr>
            <w:rStyle w:val="Hyperlink"/>
          </w:rPr>
          <w:t>https://www.gov.uk/government/publications/ai-regulation-a-pro-innovation-approach</w:t>
        </w:r>
      </w:hyperlink>
      <w:r w:rsidRPr="00D3721F">
        <w:br/>
        <w:t xml:space="preserve">UNESCO (2021) </w:t>
      </w:r>
      <w:r w:rsidRPr="00D3721F">
        <w:rPr>
          <w:i/>
          <w:iCs/>
        </w:rPr>
        <w:t>Recommendation on the Ethics of Artificial Intelligence.</w:t>
      </w:r>
      <w:r w:rsidRPr="00D3721F">
        <w:t xml:space="preserve"> https://unesdoc.unesco.org/ark:/48223/pf0000381137</w:t>
      </w:r>
    </w:p>
    <w:p w14:paraId="2D660CA8" w14:textId="77777777" w:rsidR="006C3575" w:rsidRDefault="006C3575"/>
    <w:sectPr w:rsidR="006C35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C1CB8"/>
    <w:multiLevelType w:val="multilevel"/>
    <w:tmpl w:val="D2E2B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213582"/>
    <w:multiLevelType w:val="multilevel"/>
    <w:tmpl w:val="19EA7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5656591">
    <w:abstractNumId w:val="1"/>
  </w:num>
  <w:num w:numId="2" w16cid:durableId="2079207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F0BAF"/>
    <w:rsid w:val="001B2CB6"/>
    <w:rsid w:val="0025726F"/>
    <w:rsid w:val="00276A1B"/>
    <w:rsid w:val="002C706C"/>
    <w:rsid w:val="006C3575"/>
    <w:rsid w:val="009A4979"/>
    <w:rsid w:val="00D3721F"/>
    <w:rsid w:val="00F813B9"/>
    <w:rsid w:val="00FF0BA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0F0178"/>
  <w15:chartTrackingRefBased/>
  <w15:docId w15:val="{76A0E1DD-6FF8-4ED9-813B-EF8D1D8F7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B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0B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0B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0B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0B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0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B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0B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0B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0B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0B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0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BAF"/>
    <w:rPr>
      <w:rFonts w:eastAsiaTheme="majorEastAsia" w:cstheme="majorBidi"/>
      <w:color w:val="272727" w:themeColor="text1" w:themeTint="D8"/>
    </w:rPr>
  </w:style>
  <w:style w:type="paragraph" w:styleId="Title">
    <w:name w:val="Title"/>
    <w:basedOn w:val="Normal"/>
    <w:next w:val="Normal"/>
    <w:link w:val="TitleChar"/>
    <w:uiPriority w:val="10"/>
    <w:qFormat/>
    <w:rsid w:val="00FF0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BAF"/>
    <w:pPr>
      <w:spacing w:before="160"/>
      <w:jc w:val="center"/>
    </w:pPr>
    <w:rPr>
      <w:i/>
      <w:iCs/>
      <w:color w:val="404040" w:themeColor="text1" w:themeTint="BF"/>
    </w:rPr>
  </w:style>
  <w:style w:type="character" w:customStyle="1" w:styleId="QuoteChar">
    <w:name w:val="Quote Char"/>
    <w:basedOn w:val="DefaultParagraphFont"/>
    <w:link w:val="Quote"/>
    <w:uiPriority w:val="29"/>
    <w:rsid w:val="00FF0BAF"/>
    <w:rPr>
      <w:i/>
      <w:iCs/>
      <w:color w:val="404040" w:themeColor="text1" w:themeTint="BF"/>
    </w:rPr>
  </w:style>
  <w:style w:type="paragraph" w:styleId="ListParagraph">
    <w:name w:val="List Paragraph"/>
    <w:basedOn w:val="Normal"/>
    <w:uiPriority w:val="34"/>
    <w:qFormat/>
    <w:rsid w:val="00FF0BAF"/>
    <w:pPr>
      <w:ind w:left="720"/>
      <w:contextualSpacing/>
    </w:pPr>
  </w:style>
  <w:style w:type="character" w:styleId="IntenseEmphasis">
    <w:name w:val="Intense Emphasis"/>
    <w:basedOn w:val="DefaultParagraphFont"/>
    <w:uiPriority w:val="21"/>
    <w:qFormat/>
    <w:rsid w:val="00FF0BAF"/>
    <w:rPr>
      <w:i/>
      <w:iCs/>
      <w:color w:val="2F5496" w:themeColor="accent1" w:themeShade="BF"/>
    </w:rPr>
  </w:style>
  <w:style w:type="paragraph" w:styleId="IntenseQuote">
    <w:name w:val="Intense Quote"/>
    <w:basedOn w:val="Normal"/>
    <w:next w:val="Normal"/>
    <w:link w:val="IntenseQuoteChar"/>
    <w:uiPriority w:val="30"/>
    <w:qFormat/>
    <w:rsid w:val="00FF0B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0BAF"/>
    <w:rPr>
      <w:i/>
      <w:iCs/>
      <w:color w:val="2F5496" w:themeColor="accent1" w:themeShade="BF"/>
    </w:rPr>
  </w:style>
  <w:style w:type="character" w:styleId="IntenseReference">
    <w:name w:val="Intense Reference"/>
    <w:basedOn w:val="DefaultParagraphFont"/>
    <w:uiPriority w:val="32"/>
    <w:qFormat/>
    <w:rsid w:val="00FF0BAF"/>
    <w:rPr>
      <w:b/>
      <w:bCs/>
      <w:smallCaps/>
      <w:color w:val="2F5496" w:themeColor="accent1" w:themeShade="BF"/>
      <w:spacing w:val="5"/>
    </w:rPr>
  </w:style>
  <w:style w:type="character" w:styleId="Hyperlink">
    <w:name w:val="Hyperlink"/>
    <w:basedOn w:val="DefaultParagraphFont"/>
    <w:uiPriority w:val="99"/>
    <w:unhideWhenUsed/>
    <w:rsid w:val="00D3721F"/>
    <w:rPr>
      <w:color w:val="0563C1" w:themeColor="hyperlink"/>
      <w:u w:val="single"/>
    </w:rPr>
  </w:style>
  <w:style w:type="character" w:styleId="UnresolvedMention">
    <w:name w:val="Unresolved Mention"/>
    <w:basedOn w:val="DefaultParagraphFont"/>
    <w:uiPriority w:val="99"/>
    <w:semiHidden/>
    <w:unhideWhenUsed/>
    <w:rsid w:val="00D372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cs.org/articles-opinion-and-research/what-are-ethics-in-ai/?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ciencedirect.com/science/article/pii/S2666389923002416?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cs.org/membership/become-a-member/bcs-code-of-conduct/" TargetMode="External"/><Relationship Id="rId11" Type="http://schemas.openxmlformats.org/officeDocument/2006/relationships/hyperlink" Target="https://www.gov.uk/government/publications/ai-regulation-a-pro-innovation-approach" TargetMode="External"/><Relationship Id="rId5" Type="http://schemas.openxmlformats.org/officeDocument/2006/relationships/hyperlink" Target="https://ethics.acm.org/code-of-ethics/" TargetMode="External"/><Relationship Id="rId10" Type="http://schemas.openxmlformats.org/officeDocument/2006/relationships/hyperlink" Target="https://arxiv.org/abs/2302.02337?utm_source=chatgpt.com" TargetMode="External"/><Relationship Id="rId4" Type="http://schemas.openxmlformats.org/officeDocument/2006/relationships/webSettings" Target="webSettings.xml"/><Relationship Id="rId9" Type="http://schemas.openxmlformats.org/officeDocument/2006/relationships/hyperlink" Target="https://eur-lex.europa.eu/legal-content/EN/TXT/?uri=CELEX%3A32024R16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785</Words>
  <Characters>5476</Characters>
  <Application>Microsoft Office Word</Application>
  <DocSecurity>0</DocSecurity>
  <Lines>101</Lines>
  <Paragraphs>35</Paragraphs>
  <ScaleCrop>false</ScaleCrop>
  <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Mustafa</dc:creator>
  <cp:keywords/>
  <dc:description/>
  <cp:lastModifiedBy>Hussein, Mustafa</cp:lastModifiedBy>
  <cp:revision>2</cp:revision>
  <dcterms:created xsi:type="dcterms:W3CDTF">2025-11-08T10:03:00Z</dcterms:created>
  <dcterms:modified xsi:type="dcterms:W3CDTF">2025-11-08T10:04:00Z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95147765-cdcd-4e78-b8e0-9d892ba06f20</vt:lpwstr>
  </property>
</Properties>
</file>