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802F" w14:textId="77777777" w:rsidR="00B009E0" w:rsidRPr="00B009E0" w:rsidRDefault="00B009E0" w:rsidP="00B009E0">
      <w:pPr>
        <w:rPr>
          <w:b/>
          <w:bCs/>
        </w:rPr>
      </w:pPr>
      <w:r w:rsidRPr="00B009E0">
        <w:rPr>
          <w:b/>
          <w:bCs/>
        </w:rPr>
        <w:t>Reflection: Ethics in Computing in the Age of Generative AI</w:t>
      </w:r>
    </w:p>
    <w:p w14:paraId="0668417A" w14:textId="77777777" w:rsidR="00B009E0" w:rsidRPr="00B009E0" w:rsidRDefault="00B009E0" w:rsidP="00B009E0">
      <w:r w:rsidRPr="00B009E0">
        <w:t>Generative artificial intelligence has rapidly transformed how we create, communicate and automate. Within only a few years, systems such as ChatGPT, DALL·E and Copilot have shifted computing from a rule-based discipline to one in which models learn, generate and even make creative decisions. For computing professionals, this change brings both immense opportunity and serious responsibility. As Correa et al. (2023) explain, the global race to regulate AI has created an urgent need to define shared values while respecting cultural differences. Their review of more than 200 governance frameworks shows that although principles such as transparency, accountability and fairness are widely accepted, there is still little consensus on how they should be applied in practice.</w:t>
      </w:r>
    </w:p>
    <w:p w14:paraId="68A493D9" w14:textId="77777777" w:rsidR="00B009E0" w:rsidRPr="00B009E0" w:rsidRDefault="00B009E0" w:rsidP="00B009E0">
      <w:r w:rsidRPr="00B009E0">
        <w:t xml:space="preserve">Across the world, approaches vary. The EU Artificial Intelligence Act (European Commission, 2024) adopts a risk-based model, classifying AI systems by potential harm and requiring strict obligations for “high-risk” uses such as medical devices and recruitment tools. By contrast, the UK Government’s </w:t>
      </w:r>
      <w:r w:rsidRPr="00B009E0">
        <w:rPr>
          <w:i/>
          <w:iCs/>
        </w:rPr>
        <w:t>Pro-Innovation Approach to AI Regulation</w:t>
      </w:r>
      <w:r w:rsidRPr="00B009E0">
        <w:t xml:space="preserve"> (2023) leaves responsibility to existing sector regulators, encouraging flexibility over prescription. The OECD Principles on AI (2019) and UNESCO’s Recommendation on the Ethics of Artificial Intelligence (2021) attempt to bridge these differences by setting out universal values based on human rights and transparency. Yet, as </w:t>
      </w:r>
      <w:proofErr w:type="spellStart"/>
      <w:r w:rsidRPr="00B009E0">
        <w:t>Floridi</w:t>
      </w:r>
      <w:proofErr w:type="spellEnd"/>
      <w:r w:rsidRPr="00B009E0">
        <w:t xml:space="preserve"> (2023) argues, ethical frameworks only become meaningful when they are integrated into everyday professional practice, not treated as abstract declarations.</w:t>
      </w:r>
    </w:p>
    <w:p w14:paraId="0CC8E452" w14:textId="77777777" w:rsidR="00B009E0" w:rsidRPr="00B009E0" w:rsidRDefault="00B009E0" w:rsidP="00B009E0">
      <w:r w:rsidRPr="00B009E0">
        <w:t xml:space="preserve">This is where professional codes remain essential. The ACM Code of Ethics (2018) and the BCS Code of Conduct (2023) both emphasise the duty to avoid harm, act in the public interest and maintain professional competence. These obligations map directly onto the challenges raised by generative AI: biased training data, misinformation, privacy breaches and lack of transparency. However, </w:t>
      </w:r>
      <w:proofErr w:type="spellStart"/>
      <w:r w:rsidRPr="00B009E0">
        <w:t>Gotterbarn</w:t>
      </w:r>
      <w:proofErr w:type="spellEnd"/>
      <w:r w:rsidRPr="00B009E0">
        <w:t>, Miller and Rogerson (2019) remind us that such codes are static, while technology evolves dynamically. This means professionals must continually reinterpret principles like “avoid harm” and “be honest” in contexts that the codes’ authors could never have foreseen. Pollini (2022) similarly warns that self-regulation alone is insufficient; ethical conduct requires institutional accountability and independent oversight.</w:t>
      </w:r>
    </w:p>
    <w:p w14:paraId="11EBD444" w14:textId="77777777" w:rsidR="00B009E0" w:rsidRPr="00B009E0" w:rsidRDefault="00B009E0" w:rsidP="00B009E0">
      <w:r w:rsidRPr="00B009E0">
        <w:t>Deckard (2023) highlights that ethical competence is not just technical but communicative. Developers must be able to explain model limitations, bias and potential misuse in language that non-experts understand. The unpredictability of generative models makes this especially challenging. Even their creators cannot always explain why a model produces certain outputs. For this reason, transparency reports, model cards and responsible disclosure practices are becoming professional necessities rather than optional good practice. Embedding these ideas into governance frameworks ensures that computing professionals act as ethical stewards rather than passive engineers.</w:t>
      </w:r>
    </w:p>
    <w:p w14:paraId="1F3AEA34" w14:textId="77777777" w:rsidR="00B009E0" w:rsidRPr="00B009E0" w:rsidRDefault="00B009E0" w:rsidP="00B009E0">
      <w:r w:rsidRPr="00B009E0">
        <w:t>To manage this responsibly, I believe three principles should guide practice: governance, harmonisation and education. Governance means embedding a structured, risk-based approach to model design and deployment. Hacker, Engel and Mauer (2023) argue that layered oversight allows innovation while focusing scrutiny where potential harm is greatest. Harmonisation means applying the strictest available ethical standards across jurisdictions, combining the EU’s legal rigour with UNESCO’s human-rights orientation and the OECD’s commitment to fairness and accountability. Finally, education means acknowledging that ethical awareness is a professional skill requiring lifelong learning. Deckard (2023) stresses that professionals must keep pace with technological and societal change, understanding how their work affects people, not just systems.</w:t>
      </w:r>
    </w:p>
    <w:p w14:paraId="32379AE4" w14:textId="77777777" w:rsidR="00B009E0" w:rsidRPr="00B009E0" w:rsidRDefault="00B009E0" w:rsidP="00B009E0">
      <w:r w:rsidRPr="00B009E0">
        <w:lastRenderedPageBreak/>
        <w:t>The legal, social and professional implications of these actions are wide-ranging. Legally, transparent and auditable AI practices help organisations comply with data-protection and intellectual-property law, reducing the risk of regulatory penalties. Socially, they address issues of misinformation, bias and job displacement by encouraging open communication about risks and limitations. Professionally, aligning practice with ethical codes reinforces public trust in computing. Pollini (2022) points out that organisations which embed ethics into design processes not only protect users but also strengthen their reputation and competitiveness. In this sense, ethics becomes an asset rather than a constraint.</w:t>
      </w:r>
    </w:p>
    <w:p w14:paraId="1A3DFA0B" w14:textId="77777777" w:rsidR="00B009E0" w:rsidRPr="00B009E0" w:rsidRDefault="00B009E0" w:rsidP="00B009E0">
      <w:r w:rsidRPr="00B009E0">
        <w:t>Reflecting on these ideas has changed how I view my role as a computing professional. Ethics in the age of generative AI is not a checklist but a mindset that shapes every stage of development. I now see responsible computing as a shared duty: to question assumptions, anticipate misuse and ensure that systems genuinely serve human well-being. In my professional practice, I intend to include ethical risk assessments in project planning, document model limitations and advocate for transparency across teams. As UNESCO (2021) reminds us, the purpose of technology is to enhance human dignity, not to replace it. Upholding that belief is the foundation of ethical computing and the standard by which our profession will be judged in the era of artificial intelligence.</w:t>
      </w:r>
    </w:p>
    <w:p w14:paraId="56AE29F9" w14:textId="0D00F1D3" w:rsidR="00B009E0" w:rsidRPr="00B009E0" w:rsidRDefault="00B009E0" w:rsidP="00B009E0"/>
    <w:p w14:paraId="728D1536" w14:textId="77777777" w:rsidR="00B009E0" w:rsidRPr="00B009E0" w:rsidRDefault="00B009E0" w:rsidP="00B009E0">
      <w:pPr>
        <w:rPr>
          <w:b/>
          <w:bCs/>
        </w:rPr>
      </w:pPr>
      <w:r w:rsidRPr="00B009E0">
        <w:rPr>
          <w:b/>
          <w:bCs/>
        </w:rPr>
        <w:t>References</w:t>
      </w:r>
    </w:p>
    <w:p w14:paraId="2973BE11" w14:textId="588A1972" w:rsidR="00B009E0" w:rsidRPr="00B009E0" w:rsidRDefault="00B009E0" w:rsidP="00B009E0">
      <w:r w:rsidRPr="00B009E0">
        <w:t xml:space="preserve">ACM (2018) </w:t>
      </w:r>
      <w:r w:rsidRPr="00B009E0">
        <w:rPr>
          <w:i/>
          <w:iCs/>
        </w:rPr>
        <w:t>ACM Code of Ethics and Professional Conduct.</w:t>
      </w:r>
      <w:r w:rsidRPr="00B009E0">
        <w:t xml:space="preserve"> Association for Computing Machinery. </w:t>
      </w:r>
      <w:hyperlink r:id="rId4" w:tgtFrame="_new" w:history="1">
        <w:r w:rsidRPr="00B009E0">
          <w:rPr>
            <w:rStyle w:val="Hyperlink"/>
          </w:rPr>
          <w:t>https://ethics.acm.org/code-of-ethics/</w:t>
        </w:r>
      </w:hyperlink>
      <w:r w:rsidRPr="00B009E0">
        <w:br/>
        <w:t xml:space="preserve">BCS (2023) </w:t>
      </w:r>
      <w:r w:rsidRPr="00B009E0">
        <w:rPr>
          <w:i/>
          <w:iCs/>
        </w:rPr>
        <w:t>Code of Conduct.</w:t>
      </w:r>
      <w:r w:rsidRPr="00B009E0">
        <w:t xml:space="preserve"> The Chartered Institute for IT. </w:t>
      </w:r>
      <w:hyperlink r:id="rId5" w:tgtFrame="_new" w:history="1">
        <w:r w:rsidRPr="00B009E0">
          <w:rPr>
            <w:rStyle w:val="Hyperlink"/>
          </w:rPr>
          <w:t>https://www.bcs.org/membership/become-a-member/bcs-code-of-conduct/</w:t>
        </w:r>
      </w:hyperlink>
      <w:r w:rsidRPr="00B009E0">
        <w:br/>
        <w:t xml:space="preserve">Correa, C. et al. (2023) ‘Worldwide AI ethics: A review of 200 guidelines and recommendations’, </w:t>
      </w:r>
      <w:r w:rsidRPr="00B009E0">
        <w:rPr>
          <w:i/>
          <w:iCs/>
        </w:rPr>
        <w:t>AI and Society.</w:t>
      </w:r>
      <w:r w:rsidRPr="00B009E0">
        <w:t xml:space="preserve"> </w:t>
      </w:r>
      <w:hyperlink r:id="rId6" w:tgtFrame="_new" w:history="1">
        <w:r w:rsidRPr="00B009E0">
          <w:rPr>
            <w:rStyle w:val="Hyperlink"/>
          </w:rPr>
          <w:t>https://www.sciencedirect.com/science/article/pii/S2666389923002416</w:t>
        </w:r>
      </w:hyperlink>
      <w:r w:rsidRPr="00B009E0">
        <w:br/>
        <w:t xml:space="preserve">Deckard, R. (2023) ‘What are ethics in AI?’, </w:t>
      </w:r>
      <w:r w:rsidRPr="00B009E0">
        <w:rPr>
          <w:i/>
          <w:iCs/>
        </w:rPr>
        <w:t>BCS Articles – Opinion and Research.</w:t>
      </w:r>
      <w:r w:rsidRPr="00B009E0">
        <w:t xml:space="preserve"> </w:t>
      </w:r>
      <w:hyperlink r:id="rId7" w:tgtFrame="_new" w:history="1">
        <w:r w:rsidRPr="00B009E0">
          <w:rPr>
            <w:rStyle w:val="Hyperlink"/>
          </w:rPr>
          <w:t>https://www.bcs.org/articles-opinion-and-research/what-are-ethics-in-ai/</w:t>
        </w:r>
      </w:hyperlink>
      <w:r w:rsidRPr="00B009E0">
        <w:br/>
        <w:t xml:space="preserve">European Commission (2024) </w:t>
      </w:r>
      <w:r w:rsidRPr="00B009E0">
        <w:rPr>
          <w:i/>
          <w:iCs/>
        </w:rPr>
        <w:t>Artificial Intelligence Act (AI Act).</w:t>
      </w:r>
      <w:r w:rsidRPr="00B009E0">
        <w:t xml:space="preserve"> </w:t>
      </w:r>
      <w:hyperlink r:id="rId8" w:tgtFrame="_new" w:history="1">
        <w:r w:rsidRPr="00B009E0">
          <w:rPr>
            <w:rStyle w:val="Hyperlink"/>
          </w:rPr>
          <w:t>https://eur-lex.europa.eu/legal-content/EN/TXT/?uri=CELEX%3A32024R1689</w:t>
        </w:r>
      </w:hyperlink>
      <w:r w:rsidRPr="00B009E0">
        <w:br/>
      </w:r>
      <w:proofErr w:type="spellStart"/>
      <w:r w:rsidRPr="00B009E0">
        <w:t>Floridi</w:t>
      </w:r>
      <w:proofErr w:type="spellEnd"/>
      <w:r w:rsidRPr="00B009E0">
        <w:t xml:space="preserve">, L. (2023) ‘The ethics of artificial intelligence for the Sustainable Development Goals’, </w:t>
      </w:r>
      <w:r w:rsidRPr="00B009E0">
        <w:rPr>
          <w:i/>
          <w:iCs/>
        </w:rPr>
        <w:t>Nature Machine Intelligence,</w:t>
      </w:r>
      <w:r w:rsidRPr="00B009E0">
        <w:t xml:space="preserve"> 5(2), pp. 101–109. https://doi.org/10.1038/s42256-023-00618-2</w:t>
      </w:r>
      <w:r w:rsidRPr="00B009E0">
        <w:br/>
      </w:r>
      <w:proofErr w:type="spellStart"/>
      <w:r w:rsidRPr="00B009E0">
        <w:t>Gotterbarn</w:t>
      </w:r>
      <w:proofErr w:type="spellEnd"/>
      <w:r w:rsidRPr="00B009E0">
        <w:t xml:space="preserve">, D., Miller, K. and Rogerson, S. (2019) ‘Professional ethics in computing: ACM’s revised Code of Ethics’, </w:t>
      </w:r>
      <w:r w:rsidRPr="00B009E0">
        <w:rPr>
          <w:i/>
          <w:iCs/>
        </w:rPr>
        <w:t>Communications of the ACM,</w:t>
      </w:r>
      <w:r w:rsidRPr="00B009E0">
        <w:t xml:space="preserve"> 62(12), pp. 19–25. </w:t>
      </w:r>
      <w:hyperlink r:id="rId9" w:tgtFrame="_new" w:history="1">
        <w:r w:rsidRPr="00B009E0">
          <w:rPr>
            <w:rStyle w:val="Hyperlink"/>
          </w:rPr>
          <w:t>https://dl.acm.org/doi/10.1145/3339904</w:t>
        </w:r>
      </w:hyperlink>
      <w:r w:rsidRPr="00B009E0">
        <w:br/>
        <w:t xml:space="preserve">Hacker, P., Engel, A. and Mauer, M. (2023) ‘Regulating ChatGPT and other large generative AI models’, </w:t>
      </w:r>
      <w:proofErr w:type="spellStart"/>
      <w:r w:rsidRPr="00B009E0">
        <w:rPr>
          <w:i/>
          <w:iCs/>
        </w:rPr>
        <w:t>arXiv</w:t>
      </w:r>
      <w:proofErr w:type="spellEnd"/>
      <w:r w:rsidRPr="00B009E0">
        <w:rPr>
          <w:i/>
          <w:iCs/>
        </w:rPr>
        <w:t xml:space="preserve"> pre-print.</w:t>
      </w:r>
      <w:r w:rsidRPr="00B009E0">
        <w:t xml:space="preserve"> </w:t>
      </w:r>
      <w:hyperlink r:id="rId10" w:tgtFrame="_new" w:history="1">
        <w:r w:rsidRPr="00B009E0">
          <w:rPr>
            <w:rStyle w:val="Hyperlink"/>
          </w:rPr>
          <w:t>https://arxiv.org/abs/2302.02337</w:t>
        </w:r>
      </w:hyperlink>
      <w:r w:rsidRPr="00B009E0">
        <w:br/>
        <w:t xml:space="preserve">Pollini, G. (2022) ‘Ethics and self-regulation in computing professions’, </w:t>
      </w:r>
      <w:r w:rsidRPr="00B009E0">
        <w:rPr>
          <w:i/>
          <w:iCs/>
        </w:rPr>
        <w:t>Journal of Information, Communication and Ethics in Society,</w:t>
      </w:r>
      <w:r w:rsidRPr="00B009E0">
        <w:t xml:space="preserve"> 20(4), pp. 567–582. </w:t>
      </w:r>
      <w:hyperlink r:id="rId11" w:tgtFrame="_new" w:history="1">
        <w:r w:rsidRPr="00B009E0">
          <w:rPr>
            <w:rStyle w:val="Hyperlink"/>
          </w:rPr>
          <w:t>https://www.emerald.com/insight/content/doi/10.1108/JICES-05-2021-0051/full/html</w:t>
        </w:r>
      </w:hyperlink>
      <w:r w:rsidRPr="00B009E0">
        <w:br/>
        <w:t xml:space="preserve">UNESCO (2021) </w:t>
      </w:r>
      <w:r w:rsidRPr="00B009E0">
        <w:rPr>
          <w:i/>
          <w:iCs/>
        </w:rPr>
        <w:t>Recommendation on the Ethics of Artificial Intelligence.</w:t>
      </w:r>
      <w:r w:rsidRPr="00B009E0">
        <w:t xml:space="preserve"> </w:t>
      </w:r>
      <w:hyperlink r:id="rId12" w:history="1">
        <w:r w:rsidRPr="00B009E0">
          <w:rPr>
            <w:rStyle w:val="Hyperlink"/>
          </w:rPr>
          <w:t>https://unesdoc.unesco.org/ark:/48223/pf0000381137</w:t>
        </w:r>
      </w:hyperlink>
      <w:r>
        <w:t xml:space="preserve"> </w:t>
      </w:r>
    </w:p>
    <w:p w14:paraId="2039091B" w14:textId="77777777" w:rsidR="006C3575" w:rsidRDefault="006C3575"/>
    <w:sectPr w:rsidR="006C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E0BDF"/>
    <w:rsid w:val="001B2CB6"/>
    <w:rsid w:val="001E0BDF"/>
    <w:rsid w:val="0025726F"/>
    <w:rsid w:val="00276A1B"/>
    <w:rsid w:val="006C3575"/>
    <w:rsid w:val="009A4979"/>
    <w:rsid w:val="00B009E0"/>
    <w:rsid w:val="00C118BA"/>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61DEC"/>
  <w15:chartTrackingRefBased/>
  <w15:docId w15:val="{46C0ED5F-586D-41D3-B0E8-99A811CD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BDF"/>
    <w:rPr>
      <w:rFonts w:eastAsiaTheme="majorEastAsia" w:cstheme="majorBidi"/>
      <w:color w:val="272727" w:themeColor="text1" w:themeTint="D8"/>
    </w:rPr>
  </w:style>
  <w:style w:type="paragraph" w:styleId="Title">
    <w:name w:val="Title"/>
    <w:basedOn w:val="Normal"/>
    <w:next w:val="Normal"/>
    <w:link w:val="TitleChar"/>
    <w:uiPriority w:val="10"/>
    <w:qFormat/>
    <w:rsid w:val="001E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BDF"/>
    <w:pPr>
      <w:spacing w:before="160"/>
      <w:jc w:val="center"/>
    </w:pPr>
    <w:rPr>
      <w:i/>
      <w:iCs/>
      <w:color w:val="404040" w:themeColor="text1" w:themeTint="BF"/>
    </w:rPr>
  </w:style>
  <w:style w:type="character" w:customStyle="1" w:styleId="QuoteChar">
    <w:name w:val="Quote Char"/>
    <w:basedOn w:val="DefaultParagraphFont"/>
    <w:link w:val="Quote"/>
    <w:uiPriority w:val="29"/>
    <w:rsid w:val="001E0BDF"/>
    <w:rPr>
      <w:i/>
      <w:iCs/>
      <w:color w:val="404040" w:themeColor="text1" w:themeTint="BF"/>
    </w:rPr>
  </w:style>
  <w:style w:type="paragraph" w:styleId="ListParagraph">
    <w:name w:val="List Paragraph"/>
    <w:basedOn w:val="Normal"/>
    <w:uiPriority w:val="34"/>
    <w:qFormat/>
    <w:rsid w:val="001E0BDF"/>
    <w:pPr>
      <w:ind w:left="720"/>
      <w:contextualSpacing/>
    </w:pPr>
  </w:style>
  <w:style w:type="character" w:styleId="IntenseEmphasis">
    <w:name w:val="Intense Emphasis"/>
    <w:basedOn w:val="DefaultParagraphFont"/>
    <w:uiPriority w:val="21"/>
    <w:qFormat/>
    <w:rsid w:val="001E0BDF"/>
    <w:rPr>
      <w:i/>
      <w:iCs/>
      <w:color w:val="2F5496" w:themeColor="accent1" w:themeShade="BF"/>
    </w:rPr>
  </w:style>
  <w:style w:type="paragraph" w:styleId="IntenseQuote">
    <w:name w:val="Intense Quote"/>
    <w:basedOn w:val="Normal"/>
    <w:next w:val="Normal"/>
    <w:link w:val="IntenseQuoteChar"/>
    <w:uiPriority w:val="30"/>
    <w:qFormat/>
    <w:rsid w:val="001E0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BDF"/>
    <w:rPr>
      <w:i/>
      <w:iCs/>
      <w:color w:val="2F5496" w:themeColor="accent1" w:themeShade="BF"/>
    </w:rPr>
  </w:style>
  <w:style w:type="character" w:styleId="IntenseReference">
    <w:name w:val="Intense Reference"/>
    <w:basedOn w:val="DefaultParagraphFont"/>
    <w:uiPriority w:val="32"/>
    <w:qFormat/>
    <w:rsid w:val="001E0BDF"/>
    <w:rPr>
      <w:b/>
      <w:bCs/>
      <w:smallCaps/>
      <w:color w:val="2F5496" w:themeColor="accent1" w:themeShade="BF"/>
      <w:spacing w:val="5"/>
    </w:rPr>
  </w:style>
  <w:style w:type="character" w:styleId="Hyperlink">
    <w:name w:val="Hyperlink"/>
    <w:basedOn w:val="DefaultParagraphFont"/>
    <w:uiPriority w:val="99"/>
    <w:unhideWhenUsed/>
    <w:rsid w:val="00B009E0"/>
    <w:rPr>
      <w:color w:val="0563C1" w:themeColor="hyperlink"/>
      <w:u w:val="single"/>
    </w:rPr>
  </w:style>
  <w:style w:type="character" w:styleId="UnresolvedMention">
    <w:name w:val="Unresolved Mention"/>
    <w:basedOn w:val="DefaultParagraphFont"/>
    <w:uiPriority w:val="99"/>
    <w:semiHidden/>
    <w:unhideWhenUsed/>
    <w:rsid w:val="00B00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CELEX%3A32024R168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cs.org/articles-opinion-and-research/what-are-ethics-in-ai/?utm_source=chatgpt.com" TargetMode="External"/><Relationship Id="rId12" Type="http://schemas.openxmlformats.org/officeDocument/2006/relationships/hyperlink" Target="https://unesdoc.unesco.org/ark:/48223/pf000038113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direct.com/science/article/pii/S2666389923002416?utm_source=chatgpt.com" TargetMode="External"/><Relationship Id="rId11" Type="http://schemas.openxmlformats.org/officeDocument/2006/relationships/hyperlink" Target="https://www.emerald.com/insight/content/doi/10.1108/JICES-05-2021-0051/full/html" TargetMode="External"/><Relationship Id="rId5" Type="http://schemas.openxmlformats.org/officeDocument/2006/relationships/hyperlink" Target="https://www.bcs.org/membership/become-a-member/bcs-code-of-conduct/" TargetMode="External"/><Relationship Id="rId10" Type="http://schemas.openxmlformats.org/officeDocument/2006/relationships/hyperlink" Target="https://arxiv.org/abs/2302.02337?utm_source=chatgpt.com" TargetMode="External"/><Relationship Id="rId4" Type="http://schemas.openxmlformats.org/officeDocument/2006/relationships/hyperlink" Target="https://ethics.acm.org/code-of-ethics/" TargetMode="External"/><Relationship Id="rId9" Type="http://schemas.openxmlformats.org/officeDocument/2006/relationships/hyperlink" Target="https://dl.acm.org/doi/10.1145/333990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1037</Words>
  <Characters>6907</Characters>
  <Application>Microsoft Office Word</Application>
  <DocSecurity>0</DocSecurity>
  <Lines>93</Lines>
  <Paragraphs>12</Paragraphs>
  <ScaleCrop>false</ScaleCrop>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2</cp:revision>
  <dcterms:created xsi:type="dcterms:W3CDTF">2025-11-08T09:23:00Z</dcterms:created>
  <dcterms:modified xsi:type="dcterms:W3CDTF">2025-11-08T09:25:00Z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0039b502-d95f-4b16-8409-f7a5b23a8c6b</vt:lpwstr>
  </property>
</Properties>
</file>