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13873. The device shows the highest PCE of 15.61% with a VOC of 1.0118 V, a JSC of 20.77 mA/cm², and an FF of 74.28%. For the Cs0.05MA0.16FA0.79Pb1I2.9Br0.1, 1.73 mol/L perovskite precursor solution was prepared. Afterwards, the perovskite precursor solution was deposited on the substrate via a two-step spin coating process; first, the solution was spin-coated at 1000 rpm for 10 s and then at 5000 rpm for 30 s. At 6 s before the end of the second step, 160 µL of CB was drop-coated to treat the perovskite films. The resulting wet perovskite films were annealed at 110 °C for 25 min. XRD analysis showed a diffraction peak was identified at around 12.65°, with an intensity of 2107.57 cts and a full width at half maximum (FWHM) of 0.21, which corresponds to the characteristic peak of PbI₂. The relatively low intensity of this peak suggests a limited presence of residual PbI₂.</w:t>
      </w:r>
    </w:p>
    <w:p/>
    <w:p>
      <w:r>
        <w:t>20651. The PSCs exhibited a superior PCE of 17.52% (JSC: 23.29 mA/cm², VOC: 1.0523 V, FF: 71.52%). The Cs0.05MA0.16FA0.79Pb1I2.9Br0.1 precursor solution (1.73 mol/L) was prepared in the mixed solvent of DMF and DMSO. The precursor solution was spin-coated on the substrate at 1000 rpm for 10 s and 5000 rpm for 30 s. During the second spin coating step, 160 µL of CB was deposited onto the perovskite film 6 s before the program ended. A post-deposition anneal at 110 °C for 25 min stabilized the absorber layer and enhanced device performance. XRD analysis showed a diffraction peak was identified at around 12.65°, with an intensity of 277.88 cts and a full width at half maximum (FWHM) of 0.28, which corresponds to the characteristic peak of PbI₂. The relatively low intensity of this peak suggests a limited presence of residual PbI₂.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