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49625. Using a parameter-driven approach, we have engineered a perovskite solar cell that was fabricated, thus realizing a PCE of 22.585%, FF of 78.6013%, Voc of 1.1027 V, and Jsc of 26.057 mA/cm². The perovskite composition was Cs0.05MA0.08FA0.87PbI3.0, and the initial stock perovskite solution was 1.73 mol/L. The perovskite precursor solution was spin-coated at 1000 rpm for 5 s and 5500 rpm for 30 s. A total of 150 µL of CB was dripped onto the center of film at 15 s before the end of spin-coating. After spin-coating, the films were annealed on the hot plate at 110 °C for 15 min.</w:t>
      </w:r>
    </w:p>
    <w:p/>
    <w:p>
      <w:r>
        <w:t>49705.  The device achieves a notably enhanced PCE of 25.0942%, corresponding to a JSC of 26.482 mA/cm², a VOC of 1.1583 V, and an FF of 81.8073%.  For the perovskite composition Cs0.05MA0.1FA0.85PbI3.0, 1.65 mol/L perovskite precursor solution was prepared. The chosen spin-coating regimen first applied 1000 rpm for 5 s, then 5500 rpm for 30 s, ensuring layer consistency. During the second step, 150 µL of chlorobenzene was dropped on the spinning substrate 15 s before the end of the process. An annealing process at 110 °C for 15 min allowed the perovskite grains to fully mature.</w:t>
      </w:r>
    </w:p>
    <w:p/>
    <w:p>
      <w:r>
        <w:t>49727. The resulting hybrid SAMs-modified PSC achieve a champion PCE of 20.9565%, with VOC of 1.094 V, FF of 75.8683%, and JSC of 25.25 mA/cm². The process involved first dissolving Cs0.05MA0.08FA0.87PbI3.0 at 1.63 mol/L to create the primary perovskite solution. Then the filtered perovskite precursor was spin-coated on the substrate at 1000 rpm for 5 s and 5500 rpm for 30 s. 150 µL of chlorobenzene was quickly poured to extract the mixed solvents at the last of 15 s. An annealing process at 110 °C for 15 min allowed the perovskite grains to fully mature.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