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13873. The PCE for the device reached 15.61%, with a JSC of 20.77 mA/cm², a VOC of 1.0118 V and a FF of 74.28%. Starting with a Cs0.05MA0.16FA0.79Pb1I2.9Br0.1 (1.73 mol/L) solution, the perovskite precursor was carefully crafted for optimal performance. The deposition process involved a two-step spin sequence (1000 rpm/10 s and 5000 rpm/30 s) to achieve a controlled film thickness. 160 µL CB was dropped on the perovskite film at 6 s before the end of the program. Afterwards, the perovskite film was annealed at 110 °C for 25 min. XRD analysis showed a diffraction peak was identified at around 12.65°, with an intensity of 2107.57 cts and a full width at half maximum (FWHM) of 0.21, which corresponds to the characteristic peak of PbI₂. The relatively low intensity of this peak suggests a limited presence of residual PbI₂.</w:t>
      </w:r>
    </w:p>
    <w:p/>
    <w:p>
      <w:r>
        <w:t>20651. The PSCs demonstrated a champion PCE of 17.52%, with a VOC of 1.0523 V, JSC of 23.29 mA/cm², and FF of 71.52%. For the inorganic perovskite layers, 1.73 mol/L Cs0.05MA0.16FA0.79Pb1I2.9Br0.1 inorganic perovskite precursor solution was prepared in DMF/DMSO solvent. A sequential spin-coating procedure was employed, first at 1000 rpm for 10 s, followed by 5000 rpm for 30 s. During the last 6 s of the second step, 160 µL CB was dropped as antisolvent. The resulting wet perovskite films were annealed at 110 °C for 25 min. XRD analysis showed a diffraction peak was identified at around 12.65°, with an intensity of 277.88 cts and a full width at half maximum (FWHM) of 0.28, which corresponds to the characteristic peak of PbI₂. The relatively low intensity of this peak suggests a limited presence of residual PbI₂.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