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6801. Informed by incremental parameter refinements, the perovskite assembly was fabricated, resulting in a PCE of 9.0112%, FF of 24777.0%, Voc of 0.0017 V, and Jsc of 20.931 mA/cm². Cs0.1FA0.9Pb1I2.8Br0.2 was prepared at a concentration of 1.6 mol/L. The perovskite precursor was spin-coated onto the substrates with a two-stage program at 1000 rpm for 10 s, and 5000 rpm for 30 s, respectively. During the last 10 s of the second step, the anti-solvent (120 µL of chlorobenzene) was dropped in the center. The resulting wet perovskite films were annealed at 110 °C for 45 min. Image analysis shows that the spin-coating coverage reaches 98.3%, and the average grayscale value of the film is 16.2257.</w:t>
      </w:r>
    </w:p>
    <w:p/>
    <w:p>
      <w:r>
        <w:t>9999. Drawing upon carefully optimized conditions, the perovskite device was fabricated, resulting in a PCE of 14.392%, with a fill factor of 74.955%, an open-circuit voltage of 1.0127 V, and a short-circuit current density of 18.961 mA/cm². 1.6 mol/L Cs0.1FA0.9Pb1I2.8Br0.2 perovskite precursors were prepared. The precursor solution was spin-coated on the substrate at 1000 rpm for 10 s and 5000 rpm for 30 s. During the second spin coating step, 120 µL of CB was deposited onto the perovskite film 10 s before the program ended. Then, the precursor films were placed on a 110 °C hotplate for 15 min. Image analysis shows that the spin-coating coverage reaches 98.8%, and the average grayscale value of the film is 10.6284.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