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18871. The PCE for the device reached 16.79%, with a JSC of 23.29 mA/cm², a VOC of 1.0852 V and a FF of 66.45%. The composition of perovskite is 1.73 mol/L Cs0.05MA0.16FA0.79Pb1I2.9Br0.1. The perovskite was deposited via a two-step spin-coating procedure, first at 1000 rpm for 10 s and finally at 5000 rpm for 30 s. At 6 s before the end of the spin-coating procedure, 160 µL CB was dropped onto the substrates. The films were then annealed on a hot plate at 110 °C for 25 min. XRD analysis showed a diffraction peak was identified at 4.00°, with an intensity of 0.00 cts，which corresponds to the formation of a 2D structure within the perovskite lattice. The high intensity implies efficient surface passivation, contributing positively to device performance. GIXRD analysis further revealed a residual tensile stress of 22.50 MPa in the perovskite film via measurement conducted at an incident angle of 1°.</w:t>
      </w:r>
    </w:p>
    <w:p/>
    <w:p>
      <w:r>
        <w:t>34778. Each step—from solution concentration to annealing—was tuned to shape this perovskite solar cell, which was fabricated, yielding a PCE of 19.4%, an FF of 73.62%, a Voc of 1.1038 V, and a Jsc of 23.87 mA/cm². The perovskite precursor is Cs0.05MA0.16FA0.79Pb1I2.9Br0.1. Then, the prepared precursor solution was spin-coated onto the ITO substrate at 1000 rpm for 15 s and 5000 rpm for 30 s. 180 µL chlorobenzene as antisolvent was dropped 10 s before the end of the spin-coating procedure. Then the film was annealed at 105 °C for 30 min. XRD analysis showed a diffraction peak was identified at 4.00°, with an intensity of 71.75 cts，which corresponds to the formation of a 2D structure within the perovskite lattice. The high intensity implies efficient surface passivation, contributing positively to device performance. GIXRD analysis further revealed a residual tensile stress of 10.50 MPa in the perovskite film via measurement conducted at an incident angle of 1°.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