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ACE7" w14:textId="77777777" w:rsidR="00855CAF" w:rsidRPr="00855CAF" w:rsidRDefault="00855CAF" w:rsidP="00855CAF">
      <w:pPr>
        <w:rPr>
          <w:b/>
          <w:bCs/>
        </w:rPr>
      </w:pPr>
      <w:r w:rsidRPr="00855CAF">
        <w:rPr>
          <w:b/>
          <w:bCs/>
        </w:rPr>
        <w:t xml:space="preserve">Racional de Escolha e Discussão dos Modelos Eleitos </w:t>
      </w:r>
    </w:p>
    <w:p w14:paraId="3132C604" w14:textId="77777777" w:rsidR="00855CAF" w:rsidRPr="00855CAF" w:rsidRDefault="00855CAF" w:rsidP="00855CAF">
      <w:r w:rsidRPr="00855CAF">
        <w:rPr>
          <w:b/>
          <w:bCs/>
        </w:rPr>
        <w:t>Modelo A: Versão v4 (CLAHE Offline)</w:t>
      </w:r>
      <w:r w:rsidRPr="00855CAF">
        <w:t xml:space="preserve"> </w:t>
      </w:r>
      <w:r w:rsidRPr="00855CAF">
        <w:t xml:space="preserve">- </w:t>
      </w:r>
      <w:r w:rsidRPr="00855CAF">
        <w:t xml:space="preserve">O Teto em </w:t>
      </w:r>
      <w:proofErr w:type="spellStart"/>
      <w:r w:rsidRPr="00855CAF">
        <w:t>Grayscale</w:t>
      </w:r>
      <w:proofErr w:type="spellEnd"/>
      <w:r w:rsidRPr="00855CAF">
        <w:t xml:space="preserve"> </w:t>
      </w:r>
    </w:p>
    <w:p w14:paraId="44BF2FED" w14:textId="0EF848F8" w:rsidR="00855CAF" w:rsidRPr="00855CAF" w:rsidRDefault="00855CAF" w:rsidP="00855CAF">
      <w:r w:rsidRPr="00855CAF">
        <w:t xml:space="preserve">Este modelo estabeleceu a performance máxima empírica do pipeline construído sobre imagens processadas em tons de cinzento. A sua principal vantagem foi a migração do algoritmo do fluxo de execução dinâmico por </w:t>
      </w:r>
      <w:proofErr w:type="spellStart"/>
      <w:r w:rsidRPr="00855CAF">
        <w:t>batch</w:t>
      </w:r>
      <w:proofErr w:type="spellEnd"/>
      <w:r w:rsidRPr="00855CAF">
        <w:t xml:space="preserve"> para uma fase de processamento offline prévia. Esta alteração resolveu o estrangulamento de transferência de dados (I/O) para a GPU. Mantendo um regime de treino estruturado em duas fases (congelamento inicial do extrator de características seguido de fine-</w:t>
      </w:r>
      <w:proofErr w:type="spellStart"/>
      <w:r w:rsidRPr="00855CAF">
        <w:t>tuning</w:t>
      </w:r>
      <w:proofErr w:type="spellEnd"/>
      <w:r w:rsidRPr="00855CAF">
        <w:t xml:space="preserve"> total), este modelo alcançou um F1-Score Macro de Teste de 0.5558. </w:t>
      </w:r>
    </w:p>
    <w:p w14:paraId="6B83AD24" w14:textId="77777777" w:rsidR="00855CAF" w:rsidRPr="00855CAF" w:rsidRDefault="00855CAF" w:rsidP="00855CAF">
      <w:r w:rsidRPr="00855CAF">
        <w:rPr>
          <w:b/>
          <w:bCs/>
        </w:rPr>
        <w:t xml:space="preserve">Modelo B: Versão v6 (RGB Nativo &amp; Normalização </w:t>
      </w:r>
      <w:proofErr w:type="spellStart"/>
      <w:r w:rsidRPr="00855CAF">
        <w:rPr>
          <w:b/>
          <w:bCs/>
        </w:rPr>
        <w:t>ImageNet</w:t>
      </w:r>
      <w:proofErr w:type="spellEnd"/>
      <w:r w:rsidRPr="00855CAF">
        <w:rPr>
          <w:b/>
          <w:bCs/>
        </w:rPr>
        <w:t>)</w:t>
      </w:r>
      <w:r w:rsidRPr="00855CAF">
        <w:t xml:space="preserve"> </w:t>
      </w:r>
      <w:r w:rsidRPr="00855CAF">
        <w:t>-</w:t>
      </w:r>
      <w:r w:rsidRPr="00855CAF">
        <w:t xml:space="preserve"> A Correção Teórica </w:t>
      </w:r>
    </w:p>
    <w:p w14:paraId="602ADE8A" w14:textId="77777777" w:rsidR="00855CAF" w:rsidRPr="00855CAF" w:rsidRDefault="00855CAF" w:rsidP="00855CAF">
      <w:r w:rsidRPr="00855CAF">
        <w:t xml:space="preserve">A iteração v6 implementou a correção mais relevante do trabalho prático ao nível de alinhamento com a literatura de </w:t>
      </w:r>
      <w:proofErr w:type="spellStart"/>
      <w:r w:rsidRPr="00855CAF">
        <w:t>Transfer</w:t>
      </w:r>
      <w:proofErr w:type="spellEnd"/>
      <w:r w:rsidRPr="00855CAF">
        <w:t xml:space="preserve"> </w:t>
      </w:r>
      <w:proofErr w:type="spellStart"/>
      <w:r w:rsidRPr="00855CAF">
        <w:t>Learning</w:t>
      </w:r>
      <w:proofErr w:type="spellEnd"/>
      <w:r w:rsidRPr="00855CAF">
        <w:t xml:space="preserve">. Uma vez que os pesos pré-treinados da MobileNetV2 no </w:t>
      </w:r>
      <w:proofErr w:type="spellStart"/>
      <w:r w:rsidRPr="00855CAF">
        <w:t>PyTorch</w:t>
      </w:r>
      <w:proofErr w:type="spellEnd"/>
      <w:r w:rsidRPr="00855CAF">
        <w:t xml:space="preserve"> foram gerados com imagens naturais RGB, a conversão forçada de níveis de cinzento com normalizações arbitrárias induzia desvios de gradiente. Ao reestruturar o pipeline para ler as imagens nativamente em RGB (via PIL) e aplicar estritamente as médias (μ) e desvios-padrão (σ) do </w:t>
      </w:r>
      <w:proofErr w:type="spellStart"/>
      <w:r w:rsidRPr="00855CAF">
        <w:t>ImageNet</w:t>
      </w:r>
      <w:proofErr w:type="spellEnd"/>
      <w:r w:rsidRPr="00855CAF">
        <w:t xml:space="preserve">, assegurou-se a coerência semântica das camadas </w:t>
      </w:r>
      <w:proofErr w:type="spellStart"/>
      <w:r w:rsidRPr="00855CAF">
        <w:t>convolucionais</w:t>
      </w:r>
      <w:proofErr w:type="spellEnd"/>
      <w:r w:rsidRPr="00855CAF">
        <w:t xml:space="preserve"> profundas. O modelo atingiu a estabilidade ideal com um </w:t>
      </w:r>
      <w:proofErr w:type="spellStart"/>
      <w:r w:rsidRPr="00855CAF">
        <w:t>Test</w:t>
      </w:r>
      <w:proofErr w:type="spellEnd"/>
      <w:r w:rsidRPr="00855CAF">
        <w:t xml:space="preserve"> F1 de 0.5215. </w:t>
      </w:r>
    </w:p>
    <w:p w14:paraId="4D242099" w14:textId="77777777" w:rsidR="00855CAF" w:rsidRPr="00855CAF" w:rsidRDefault="00855CAF" w:rsidP="00855CAF">
      <w:r w:rsidRPr="00855CAF">
        <w:rPr>
          <w:b/>
          <w:bCs/>
        </w:rPr>
        <w:t>Modelo C: Versão v7 (</w:t>
      </w:r>
      <w:proofErr w:type="spellStart"/>
      <w:r w:rsidRPr="00855CAF">
        <w:rPr>
          <w:b/>
          <w:bCs/>
        </w:rPr>
        <w:t>Differential</w:t>
      </w:r>
      <w:proofErr w:type="spellEnd"/>
      <w:r w:rsidRPr="00855CAF">
        <w:rPr>
          <w:b/>
          <w:bCs/>
        </w:rPr>
        <w:t xml:space="preserve"> </w:t>
      </w:r>
      <w:proofErr w:type="spellStart"/>
      <w:r w:rsidRPr="00855CAF">
        <w:rPr>
          <w:b/>
          <w:bCs/>
        </w:rPr>
        <w:t>Learning</w:t>
      </w:r>
      <w:proofErr w:type="spellEnd"/>
      <w:r w:rsidRPr="00855CAF">
        <w:rPr>
          <w:b/>
          <w:bCs/>
        </w:rPr>
        <w:t xml:space="preserve"> Rates)</w:t>
      </w:r>
      <w:r w:rsidRPr="00855CAF">
        <w:t xml:space="preserve"> </w:t>
      </w:r>
      <w:r w:rsidRPr="00855CAF">
        <w:t>-</w:t>
      </w:r>
      <w:r w:rsidRPr="00855CAF">
        <w:t xml:space="preserve"> A Sofisticação do Treino </w:t>
      </w:r>
    </w:p>
    <w:p w14:paraId="6327D177" w14:textId="77777777" w:rsidR="00855CAF" w:rsidRPr="00855CAF" w:rsidRDefault="00855CAF" w:rsidP="00855CAF">
      <w:r w:rsidRPr="00855CAF">
        <w:t xml:space="preserve">Esta abordagem quebrou o paradigma clássico de treino faseado para mitigar a inércia observada na Fase 1 de todas as versões anteriores (onde o F1 de validação permanecia ≤ 0.30). Implementou-se um treino único de fase única com taxas de aprendizagem diferenciadas em função da profundidade dos blocos </w:t>
      </w:r>
      <w:proofErr w:type="spellStart"/>
      <w:r w:rsidRPr="00855CAF">
        <w:t>convolucionais</w:t>
      </w:r>
      <w:proofErr w:type="spellEnd"/>
      <w:r w:rsidRPr="00855CAF">
        <w:t>: 1×10</w:t>
      </w:r>
      <w:proofErr w:type="gramStart"/>
      <w:r w:rsidRPr="00855CAF">
        <w:t>^{</w:t>
      </w:r>
      <w:proofErr w:type="gramEnd"/>
      <w:r w:rsidRPr="00855CAF">
        <w:t xml:space="preserve">-5} para as camadas iniciais (preservação de </w:t>
      </w:r>
      <w:proofErr w:type="spellStart"/>
      <w:r w:rsidRPr="00855CAF">
        <w:t>features</w:t>
      </w:r>
      <w:proofErr w:type="spellEnd"/>
      <w:r w:rsidRPr="00855CAF">
        <w:t xml:space="preserve"> genéricas), 5×10</w:t>
      </w:r>
      <w:proofErr w:type="gramStart"/>
      <w:r w:rsidRPr="00855CAF">
        <w:t>^{</w:t>
      </w:r>
      <w:proofErr w:type="gramEnd"/>
      <w:r w:rsidRPr="00855CAF">
        <w:t xml:space="preserve">-5} para o bloco </w:t>
      </w:r>
      <w:proofErr w:type="spellStart"/>
      <w:r w:rsidRPr="00855CAF">
        <w:t>convolucional</w:t>
      </w:r>
      <w:proofErr w:type="spellEnd"/>
      <w:r w:rsidRPr="00855CAF">
        <w:t xml:space="preserve"> profundo (adaptação ao domínio clínico-radiológico) e 1×10</w:t>
      </w:r>
      <w:proofErr w:type="gramStart"/>
      <w:r w:rsidRPr="00855CAF">
        <w:t>^{</w:t>
      </w:r>
      <w:proofErr w:type="gramEnd"/>
      <w:r w:rsidRPr="00855CAF">
        <w:t xml:space="preserve">-3} para a cabeça de classificação </w:t>
      </w:r>
      <w:proofErr w:type="gramStart"/>
      <w:r w:rsidRPr="00855CAF">
        <w:t xml:space="preserve">( </w:t>
      </w:r>
      <w:proofErr w:type="spellStart"/>
      <w:r w:rsidRPr="00855CAF">
        <w:t>classifier</w:t>
      </w:r>
      <w:proofErr w:type="spellEnd"/>
      <w:proofErr w:type="gramEnd"/>
      <w:r w:rsidRPr="00855CAF">
        <w:t xml:space="preserve"> </w:t>
      </w:r>
      <w:proofErr w:type="spellStart"/>
      <w:r w:rsidRPr="00855CAF">
        <w:t>head</w:t>
      </w:r>
      <w:proofErr w:type="spellEnd"/>
      <w:r w:rsidRPr="00855CAF">
        <w:t xml:space="preserve">), reguladas por um </w:t>
      </w:r>
      <w:proofErr w:type="spellStart"/>
      <w:r w:rsidRPr="00855CAF">
        <w:t>scheduler</w:t>
      </w:r>
      <w:proofErr w:type="spellEnd"/>
      <w:r w:rsidRPr="00855CAF">
        <w:t xml:space="preserve"> com 5 épocas de </w:t>
      </w:r>
      <w:proofErr w:type="spellStart"/>
      <w:r w:rsidRPr="00855CAF">
        <w:t>Warm-up</w:t>
      </w:r>
      <w:proofErr w:type="spellEnd"/>
      <w:r w:rsidRPr="00855CAF">
        <w:t xml:space="preserve"> e decaimento por cosseno. </w:t>
      </w:r>
    </w:p>
    <w:p w14:paraId="79498C2A" w14:textId="66140C9C" w:rsidR="00C256D8" w:rsidRPr="00855CAF" w:rsidRDefault="00855CAF" w:rsidP="00855CAF">
      <w:r w:rsidRPr="00855CAF">
        <w:rPr>
          <w:u w:val="single"/>
        </w:rPr>
        <w:t>Nota Teórica (v7):</w:t>
      </w:r>
      <w:r w:rsidRPr="00855CAF">
        <w:t xml:space="preserve"> O critério de </w:t>
      </w:r>
      <w:proofErr w:type="spellStart"/>
      <w:r w:rsidRPr="00855CAF">
        <w:t>Early</w:t>
      </w:r>
      <w:proofErr w:type="spellEnd"/>
      <w:r w:rsidRPr="00855CAF">
        <w:t xml:space="preserve"> </w:t>
      </w:r>
      <w:proofErr w:type="spellStart"/>
      <w:r w:rsidRPr="00855CAF">
        <w:t>Stopping</w:t>
      </w:r>
      <w:proofErr w:type="spellEnd"/>
      <w:r w:rsidRPr="00855CAF">
        <w:t xml:space="preserve"> encerrou o treino na época 30 com uma métrica de validação de 0.4233. Embora inferior ao limite fixado pela v4, este modelo foi eleito pela sua complexidade estrutural, refletindo a aplicação correta das técnicas avançadas de controlo de gradientes exigidas no enunciado. </w:t>
      </w:r>
    </w:p>
    <w:p w14:paraId="79781631" w14:textId="77777777" w:rsidR="00855CAF" w:rsidRPr="00855CAF" w:rsidRDefault="00855CAF" w:rsidP="00855CAF">
      <w:r w:rsidRPr="00855CAF">
        <w:t xml:space="preserve"> </w:t>
      </w:r>
    </w:p>
    <w:p w14:paraId="4372983B" w14:textId="77777777" w:rsidR="00855CAF" w:rsidRDefault="00855CAF" w:rsidP="00855CAF">
      <w:pPr>
        <w:rPr>
          <w:b/>
          <w:bCs/>
        </w:rPr>
      </w:pPr>
    </w:p>
    <w:p w14:paraId="354007DD" w14:textId="2A34B78E" w:rsidR="00855CAF" w:rsidRPr="00855CAF" w:rsidRDefault="00855CAF" w:rsidP="00855CAF">
      <w:pPr>
        <w:rPr>
          <w:b/>
          <w:bCs/>
        </w:rPr>
      </w:pPr>
      <w:r w:rsidRPr="00855CAF">
        <w:rPr>
          <w:b/>
          <w:bCs/>
        </w:rPr>
        <w:lastRenderedPageBreak/>
        <w:t xml:space="preserve">Conclusões </w:t>
      </w:r>
    </w:p>
    <w:p w14:paraId="7720C709" w14:textId="1E46DA84" w:rsidR="00855CAF" w:rsidRPr="00855CAF" w:rsidRDefault="00855CAF" w:rsidP="00855CAF">
      <w:r w:rsidRPr="00855CAF">
        <w:t xml:space="preserve">A exploração das diferentes iterações provou que as modificações aplicadas à v4 e v6 estabilizaram a aprendizagem global do modelo leve. Os testes paralelos demonstraram que soluções focadas apenas em perdas assimétricas (v5) ou pesos extremos no </w:t>
      </w:r>
      <w:proofErr w:type="spellStart"/>
      <w:r w:rsidRPr="00855CAF">
        <w:t>oversampling</w:t>
      </w:r>
      <w:proofErr w:type="spellEnd"/>
      <w:r w:rsidRPr="00855CAF">
        <w:t xml:space="preserve"> (v10) para favorecer a classe rara </w:t>
      </w:r>
      <w:proofErr w:type="spellStart"/>
      <w:r w:rsidRPr="00855CAF">
        <w:t>Biliary</w:t>
      </w:r>
      <w:proofErr w:type="spellEnd"/>
      <w:r w:rsidRPr="00855CAF">
        <w:t>\</w:t>
      </w:r>
      <w:proofErr w:type="spellStart"/>
      <w:r w:rsidRPr="00855CAF">
        <w:t>Leaks</w:t>
      </w:r>
      <w:proofErr w:type="spellEnd"/>
      <w:r w:rsidRPr="00855CAF">
        <w:t xml:space="preserve"> resultaram numa contração acentuada da métrica Macro geral por degradação das classes maioritárias (Normal e </w:t>
      </w:r>
      <w:proofErr w:type="spellStart"/>
      <w:r w:rsidRPr="00855CAF">
        <w:t>Stricture</w:t>
      </w:r>
      <w:proofErr w:type="spellEnd"/>
      <w:r w:rsidRPr="00855CAF">
        <w:t>). Esta secção individual fornece ao grupo as métricas validadas de teto para a arquitetura MobileNetV2, prontas a serem combinadas com os resultados dos restantes modelos em análise no relatório conjunto</w:t>
      </w:r>
    </w:p>
    <w:sectPr w:rsidR="00855CAF" w:rsidRPr="00855C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4490B"/>
    <w:multiLevelType w:val="hybridMultilevel"/>
    <w:tmpl w:val="D76E21F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91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AF"/>
    <w:rsid w:val="005B10B8"/>
    <w:rsid w:val="00855CAF"/>
    <w:rsid w:val="00B779E6"/>
    <w:rsid w:val="00C2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5C52B"/>
  <w15:chartTrackingRefBased/>
  <w15:docId w15:val="{D4F43AD7-0179-48C2-8E8A-0AED7FAC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473</Words>
  <Characters>2556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Filipa Araújo Pereira</dc:creator>
  <cp:keywords/>
  <dc:description/>
  <cp:lastModifiedBy>Filipa Araújo Pereira</cp:lastModifiedBy>
  <cp:revision>1</cp:revision>
  <dcterms:created xsi:type="dcterms:W3CDTF">2026-05-19T13:52:00Z</dcterms:created>
  <dcterms:modified xsi:type="dcterms:W3CDTF">2026-05-19T13:56:00Z</dcterms:modified>
</cp:coreProperties>
</file>