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240"/>
        <w:jc w:val="center"/>
      </w:pPr>
      <w:r>
        <w:rPr>
          <w:b/>
          <w:bCs/>
          <w:color w:val="1F4E79"/>
          <w:sz w:val="40"/>
          <w:szCs w:val="40"/>
        </w:rPr>
        <w:t xml:space="preserve">2027 年一季度财富管理类业务</w:t>
      </w:r>
    </w:p>
    <w:p>
      <w:pPr>
        <w:spacing w:after="600"/>
        <w:jc w:val="center"/>
      </w:pPr>
      <w:r>
        <w:rPr>
          <w:b/>
          <w:bCs/>
          <w:color w:val="1F4E79"/>
          <w:sz w:val="52"/>
          <w:szCs w:val="52"/>
        </w:rPr>
        <w:t xml:space="preserve">理财、基金现场竞标规则与流程</w:t>
      </w:r>
    </w:p>
    <w:p>
      <w:pPr>
        <w:pBdr>
          <w:top w:val="single" w:color="C9A227" w:sz="12" w:space="12"/>
        </w:pBdr>
        <w:spacing w:after="200"/>
        <w:jc w:val="center"/>
      </w:pPr>
      <w:r>
        <w:rPr>
          <w:color w:val="555555"/>
          <w:sz w:val="22"/>
          <w:szCs w:val="22"/>
        </w:rPr>
        <w:t xml:space="preserve">竞标规则 · 计分与激励 · 会前准备 · 现场流程 · 系统操作 · 异常处理</w:t>
      </w:r>
    </w:p>
    <w:p>
      <w:pPr>
        <w:spacing w:before="2400"/>
        <w:jc w:val="center"/>
      </w:pPr>
      <w:r>
        <w:rPr>
          <w:sz w:val="24"/>
          <w:szCs w:val="24"/>
        </w:rPr>
        <w:t xml:space="preserve">活动周期：2027 年 1 月 1 日—2027 年 3 月 31 日</w:t>
      </w:r>
    </w:p>
    <w:p>
      <w:pPr>
        <w:spacing w:before="120"/>
        <w:jc w:val="center"/>
      </w:pPr>
      <w:r>
        <w:rPr>
          <w:sz w:val="24"/>
          <w:szCs w:val="24"/>
        </w:rPr>
        <w:t xml:space="preserve">市分公司金融部</w:t>
      </w:r>
    </w:p>
    <w:p>
      <w:pPr>
        <w:spacing w:before="120"/>
        <w:jc w:val="center"/>
      </w:pPr>
      <w:r>
        <w:rPr>
          <w:color w:val="777777"/>
          <w:sz w:val="18"/>
          <w:szCs w:val="18"/>
        </w:rPr>
        <w:t xml:space="preserve">（本文件依据《2027年一季度财富管理类业务竞标方案》及现场竞标系统整理，规则以方案原文和金融部解释为准）</w:t>
      </w:r>
    </w:p>
    <w:p>
      <w:r>
        <w:br w:type="page"/>
      </w:r>
    </w:p>
    <w:p>
      <w:pPr>
        <w:spacing w:after="240"/>
        <w:jc w:val="center"/>
      </w:pPr>
      <w:r>
        <w:rPr>
          <w:b/>
          <w:bCs/>
          <w:color w:val="1F4E79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color w:val="888888"/>
          <w:sz w:val="18"/>
          <w:szCs w:val="18"/>
        </w:rPr>
        <w:t xml:space="preserve">（打开文件后如目录未显示页码，请右键目录 →「更新域」→「更新整个目录」。）</w:t>
      </w:r>
    </w:p>
    <w:p>
      <w:r>
        <w:br w:type="page"/>
      </w:r>
    </w:p>
    <w:p>
      <w:pPr>
        <w:pStyle w:val="Heading1"/>
      </w:pPr>
      <w:r>
        <w:t xml:space="preserve">一、活动概况</w:t>
      </w:r>
    </w:p>
    <w:p>
      <w:pPr>
        <w:pStyle w:val="Heading2"/>
      </w:pPr>
      <w:r>
        <w:t xml:space="preserve">（一）活动背景</w:t>
      </w:r>
    </w:p>
    <w:p>
      <w:pPr>
        <w:spacing w:after="120" w:line="360"/>
      </w:pPr>
      <w:r>
        <w:t xml:space="preserve">为抢抓岁末年初客户回流、资金沉淀、资产配置调整的旺季营销窗口期，落实集团公司学习借鉴甘肃财富管理转型的工作要求，全面打响 2027 年一季度财富管理业务「开门红」，本次活动以</w:t>
      </w:r>
      <w:r>
        <w:rPr>
          <w:b/>
          <w:bCs/>
        </w:rPr>
        <w:t xml:space="preserve">公开摘标、自由竞标、争先创优</w:t>
      </w:r>
      <w:r>
        <w:t xml:space="preserve">为竞赛机制，压实各单位经营主体责任，推动理财规模稳健扩容、基金销量实现突破性增长，提升财富管理业务收入与客户资产配置渗透率。</w:t>
      </w:r>
    </w:p>
    <w:p>
      <w:pPr>
        <w:pStyle w:val="Heading2"/>
      </w:pPr>
      <w:r>
        <w:t xml:space="preserve">（二）活动周期与目标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76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活动周期</w:t>
            </w:r>
          </w:p>
        </w:tc>
        <w:tc>
          <w:tcPr>
            <w:tcW w:type="dxa" w:w="76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2027 年 1 月 1 日—2027 年 3 月 31 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全市目标</w:t>
            </w:r>
          </w:p>
        </w:tc>
        <w:tc>
          <w:tcPr>
            <w:tcW w:type="dxa" w:w="76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基金有效销量新增 </w:t>
            </w:r>
            <w:r>
              <w:rPr>
                <w:b/>
                <w:bCs/>
                <w:sz w:val="20"/>
                <w:szCs w:val="20"/>
              </w:rPr>
              <w:t xml:space="preserve">8 亿元</w:t>
            </w:r>
          </w:p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高中收理财资管销量新增 </w:t>
            </w:r>
            <w:r>
              <w:rPr>
                <w:b/>
                <w:bCs/>
                <w:sz w:val="20"/>
                <w:szCs w:val="20"/>
              </w:rPr>
              <w:t xml:space="preserve">10 亿元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参赛主体</w:t>
            </w:r>
          </w:p>
        </w:tc>
        <w:tc>
          <w:tcPr>
            <w:tcW w:type="dxa" w:w="76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 家区分公司，由各区分公司总经理现场竞标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竞标项目</w:t>
            </w:r>
          </w:p>
        </w:tc>
        <w:tc>
          <w:tcPr>
            <w:tcW w:type="dxa" w:w="76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理财、基金两个独立项目：分开竞标、分开考核、互不关联、独立计分</w:t>
            </w:r>
          </w:p>
        </w:tc>
      </w:tr>
    </w:tbl>
    <w:p>
      <w:pPr>
        <w:pStyle w:val="Heading2"/>
      </w:pPr>
      <w:r>
        <w:t xml:space="preserve">（三）统计口径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72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统计口径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基金有效销量</w:t>
            </w:r>
          </w:p>
        </w:tc>
        <w:tc>
          <w:tcPr>
            <w:tcW w:type="dxa" w:w="72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非货基金销量 + 新增基金月日均保有量。</w:t>
            </w:r>
          </w:p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新增基金保有量不限产品类型；非货基金销量中纯债 A、短债 A、非货 C 类产品销量上限为计划目标的 50%；月度重点组合首发产品不受该比例限制。</w:t>
            </w:r>
          </w:p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月度重点组合、安享优享池内「固收+」、权益产品，重点档期销量按总行给定系数加权计算。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高中收理财资管销量</w:t>
            </w:r>
          </w:p>
        </w:tc>
        <w:tc>
          <w:tcPr>
            <w:tcW w:type="dxa" w:w="72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二年期及以上封闭式高中收理财资管销量。</w:t>
            </w:r>
          </w:p>
        </w:tc>
      </w:tr>
    </w:tbl>
    <w:p>
      <w:pPr>
        <w:pStyle w:val="Heading1"/>
        <w:spacing w:before="480"/>
      </w:pPr>
      <w:r>
        <w:t xml:space="preserve">二、竞标规则</w:t>
      </w:r>
    </w:p>
    <w:p>
      <w:pPr>
        <w:pStyle w:val="Heading2"/>
      </w:pPr>
      <w:r>
        <w:t xml:space="preserve">（一）分组</w:t>
      </w:r>
    </w:p>
    <w:p>
      <w:pPr>
        <w:spacing w:after="120" w:line="360"/>
      </w:pPr>
      <w:r>
        <w:t xml:space="preserve">全市 16 家单位分为三组。理财、基金两个项目</w:t>
      </w:r>
      <w:r>
        <w:rPr>
          <w:b/>
          <w:bCs/>
        </w:rPr>
        <w:t xml:space="preserve">分组相同</w:t>
      </w:r>
      <w:r>
        <w:t xml:space="preserve">，均按组别分别比拼。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838"/>
        <w:gridCol w:w="1200"/>
      </w:tblGrid>
      <w:tr>
        <w:trPr>
          <w:tblHeader/>
        </w:trPr>
        <w:tc>
          <w:tcPr>
            <w:tcW w:type="dxa" w:w="16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组别</w:t>
            </w:r>
          </w:p>
        </w:tc>
        <w:tc>
          <w:tcPr>
            <w:tcW w:type="dxa" w:w="68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单位</w:t>
            </w:r>
          </w:p>
        </w:tc>
        <w:tc>
          <w:tcPr>
            <w:tcW w:type="dxa" w:w="12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家数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第一组</w:t>
            </w:r>
          </w:p>
        </w:tc>
        <w:tc>
          <w:tcPr>
            <w:tcW w:type="dxa" w:w="68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浦东、闵行、宝山、嘉定、奉贤、松江</w:t>
            </w:r>
          </w:p>
        </w:tc>
        <w:tc>
          <w:tcPr>
            <w:tcW w:type="dxa" w:w="12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第二组</w:t>
            </w:r>
          </w:p>
        </w:tc>
        <w:tc>
          <w:tcPr>
            <w:tcW w:type="dxa" w:w="68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黄浦、虹口、静安、普陀、长宁</w:t>
            </w:r>
          </w:p>
        </w:tc>
        <w:tc>
          <w:tcPr>
            <w:tcW w:type="dxa" w:w="12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第三组</w:t>
            </w:r>
          </w:p>
        </w:tc>
        <w:tc>
          <w:tcPr>
            <w:tcW w:type="dxa" w:w="68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徐汇、杨浦、青浦、金山、崇明</w:t>
            </w:r>
          </w:p>
        </w:tc>
        <w:tc>
          <w:tcPr>
            <w:tcW w:type="dxa" w:w="12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p>
      <w:pPr>
        <w:pStyle w:val="Heading2"/>
      </w:pPr>
      <w:r>
        <w:t xml:space="preserve">（二）基础底标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结合各单位历史业绩、客户基数、资产规模，按</w:t>
      </w:r>
      <w:r>
        <w:rPr>
          <w:b/>
          <w:bCs/>
        </w:rPr>
        <w:t xml:space="preserve">零基预算</w:t>
      </w:r>
      <w:r>
        <w:t xml:space="preserve">核定理财、基金两项基础底标（单位：万元）。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启动会前 </w:t>
      </w:r>
      <w:r>
        <w:rPr>
          <w:b/>
          <w:bCs/>
        </w:rPr>
        <w:t xml:space="preserve">3 个工作日</w:t>
      </w:r>
      <w:r>
        <w:t xml:space="preserve">，市分公司点对点下发各单位理财、基金底标。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各单位须先</w:t>
      </w:r>
      <w:r>
        <w:rPr>
          <w:b/>
          <w:bCs/>
        </w:rPr>
        <w:t xml:space="preserve">认领基础底标</w:t>
      </w:r>
      <w:r>
        <w:t xml:space="preserve">，再参加自由竞标。现场在手机上点「确认认领基础底标」即完成认领（会前扫码后即可认领）。</w:t>
      </w:r>
    </w:p>
    <w:p>
      <w:pPr>
        <w:pStyle w:val="Heading2"/>
      </w:pPr>
      <w:r>
        <w:t xml:space="preserve">（三）首轮竞标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各单位收到底标后，在最低增幅（10%）之上研判加码比例、准备竞标预案。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启动会前 </w:t>
      </w:r>
      <w:r>
        <w:rPr>
          <w:b/>
          <w:bCs/>
        </w:rPr>
        <w:t xml:space="preserve">1 个工作日</w:t>
      </w:r>
      <w:r>
        <w:t xml:space="preserve">，各单位将</w:t>
      </w:r>
      <w:r>
        <w:rPr>
          <w:b/>
          <w:bCs/>
        </w:rPr>
        <w:t xml:space="preserve">首轮竞标增幅</w:t>
      </w:r>
      <w:r>
        <w:t xml:space="preserve">上报市分公司。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市分公司把 16 家理财、基金首轮结果导入系统并</w:t>
      </w:r>
      <w:r>
        <w:rPr>
          <w:b/>
          <w:bCs/>
        </w:rPr>
        <w:t xml:space="preserve">一起冻结</w:t>
      </w:r>
      <w:r>
        <w:t xml:space="preserve">。冻结后底标与首轮增幅</w:t>
      </w:r>
      <w:r>
        <w:rPr>
          <w:b/>
          <w:bCs/>
        </w:rPr>
        <w:t xml:space="preserve">不可修改</w:t>
      </w:r>
      <w:r>
        <w:t xml:space="preserve">，作为现场竞标的起点。</w:t>
      </w:r>
    </w:p>
    <w:p>
      <w:pPr>
        <w:pStyle w:val="Heading2"/>
      </w:pPr>
      <w:r>
        <w:t xml:space="preserve">（四）现场自由竞标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规则</w:t>
            </w:r>
          </w:p>
        </w:tc>
        <w:tc>
          <w:tcPr>
            <w:tcW w:type="dxa" w:w="78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具体要求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最低增幅</w:t>
            </w:r>
          </w:p>
        </w:tc>
        <w:tc>
          <w:tcPr>
            <w:tcW w:type="dxa" w:w="78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每组最低增幅均为 </w:t>
            </w:r>
            <w:r>
              <w:rPr>
                <w:b/>
                <w:bCs/>
                <w:sz w:val="20"/>
                <w:szCs w:val="20"/>
              </w:rPr>
              <w:t xml:space="preserve">10%</w:t>
            </w:r>
            <w:r>
              <w:rPr>
                <w:b w:val="false"/>
                <w:bCs w:val="false"/>
                <w:sz w:val="20"/>
                <w:szCs w:val="20"/>
              </w:rPr>
              <w:t xml:space="preserve">，各单位在此之上自主竞标更高的冲刺增幅。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加码单位</w:t>
            </w:r>
          </w:p>
        </w:tc>
        <w:tc>
          <w:tcPr>
            <w:tcW w:type="dxa" w:w="78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每次加码为 </w:t>
            </w:r>
            <w:r>
              <w:rPr>
                <w:b/>
                <w:bCs/>
                <w:sz w:val="20"/>
                <w:szCs w:val="20"/>
              </w:rPr>
              <w:t xml:space="preserve">1 个百分点的整数倍</w:t>
            </w:r>
            <w:r>
              <w:rPr>
                <w:b w:val="false"/>
                <w:bCs w:val="false"/>
                <w:sz w:val="20"/>
                <w:szCs w:val="20"/>
              </w:rPr>
              <w:t xml:space="preserve">（+1、+2……+10 等），不设小数。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加码次数</w:t>
            </w:r>
          </w:p>
        </w:tc>
        <w:tc>
          <w:tcPr>
            <w:tcW w:type="dxa" w:w="78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组内自由加码，</w:t>
            </w:r>
            <w:r>
              <w:rPr>
                <w:b/>
                <w:bCs/>
                <w:sz w:val="20"/>
                <w:szCs w:val="20"/>
              </w:rPr>
              <w:t xml:space="preserve">不限次数</w:t>
            </w:r>
            <w:r>
              <w:rPr>
                <w:b w:val="false"/>
                <w:bCs w:val="false"/>
                <w:sz w:val="20"/>
                <w:szCs w:val="20"/>
              </w:rPr>
              <w:t xml:space="preserve">，轮到本组期间可多次追加。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只增不减</w:t>
            </w:r>
          </w:p>
        </w:tc>
        <w:tc>
          <w:tcPr>
            <w:tcW w:type="dxa" w:w="78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竞标目标一经确认，</w:t>
            </w:r>
            <w:r>
              <w:rPr>
                <w:b/>
                <w:bCs/>
                <w:sz w:val="20"/>
                <w:szCs w:val="20"/>
              </w:rPr>
              <w:t xml:space="preserve">只允许向上追加，不得向下调减</w:t>
            </w:r>
            <w:r>
              <w:rPr>
                <w:b w:val="false"/>
                <w:bCs w:val="false"/>
                <w:sz w:val="20"/>
                <w:szCs w:val="20"/>
              </w:rPr>
              <w:t xml:space="preserve">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竞标顺序</w:t>
            </w:r>
          </w:p>
        </w:tc>
        <w:tc>
          <w:tcPr>
            <w:tcW w:type="dxa" w:w="78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先</w:t>
            </w:r>
            <w:r>
              <w:rPr>
                <w:b/>
                <w:bCs/>
                <w:sz w:val="20"/>
                <w:szCs w:val="20"/>
              </w:rPr>
              <w:t xml:space="preserve">理财</w:t>
            </w:r>
            <w:r>
              <w:rPr>
                <w:b w:val="false"/>
                <w:bCs w:val="false"/>
                <w:sz w:val="20"/>
                <w:szCs w:val="20"/>
              </w:rPr>
              <w:t xml:space="preserve">、后</w:t>
            </w:r>
            <w:r>
              <w:rPr>
                <w:b/>
                <w:bCs/>
                <w:sz w:val="20"/>
                <w:szCs w:val="20"/>
              </w:rPr>
              <w:t xml:space="preserve">基金</w:t>
            </w:r>
            <w:r>
              <w:rPr>
                <w:b w:val="false"/>
                <w:bCs w:val="false"/>
                <w:sz w:val="20"/>
                <w:szCs w:val="20"/>
              </w:rPr>
              <w:t xml:space="preserve">；每个项目按第一组 → 第二组 → 第三组依次进行，同一时间只开放一个组。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确认方式</w:t>
            </w:r>
          </w:p>
        </w:tc>
        <w:tc>
          <w:tcPr>
            <w:tcW w:type="dxa" w:w="78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领导在手机上提交，看到「追加成功 · 服务器已确认」及回执号才算成功。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（五）竞标目标金额的计算</w:t>
      </w:r>
    </w:p>
    <w:p>
      <w:pPr>
        <w:spacing w:after="120" w:line="360"/>
      </w:pPr>
      <w:r>
        <w:t xml:space="preserve">系统按以下公式实时计算各单位的竞标目标金额，并在大屏、手机上同步显示：</w:t>
      </w:r>
    </w:p>
    <w:p>
      <w:pPr>
        <w:shd w:fill="DCE6F2" w:color="auto" w:val="clear"/>
        <w:spacing w:after="160" w:before="120"/>
        <w:jc w:val="center"/>
      </w:pPr>
      <w:r>
        <w:rPr>
          <w:b/>
          <w:bCs/>
          <w:color w:val="1F4E79"/>
          <w:sz w:val="26"/>
          <w:szCs w:val="26"/>
        </w:rPr>
        <w:t xml:space="preserve">竞标目标（万元）＝ 基础底标（万元）×（1 ＋ 竞标增幅）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1400"/>
        <w:gridCol w:w="1800"/>
        <w:gridCol w:w="1400"/>
        <w:gridCol w:w="2038"/>
      </w:tblGrid>
      <w:tr>
        <w:trPr>
          <w:tblHeader/>
        </w:trPr>
        <w:tc>
          <w:tcPr>
            <w:tcW w:type="dxa" w:w="1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  <w:tc>
          <w:tcPr>
            <w:tcW w:type="dxa" w:w="17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基础底标</w:t>
            </w:r>
          </w:p>
        </w:tc>
        <w:tc>
          <w:tcPr>
            <w:tcW w:type="dxa" w:w="14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首轮增幅</w:t>
            </w:r>
          </w:p>
        </w:tc>
        <w:tc>
          <w:tcPr>
            <w:tcW w:type="dxa" w:w="18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现场加码</w:t>
            </w:r>
          </w:p>
        </w:tc>
        <w:tc>
          <w:tcPr>
            <w:tcW w:type="dxa" w:w="14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最终增幅</w:t>
            </w:r>
          </w:p>
        </w:tc>
        <w:tc>
          <w:tcPr>
            <w:tcW w:type="dxa" w:w="20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竞标目标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单位 A</w:t>
            </w:r>
          </w:p>
        </w:tc>
        <w:tc>
          <w:tcPr>
            <w:tcW w:type="dxa" w:w="17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10,000 万元</w:t>
            </w:r>
          </w:p>
        </w:tc>
        <w:tc>
          <w:tcPr>
            <w:tcW w:type="dxa" w:w="14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18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+15 个百分点</w:t>
            </w:r>
          </w:p>
        </w:tc>
        <w:tc>
          <w:tcPr>
            <w:tcW w:type="dxa" w:w="14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35%</w:t>
            </w:r>
          </w:p>
        </w:tc>
        <w:tc>
          <w:tcPr>
            <w:tcW w:type="dxa" w:w="20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13,500 万元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单位 B</w:t>
            </w:r>
          </w:p>
        </w:tc>
        <w:tc>
          <w:tcPr>
            <w:tcW w:type="dxa" w:w="17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8,000 万元</w:t>
            </w:r>
          </w:p>
        </w:tc>
        <w:tc>
          <w:tcPr>
            <w:tcW w:type="dxa" w:w="14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12%</w:t>
            </w:r>
          </w:p>
        </w:tc>
        <w:tc>
          <w:tcPr>
            <w:tcW w:type="dxa" w:w="18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+0</w:t>
            </w:r>
          </w:p>
        </w:tc>
        <w:tc>
          <w:tcPr>
            <w:tcW w:type="dxa" w:w="14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12%</w:t>
            </w:r>
          </w:p>
        </w:tc>
        <w:tc>
          <w:tcPr>
            <w:tcW w:type="dxa" w:w="20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8,960 万元</w:t>
            </w:r>
          </w:p>
        </w:tc>
      </w:tr>
    </w:tbl>
    <w:p>
      <w:pPr>
        <w:spacing w:after="120" w:line="360"/>
      </w:pPr>
      <w:r>
        <w:rPr>
          <w:color w:val="555555"/>
          <w:sz w:val="20"/>
          <w:szCs w:val="20"/>
        </w:rPr>
        <w:t xml:space="preserve">说明：大屏、结果页中的目标金额按万元</w:t>
      </w:r>
      <w:r>
        <w:rPr>
          <w:b/>
          <w:bCs/>
          <w:color w:val="555555"/>
          <w:sz w:val="20"/>
          <w:szCs w:val="20"/>
        </w:rPr>
        <w:t xml:space="preserve">取整</w:t>
      </w:r>
      <w:r>
        <w:rPr>
          <w:color w:val="555555"/>
          <w:sz w:val="20"/>
          <w:szCs w:val="20"/>
        </w:rPr>
        <w:t xml:space="preserve">显示；全市合计按亿元显示。</w:t>
      </w:r>
    </w:p>
    <w:p>
      <w:pPr>
        <w:pStyle w:val="Heading2"/>
      </w:pPr>
      <w:r>
        <w:t xml:space="preserve">（六）标王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78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增幅门槛</w:t>
            </w:r>
          </w:p>
        </w:tc>
        <w:tc>
          <w:tcPr>
            <w:tcW w:type="dxa" w:w="78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竞标增幅</w:t>
            </w:r>
            <w:r>
              <w:rPr>
                <w:b/>
                <w:bCs/>
                <w:sz w:val="20"/>
                <w:szCs w:val="20"/>
              </w:rPr>
              <w:t xml:space="preserve">不低于 30%</w:t>
            </w:r>
            <w:r>
              <w:rPr>
                <w:b w:val="false"/>
                <w:bCs w:val="false"/>
                <w:sz w:val="20"/>
                <w:szCs w:val="20"/>
              </w:rPr>
              <w:t xml:space="preserve">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组内排名</w:t>
            </w:r>
          </w:p>
        </w:tc>
        <w:tc>
          <w:tcPr>
            <w:tcW w:type="dxa" w:w="78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在满足门槛的前提下，</w:t>
            </w:r>
            <w:r>
              <w:rPr>
                <w:b/>
                <w:bCs/>
                <w:sz w:val="20"/>
                <w:szCs w:val="20"/>
              </w:rPr>
              <w:t xml:space="preserve">组内竞标增幅唯一第一</w:t>
            </w:r>
            <w:r>
              <w:rPr>
                <w:b w:val="false"/>
                <w:bCs w:val="false"/>
                <w:sz w:val="20"/>
                <w:szCs w:val="20"/>
              </w:rPr>
              <w:t xml:space="preserve">的单位，授予「标王」荣誉称号。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名额</w:t>
            </w:r>
          </w:p>
        </w:tc>
        <w:tc>
          <w:tcPr>
            <w:tcW w:type="dxa" w:w="78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理财、基金各三组，每组最多一名，全场最多 </w:t>
            </w:r>
            <w:r>
              <w:rPr>
                <w:b/>
                <w:bCs/>
                <w:sz w:val="20"/>
                <w:szCs w:val="20"/>
              </w:rPr>
              <w:t xml:space="preserve">6 位标王</w:t>
            </w:r>
            <w:r>
              <w:rPr>
                <w:b w:val="false"/>
                <w:bCs w:val="false"/>
                <w:sz w:val="20"/>
                <w:szCs w:val="20"/>
              </w:rPr>
              <w:t xml:space="preserve">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本组无标王</w:t>
            </w:r>
          </w:p>
        </w:tc>
        <w:tc>
          <w:tcPr>
            <w:tcW w:type="dxa" w:w="78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本组第一名增幅低于 30% 的，本组</w:t>
            </w:r>
            <w:r>
              <w:rPr>
                <w:b/>
                <w:bCs/>
                <w:sz w:val="20"/>
                <w:szCs w:val="20"/>
              </w:rPr>
              <w:t xml:space="preserve">暂无标王</w:t>
            </w:r>
            <w:r>
              <w:rPr>
                <w:b w:val="false"/>
                <w:bCs w:val="false"/>
                <w:sz w:val="20"/>
                <w:szCs w:val="20"/>
              </w:rPr>
              <w:t xml:space="preserve">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并列第一</w:t>
            </w:r>
          </w:p>
        </w:tc>
        <w:tc>
          <w:tcPr>
            <w:tcW w:type="dxa" w:w="78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系统不自动认定标王，显示「并列第一 · 授旗规则待确认」。由组织者决定处理方式，如需追加，可在锁定前「重新开放」该组，由并列单位继续加码（原增幅不会下调）。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9A227" w:sz="24"/>
              <w:bottom w:val="none" w:color="FFFFFF" w:sz="0"/>
              <w:right w:val="none" w:color="FFFFFF" w:sz="0"/>
            </w:tcBorders>
            <w:shd w:fill="FFF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7A5B00"/>
              </w:rPr>
              <w:t xml:space="preserve">小结：一句话看懂竞标规则</w:t>
            </w:r>
          </w:p>
          <w:p>
            <w:pPr>
              <w:spacing w:after="40" w:line="320"/>
            </w:pPr>
            <w:r>
              <w:rPr>
                <w:sz w:val="20"/>
                <w:szCs w:val="20"/>
              </w:rPr>
              <w:t xml:space="preserve">会前首轮冻结 → 现场每组最低 10% → 每次加 1 个百分点的整数倍、只增不减 → 组内增幅第一且 ≥30% 为标王 → 先理财、后基金。</w:t>
            </w:r>
          </w:p>
        </w:tc>
      </w:tr>
    </w:tbl>
    <w:p>
      <w:pPr>
        <w:pStyle w:val="Heading1"/>
        <w:spacing w:before="480"/>
      </w:pPr>
      <w:r>
        <w:t xml:space="preserve">三、KPI 考核计分规则</w:t>
      </w:r>
    </w:p>
    <w:p>
      <w:pPr>
        <w:spacing w:after="120" w:line="360"/>
      </w:pPr>
      <w:r>
        <w:t xml:space="preserve">理财、基金两个项目</w:t>
      </w:r>
      <w:r>
        <w:rPr>
          <w:b/>
          <w:bCs/>
        </w:rPr>
        <w:t xml:space="preserve">独立核算、分别计分</w:t>
      </w:r>
      <w:r>
        <w:t xml:space="preserve">。对参与竞标的单项，计分规则如下：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38"/>
        <w:gridCol w:w="3600"/>
      </w:tblGrid>
      <w:tr>
        <w:trPr>
          <w:tblHeader/>
        </w:trPr>
        <w:tc>
          <w:tcPr>
            <w:tcW w:type="dxa" w:w="60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完成情况</w:t>
            </w:r>
          </w:p>
        </w:tc>
        <w:tc>
          <w:tcPr>
            <w:tcW w:type="dxa" w:w="36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单项计分</w:t>
            </w:r>
          </w:p>
        </w:tc>
      </w:tr>
      <w:tr>
        <w:trPr>
          <w:cantSplit/>
        </w:trPr>
        <w:tc>
          <w:tcPr>
            <w:tcW w:type="dxa" w:w="60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未完成基础底标</w:t>
            </w:r>
          </w:p>
        </w:tc>
        <w:tc>
          <w:tcPr>
            <w:tcW w:type="dxa" w:w="36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扣 0.2 分</w:t>
            </w:r>
          </w:p>
        </w:tc>
      </w:tr>
      <w:tr>
        <w:trPr>
          <w:cantSplit/>
        </w:trPr>
        <w:tc>
          <w:tcPr>
            <w:tcW w:type="dxa" w:w="60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完成基础底标，但未达成竞标目标</w:t>
            </w:r>
          </w:p>
        </w:tc>
        <w:tc>
          <w:tcPr>
            <w:tcW w:type="dxa" w:w="36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计 0 分</w:t>
            </w:r>
          </w:p>
        </w:tc>
      </w:tr>
      <w:tr>
        <w:trPr>
          <w:cantSplit/>
        </w:trPr>
        <w:tc>
          <w:tcPr>
            <w:tcW w:type="dxa" w:w="60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达成竞标目标，竞标增幅 10%</w:t>
            </w:r>
          </w:p>
        </w:tc>
        <w:tc>
          <w:tcPr>
            <w:tcW w:type="dxa" w:w="36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加 0.1 分</w:t>
            </w:r>
          </w:p>
        </w:tc>
      </w:tr>
      <w:tr>
        <w:trPr>
          <w:cantSplit/>
        </w:trPr>
        <w:tc>
          <w:tcPr>
            <w:tcW w:type="dxa" w:w="60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达成竞标目标，竞标增幅 20%</w:t>
            </w:r>
          </w:p>
        </w:tc>
        <w:tc>
          <w:tcPr>
            <w:tcW w:type="dxa" w:w="36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加 0.2 分</w:t>
            </w:r>
          </w:p>
        </w:tc>
      </w:tr>
      <w:tr>
        <w:trPr>
          <w:cantSplit/>
        </w:trPr>
        <w:tc>
          <w:tcPr>
            <w:tcW w:type="dxa" w:w="60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达成竞标目标，竞标增幅 ≥30%（非标王）</w:t>
            </w:r>
          </w:p>
        </w:tc>
        <w:tc>
          <w:tcPr>
            <w:tcW w:type="dxa" w:w="36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加 0.3 分</w:t>
            </w:r>
          </w:p>
        </w:tc>
      </w:tr>
      <w:tr>
        <w:trPr>
          <w:cantSplit/>
        </w:trPr>
        <w:tc>
          <w:tcPr>
            <w:tcW w:type="dxa" w:w="60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获评标王，且达成标王竞标目标</w:t>
            </w:r>
          </w:p>
        </w:tc>
        <w:tc>
          <w:tcPr>
            <w:tcW w:type="dxa" w:w="36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在增幅加分基础上</w:t>
            </w:r>
            <w:r>
              <w:rPr>
                <w:b/>
                <w:bCs/>
                <w:sz w:val="20"/>
                <w:szCs w:val="20"/>
              </w:rPr>
              <w:t xml:space="preserve">额外加 0.5 分</w:t>
            </w:r>
            <w:r>
              <w:rPr>
                <w:b w:val="false"/>
                <w:bCs w:val="false"/>
                <w:sz w:val="20"/>
                <w:szCs w:val="20"/>
              </w:rPr>
              <w:t xml:space="preserve">（合计 </w:t>
            </w:r>
            <w:r>
              <w:rPr>
                <w:b/>
                <w:bCs/>
                <w:sz w:val="20"/>
                <w:szCs w:val="20"/>
              </w:rPr>
              <w:t xml:space="preserve">0.8 分</w:t>
            </w:r>
            <w:r>
              <w:rPr>
                <w:b w:val="false"/>
                <w:bCs w:val="false"/>
                <w:sz w:val="20"/>
                <w:szCs w:val="20"/>
              </w:rPr>
              <w:t xml:space="preserve">）</w:t>
            </w:r>
          </w:p>
        </w:tc>
      </w:tr>
    </w:tbl>
    <w:p>
      <w:pPr>
        <w:spacing w:after="120" w:line="360"/>
      </w:pPr>
      <w:r>
        <w:rPr>
          <w:color w:val="555555"/>
          <w:sz w:val="20"/>
          <w:szCs w:val="20"/>
        </w:rPr>
        <w:t xml:space="preserve">注：增幅介于两档之间的，按所在档位计分（如 25% 按 20% 档），以市分公司金融部解释为准。</w:t>
      </w:r>
    </w:p>
    <w:p>
      <w:pPr>
        <w:pStyle w:val="Heading2"/>
      </w:pPr>
      <w:r>
        <w:t xml:space="preserve">计分示例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800"/>
        <w:gridCol w:w="2438"/>
      </w:tblGrid>
      <w:tr>
        <w:trPr>
          <w:tblHeader/>
        </w:trPr>
        <w:tc>
          <w:tcPr>
            <w:tcW w:type="dxa" w:w="24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情形</w:t>
            </w:r>
          </w:p>
        </w:tc>
        <w:tc>
          <w:tcPr>
            <w:tcW w:type="dxa" w:w="2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竞标增幅</w:t>
            </w:r>
          </w:p>
        </w:tc>
        <w:tc>
          <w:tcPr>
            <w:tcW w:type="dxa" w:w="28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实际完成</w:t>
            </w:r>
          </w:p>
        </w:tc>
        <w:tc>
          <w:tcPr>
            <w:tcW w:type="dxa" w:w="24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单项得分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单位 A（标王）</w:t>
            </w:r>
          </w:p>
        </w:tc>
        <w:tc>
          <w:tcPr>
            <w:tcW w:type="dxa" w:w="2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35%</w:t>
            </w:r>
          </w:p>
        </w:tc>
        <w:tc>
          <w:tcPr>
            <w:tcW w:type="dxa" w:w="28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完成 35% 以上</w:t>
            </w:r>
          </w:p>
        </w:tc>
        <w:tc>
          <w:tcPr>
            <w:tcW w:type="dxa" w:w="24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0.3 + 0.5 = </w:t>
            </w:r>
            <w:r>
              <w:rPr>
                <w:b/>
                <w:bCs/>
                <w:sz w:val="20"/>
                <w:szCs w:val="20"/>
              </w:rPr>
              <w:t xml:space="preserve">0.8 分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单位 B</w:t>
            </w:r>
          </w:p>
        </w:tc>
        <w:tc>
          <w:tcPr>
            <w:tcW w:type="dxa" w:w="2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30%（非标王）</w:t>
            </w:r>
          </w:p>
        </w:tc>
        <w:tc>
          <w:tcPr>
            <w:tcW w:type="dxa" w:w="28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完成 30% 以上</w:t>
            </w:r>
          </w:p>
        </w:tc>
        <w:tc>
          <w:tcPr>
            <w:tcW w:type="dxa" w:w="24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0.3 分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单位 C</w:t>
            </w:r>
          </w:p>
        </w:tc>
        <w:tc>
          <w:tcPr>
            <w:tcW w:type="dxa" w:w="2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28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完成 20% 以上</w:t>
            </w:r>
          </w:p>
        </w:tc>
        <w:tc>
          <w:tcPr>
            <w:tcW w:type="dxa" w:w="24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0.2 分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单位 D</w:t>
            </w:r>
          </w:p>
        </w:tc>
        <w:tc>
          <w:tcPr>
            <w:tcW w:type="dxa" w:w="2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28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完成底标，仅增长 15%</w:t>
            </w:r>
          </w:p>
        </w:tc>
        <w:tc>
          <w:tcPr>
            <w:tcW w:type="dxa" w:w="24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 分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单位 E</w:t>
            </w:r>
          </w:p>
        </w:tc>
        <w:tc>
          <w:tcPr>
            <w:tcW w:type="dxa" w:w="2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28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未完成底标</w:t>
            </w:r>
          </w:p>
        </w:tc>
        <w:tc>
          <w:tcPr>
            <w:tcW w:type="dxa" w:w="24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−0.2 分</w:t>
            </w:r>
          </w:p>
        </w:tc>
      </w:tr>
    </w:tbl>
    <w:p>
      <w:pPr>
        <w:pStyle w:val="Heading1"/>
        <w:spacing w:before="480"/>
      </w:pPr>
      <w:r>
        <w:t xml:space="preserve">四、激励约束及过程管控</w:t>
      </w:r>
    </w:p>
    <w:p>
      <w:pPr>
        <w:pStyle w:val="Heading2"/>
      </w:pPr>
      <w:r>
        <w:t xml:space="preserve">（一）重点业务激励核增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适用对象：自由竞标增幅 </w:t>
      </w:r>
      <w:r>
        <w:rPr>
          <w:b/>
          <w:bCs/>
        </w:rPr>
        <w:t xml:space="preserve">10% 以上</w:t>
      </w:r>
      <w:r>
        <w:t xml:space="preserve">、且</w:t>
      </w:r>
      <w:r>
        <w:rPr>
          <w:b/>
          <w:bCs/>
        </w:rPr>
        <w:t xml:space="preserve">实际足额达成</w:t>
      </w:r>
      <w:r>
        <w:t xml:space="preserve">竞标目标的单位。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测算基准：以基础底标对应的业务激励基数为基准；理财、基金两个项目</w:t>
      </w:r>
      <w:r>
        <w:rPr>
          <w:b/>
          <w:bCs/>
        </w:rPr>
        <w:t xml:space="preserve">分开单独核算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竞标增幅不足 10% 的，不参与本项激励核增。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38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21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竞标增幅档位</w:t>
            </w:r>
          </w:p>
        </w:tc>
        <w:tc>
          <w:tcPr>
            <w:tcW w:type="dxa" w:w="15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10%</w:t>
            </w:r>
          </w:p>
        </w:tc>
        <w:tc>
          <w:tcPr>
            <w:tcW w:type="dxa" w:w="15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20%</w:t>
            </w:r>
          </w:p>
        </w:tc>
        <w:tc>
          <w:tcPr>
            <w:tcW w:type="dxa" w:w="15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30%</w:t>
            </w:r>
          </w:p>
        </w:tc>
        <w:tc>
          <w:tcPr>
            <w:tcW w:type="dxa" w:w="15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40%</w:t>
            </w:r>
          </w:p>
        </w:tc>
        <w:tc>
          <w:tcPr>
            <w:tcW w:type="dxa" w:w="15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50% 及以上</w:t>
            </w:r>
          </w:p>
        </w:tc>
      </w:tr>
      <w:tr>
        <w:trPr>
          <w:cantSplit/>
        </w:trPr>
        <w:tc>
          <w:tcPr>
            <w:tcW w:type="dxa" w:w="21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激励系数</w:t>
            </w:r>
          </w:p>
        </w:tc>
        <w:tc>
          <w:tcPr>
            <w:tcW w:type="dxa" w:w="15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15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  <w:tc>
          <w:tcPr>
            <w:tcW w:type="dxa" w:w="15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1.3</w:t>
            </w:r>
          </w:p>
        </w:tc>
        <w:tc>
          <w:tcPr>
            <w:tcW w:type="dxa" w:w="15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1.4</w:t>
            </w:r>
          </w:p>
        </w:tc>
        <w:tc>
          <w:tcPr>
            <w:tcW w:type="dxa" w:w="15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1.5（封顶）</w:t>
            </w:r>
          </w:p>
        </w:tc>
      </w:tr>
    </w:tbl>
    <w:p>
      <w:pPr>
        <w:spacing w:after="120" w:line="360"/>
      </w:pPr>
      <w:r>
        <w:rPr>
          <w:color w:val="555555"/>
          <w:sz w:val="20"/>
          <w:szCs w:val="20"/>
        </w:rPr>
        <w:t xml:space="preserve">即：增幅 10% 对应系数 1.1，每提高 10 个百分点上调 0.1，最高 1.5。</w:t>
      </w:r>
    </w:p>
    <w:p>
      <w:pPr>
        <w:pStyle w:val="Heading2"/>
      </w:pPr>
      <w:r>
        <w:t xml:space="preserve">（二）容错机制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完成情况</w:t>
            </w:r>
          </w:p>
        </w:tc>
        <w:tc>
          <w:tcPr>
            <w:tcW w:type="dxa" w:w="66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激励系数的确定方法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达成竞标目标</w:t>
            </w:r>
          </w:p>
        </w:tc>
        <w:tc>
          <w:tcPr>
            <w:tcW w:type="dxa" w:w="66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直接采用竞标增幅对应的激励系数。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完成底标，但未达成竞标目标</w:t>
            </w:r>
          </w:p>
        </w:tc>
        <w:tc>
          <w:tcPr>
            <w:tcW w:type="dxa" w:w="66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先按</w:t>
            </w:r>
            <w:r>
              <w:rPr>
                <w:b/>
                <w:bCs/>
                <w:sz w:val="20"/>
                <w:szCs w:val="20"/>
              </w:rPr>
              <w:t xml:space="preserve">实际达成增幅</w:t>
            </w:r>
            <w:r>
              <w:rPr>
                <w:b w:val="false"/>
                <w:bCs w:val="false"/>
                <w:sz w:val="20"/>
                <w:szCs w:val="20"/>
              </w:rPr>
              <w:t xml:space="preserve">向下就近对齐 10% 整数档位，再</w:t>
            </w:r>
            <w:r>
              <w:rPr>
                <w:b/>
                <w:bCs/>
                <w:sz w:val="20"/>
                <w:szCs w:val="20"/>
              </w:rPr>
              <w:t xml:space="preserve">向下降一个档位</w:t>
            </w:r>
            <w:r>
              <w:rPr>
                <w:b w:val="false"/>
                <w:bCs w:val="false"/>
                <w:sz w:val="20"/>
                <w:szCs w:val="20"/>
              </w:rPr>
              <w:t xml:space="preserve">确定最终系数；降档后低于 10% 档的，不享受本项激励（按基础基准系数 1.0）。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未完成底标</w:t>
            </w:r>
          </w:p>
        </w:tc>
        <w:tc>
          <w:tcPr>
            <w:tcW w:type="dxa" w:w="66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不享受本项激励。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9A227" w:sz="24"/>
              <w:bottom w:val="none" w:color="FFFFFF" w:sz="0"/>
              <w:right w:val="none" w:color="FFFFFF" w:sz="0"/>
            </w:tcBorders>
            <w:shd w:fill="FFF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7A5B00"/>
              </w:rPr>
              <w:t xml:space="preserve">容错示例</w:t>
            </w:r>
          </w:p>
          <w:p>
            <w:pPr>
              <w:spacing w:after="40" w:line="320"/>
            </w:pPr>
            <w:r>
              <w:rPr>
                <w:b/>
                <w:bCs/>
                <w:sz w:val="20"/>
                <w:szCs w:val="20"/>
              </w:rPr>
              <w:t xml:space="preserve">例 1</w:t>
            </w:r>
            <w:r>
              <w:rPr>
                <w:sz w:val="20"/>
                <w:szCs w:val="20"/>
              </w:rPr>
              <w:t xml:space="preserve">：申报竞标增幅 30%（系数 1.3），实际达成增幅 22%。第一步：22% 向下对齐 20% 档（系数 1.2）；第二步：再降一档至 10% 档 → 最终系数 </w:t>
            </w:r>
            <w:r>
              <w:rPr>
                <w:b/>
                <w:bCs/>
                <w:sz w:val="20"/>
                <w:szCs w:val="20"/>
              </w:rPr>
              <w:t xml:space="preserve">1.1</w:t>
            </w:r>
            <w:r>
              <w:rPr>
                <w:sz w:val="20"/>
                <w:szCs w:val="20"/>
              </w:rPr>
              <w:t xml:space="preserve">。</w:t>
            </w:r>
          </w:p>
          <w:p>
            <w:pPr>
              <w:spacing w:after="40" w:line="320"/>
            </w:pPr>
            <w:r>
              <w:rPr>
                <w:b/>
                <w:bCs/>
                <w:sz w:val="20"/>
                <w:szCs w:val="20"/>
              </w:rPr>
              <w:t xml:space="preserve">例 2</w:t>
            </w:r>
            <w:r>
              <w:rPr>
                <w:sz w:val="20"/>
                <w:szCs w:val="20"/>
              </w:rPr>
              <w:t xml:space="preserve">：申报竞标增幅 20%（系数 1.2），实际达成增幅 12%。第一步：12% 向下对齐 10% 档（系数 1.1）；第二步：再降一档后低于 10% → 执行基础基准系数 </w:t>
            </w:r>
            <w:r>
              <w:rPr>
                <w:b/>
                <w:bCs/>
                <w:sz w:val="20"/>
                <w:szCs w:val="20"/>
              </w:rPr>
              <w:t xml:space="preserve">1.0</w:t>
            </w:r>
            <w:r>
              <w:rPr>
                <w:sz w:val="20"/>
                <w:szCs w:val="20"/>
              </w:rPr>
              <w:t xml:space="preserve">。</w:t>
            </w:r>
          </w:p>
        </w:tc>
      </w:tr>
    </w:tbl>
    <w:p>
      <w:pPr>
        <w:pStyle w:val="Heading2"/>
      </w:pPr>
      <w:r>
        <w:t xml:space="preserve">（三）荣誉定制及资源倾斜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对各组理财、基金项目组内竞标增幅排名第一的单位，授予「</w:t>
      </w:r>
      <w:r>
        <w:rPr>
          <w:b/>
          <w:bCs/>
        </w:rPr>
        <w:t xml:space="preserve">标王</w:t>
      </w:r>
      <w:r>
        <w:t xml:space="preserve">」荣誉称号，现场授旗。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对竞标项目顺利完成的「</w:t>
      </w:r>
      <w:r>
        <w:rPr>
          <w:b/>
          <w:bCs/>
        </w:rPr>
        <w:t xml:space="preserve">标王成王</w:t>
      </w:r>
      <w:r>
        <w:t xml:space="preserve">」单位，配套荣誉定制培训一场。</w:t>
      </w:r>
    </w:p>
    <w:p>
      <w:pPr>
        <w:pStyle w:val="Heading2"/>
      </w:pPr>
      <w:r>
        <w:t xml:space="preserve">（四）约束及过程管控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措施</w:t>
            </w:r>
          </w:p>
        </w:tc>
        <w:tc>
          <w:tcPr>
            <w:tcW w:type="dxa" w:w="76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周通报、月复盘</w:t>
            </w:r>
          </w:p>
        </w:tc>
        <w:tc>
          <w:tcPr>
            <w:tcW w:type="dxa" w:w="76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市分公司每周发布进度榜单，晾晒底标、竞标目标及实际完成情况；每月组织复盘，进度滞后单位由总经理现场复盘、汇报追赶举措。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红黑榜晾晒</w:t>
            </w:r>
          </w:p>
        </w:tc>
        <w:tc>
          <w:tcPr>
            <w:tcW w:type="dxa" w:w="76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设立财富业务红黑榜：先进单位纳入红榜推广经验；序时进度严重滞后的纳入黑榜预警。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重点督导</w:t>
            </w:r>
          </w:p>
        </w:tc>
        <w:tc>
          <w:tcPr>
            <w:tcW w:type="dxa" w:w="76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连续月度进度滞后的单位列入重点督导名单，定期报送攻坚进展，开展点对点帮扶；盲目冲高目标、完成率严重偏低的单位，取消年度财富业务评优资格。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风险合规</w:t>
            </w:r>
          </w:p>
        </w:tc>
        <w:tc>
          <w:tcPr>
            <w:tcW w:type="dxa" w:w="76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严禁数据造假、虚增业绩，联合风控开展数据核验，一经查实直接取消竞标成绩，全市通报问责。</w:t>
            </w:r>
          </w:p>
        </w:tc>
      </w:tr>
    </w:tbl>
    <w:p>
      <w:pPr>
        <w:pStyle w:val="Heading1"/>
        <w:spacing w:before="480"/>
      </w:pPr>
      <w:r>
        <w:t xml:space="preserve">五、整体流程总览</w:t>
      </w:r>
    </w:p>
    <w:p>
      <w:pPr>
        <w:spacing w:after="120" w:line="360"/>
      </w:pPr>
      <w:r>
        <w:t xml:space="preserve">整个竞标分为</w:t>
      </w:r>
      <w:r>
        <w:rPr>
          <w:b/>
          <w:bCs/>
        </w:rPr>
        <w:t xml:space="preserve">会前准备、会议现场、会后公示</w:t>
      </w:r>
      <w:r>
        <w:t xml:space="preserve">三个阶段：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438"/>
        <w:gridCol w:w="1900"/>
      </w:tblGrid>
      <w:tr>
        <w:trPr>
          <w:tblHeader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时间节点</w:t>
            </w:r>
          </w:p>
        </w:tc>
        <w:tc>
          <w:tcPr>
            <w:tcW w:type="dxa" w:w="54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工作内容</w:t>
            </w:r>
          </w:p>
        </w:tc>
        <w:tc>
          <w:tcPr>
            <w:tcW w:type="dxa" w:w="19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负责方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会前 3 个工作日</w:t>
            </w:r>
          </w:p>
        </w:tc>
        <w:tc>
          <w:tcPr>
            <w:tcW w:type="dxa" w:w="54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点对点下发各单位理财、基金基础底标</w:t>
            </w:r>
          </w:p>
        </w:tc>
        <w:tc>
          <w:tcPr>
            <w:tcW w:type="dxa" w:w="19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市分公司金融部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会前 3—1 个工作日</w:t>
            </w:r>
          </w:p>
        </w:tc>
        <w:tc>
          <w:tcPr>
            <w:tcW w:type="dxa" w:w="54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各单位研判并准备竞标预案</w:t>
            </w:r>
          </w:p>
        </w:tc>
        <w:tc>
          <w:tcPr>
            <w:tcW w:type="dxa" w:w="19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各区分公司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会前 1 个工作日</w:t>
            </w:r>
          </w:p>
        </w:tc>
        <w:tc>
          <w:tcPr>
            <w:tcW w:type="dxa" w:w="54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各单位上报理财、基金首轮竞标增幅</w:t>
            </w:r>
          </w:p>
        </w:tc>
        <w:tc>
          <w:tcPr>
            <w:tcW w:type="dxa" w:w="19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各区分公司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会前（建议提前一天）</w:t>
            </w:r>
          </w:p>
        </w:tc>
        <w:tc>
          <w:tcPr>
            <w:tcW w:type="dxa" w:w="54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系统中新建活动、导入 32 行首轮数据、一起冻结</w:t>
            </w:r>
          </w:p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打印并发放 16 家领导使用卡（二维码）</w:t>
            </w:r>
          </w:p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领导会前扫码、认领底标；彩排一遍</w:t>
            </w:r>
          </w:p>
        </w:tc>
        <w:tc>
          <w:tcPr>
            <w:tcW w:type="dxa" w:w="19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工作人员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会议现场 ①</w:t>
            </w:r>
          </w:p>
        </w:tc>
        <w:tc>
          <w:tcPr>
            <w:tcW w:type="dxa" w:w="54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开场 → 金融部解读规则 → 展示理财首轮结果、确认底标认领</w:t>
            </w:r>
          </w:p>
        </w:tc>
        <w:tc>
          <w:tcPr>
            <w:tcW w:type="dxa" w:w="19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主持人、金融部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会议现场 ②</w:t>
            </w:r>
          </w:p>
        </w:tc>
        <w:tc>
          <w:tcPr>
            <w:tcW w:type="dxa" w:w="54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理财专场：第一组 → 第二组 → 第三组 → 锁定理财 → 公布结果、标王授旗</w:t>
            </w:r>
          </w:p>
        </w:tc>
        <w:tc>
          <w:tcPr>
            <w:tcW w:type="dxa" w:w="19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主持人、主控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会议现场 ③</w:t>
            </w:r>
          </w:p>
        </w:tc>
        <w:tc>
          <w:tcPr>
            <w:tcW w:type="dxa" w:w="54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基金专场：第一组 → 第二组 → 第三组 → 锁定基金 → 公布结果、标王授旗</w:t>
            </w:r>
          </w:p>
        </w:tc>
        <w:tc>
          <w:tcPr>
            <w:tcW w:type="dxa" w:w="19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主持人、主控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会议现场 ④</w:t>
            </w:r>
          </w:p>
        </w:tc>
        <w:tc>
          <w:tcPr>
            <w:tcW w:type="dxa" w:w="54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六位标王颁奖合影；导出竞标台账</w:t>
            </w:r>
          </w:p>
        </w:tc>
        <w:tc>
          <w:tcPr>
            <w:tcW w:type="dxa" w:w="19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主控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会后当日</w:t>
            </w:r>
          </w:p>
        </w:tc>
        <w:tc>
          <w:tcPr>
            <w:tcW w:type="dxa" w:w="54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汇总形成竞标工作台账，登记底标、自由竞标目标，全市公示作为考核依据</w:t>
            </w:r>
          </w:p>
        </w:tc>
        <w:tc>
          <w:tcPr>
            <w:tcW w:type="dxa" w:w="19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市分公司金融部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活动期间</w:t>
            </w:r>
          </w:p>
        </w:tc>
        <w:tc>
          <w:tcPr>
            <w:tcW w:type="dxa" w:w="54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周通报、月复盘、红黑榜、重点督导</w:t>
            </w:r>
          </w:p>
        </w:tc>
        <w:tc>
          <w:tcPr>
            <w:tcW w:type="dxa" w:w="19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市分公司金融部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现场竞标流程图（每个项目）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40"/>
        <w:gridCol w:w="1440"/>
        <w:gridCol w:w="1440"/>
        <w:gridCol w:w="1440"/>
        <w:gridCol w:w="1440"/>
        <w:gridCol w:w="1438"/>
      </w:tblGrid>
      <w:tr>
        <w:trPr>
          <w:tblHeader/>
        </w:trPr>
        <w:tc>
          <w:tcPr>
            <w:tcW w:type="dxa" w:w="1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144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①</w:t>
            </w:r>
          </w:p>
        </w:tc>
        <w:tc>
          <w:tcPr>
            <w:tcW w:type="dxa" w:w="144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②</w:t>
            </w:r>
          </w:p>
        </w:tc>
        <w:tc>
          <w:tcPr>
            <w:tcW w:type="dxa" w:w="144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③</w:t>
            </w:r>
          </w:p>
        </w:tc>
        <w:tc>
          <w:tcPr>
            <w:tcW w:type="dxa" w:w="144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④</w:t>
            </w:r>
          </w:p>
        </w:tc>
        <w:tc>
          <w:tcPr>
            <w:tcW w:type="dxa" w:w="144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⑤</w:t>
            </w:r>
          </w:p>
        </w:tc>
        <w:tc>
          <w:tcPr>
            <w:tcW w:type="dxa" w:w="14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⑥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dxa" w:w="144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展示首轮结果、认领底标</w:t>
            </w:r>
          </w:p>
        </w:tc>
        <w:tc>
          <w:tcPr>
            <w:tcW w:type="dxa" w:w="144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开放第一组 → 加码 → 结束本组</w:t>
            </w:r>
          </w:p>
        </w:tc>
        <w:tc>
          <w:tcPr>
            <w:tcW w:type="dxa" w:w="144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开放第二组 → 加码 → 结束本组</w:t>
            </w:r>
          </w:p>
        </w:tc>
        <w:tc>
          <w:tcPr>
            <w:tcW w:type="dxa" w:w="144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开放第三组 → 加码 → 结束本组</w:t>
            </w:r>
          </w:p>
        </w:tc>
        <w:tc>
          <w:tcPr>
            <w:tcW w:type="dxa" w:w="144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核对三组结果、锁定项目</w:t>
            </w:r>
          </w:p>
        </w:tc>
        <w:tc>
          <w:tcPr>
            <w:tcW w:type="dxa" w:w="14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公布最终结果、标王授旗</w:t>
            </w:r>
          </w:p>
        </w:tc>
      </w:tr>
    </w:tbl>
    <w:p>
      <w:pPr>
        <w:spacing w:before="120"/>
      </w:pPr>
      <w:r>
        <w:t xml:space="preserve">理财完成锁定后，领导手机</w:t>
      </w:r>
      <w:r>
        <w:rPr>
          <w:b/>
          <w:bCs/>
        </w:rPr>
        <w:t xml:space="preserve">自动切换到基金专场</w:t>
      </w:r>
      <w:r>
        <w:t xml:space="preserve">，基金按同样流程再进行一遍。</w:t>
      </w:r>
    </w:p>
    <w:p>
      <w:pPr>
        <w:pStyle w:val="Heading1"/>
        <w:spacing w:before="480"/>
      </w:pPr>
      <w:r>
        <w:t xml:space="preserve">六、会前准备（系统操作）</w:t>
      </w:r>
    </w:p>
    <w:p>
      <w:pPr>
        <w:spacing w:after="120" w:line="360"/>
      </w:pPr>
      <w:r>
        <w:t xml:space="preserve">管理端地址：http://服务器地址/admin（当前云服务器为 http://43.161.202.107/admin）。所有操作只需在弹窗中确认，</w:t>
      </w:r>
      <w:r>
        <w:rPr>
          <w:b/>
          <w:bCs/>
        </w:rPr>
        <w:t xml:space="preserve">不需要填写原因</w:t>
      </w:r>
      <w:r>
        <w:t xml:space="preserve">，操作人和时间自动记入审计。</w:t>
      </w:r>
    </w:p>
    <w:p>
      <w:pPr>
        <w:pStyle w:val="Heading2"/>
      </w:pPr>
      <w:r>
        <w:t xml:space="preserve">（一）新建活动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登录管理端，新建</w:t>
      </w:r>
      <w:r>
        <w:rPr>
          <w:b/>
          <w:bCs/>
        </w:rPr>
        <w:t xml:space="preserve">正式活动</w:t>
      </w:r>
      <w:r>
        <w:t xml:space="preserve">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「准备与配置」页只需填写</w:t>
      </w:r>
      <w:r>
        <w:rPr>
          <w:b/>
          <w:bCs/>
        </w:rPr>
        <w:t xml:space="preserve">活动名称</w:t>
      </w:r>
      <w:r>
        <w:t xml:space="preserve">和</w:t>
      </w:r>
      <w:r>
        <w:rPr>
          <w:b/>
          <w:bCs/>
        </w:rPr>
        <w:t xml:space="preserve">活动日期</w:t>
      </w:r>
      <w:r>
        <w:t xml:space="preserve">，点「保存配置」。其他设置收在「其他设置（一般不用改）」中。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如会场提供 Wi-Fi，可填写 Wi-Fi 名称和密码（选填），领导卡上会印「扫码连 Wi-Fi」二维码。</w:t>
      </w:r>
    </w:p>
    <w:p>
      <w:pPr>
        <w:pStyle w:val="Heading2"/>
      </w:pPr>
      <w:r>
        <w:t xml:space="preserve">（二）导入首轮数据并一起冻结</w:t>
      </w:r>
    </w:p>
    <w:p>
      <w:pPr>
        <w:pStyle w:val="ListParagraph"/>
        <w:numPr>
          <w:ilvl w:val="0"/>
          <w:numId w:val="4"/>
        </w:numPr>
        <w:spacing w:after="60" w:line="340"/>
      </w:pPr>
      <w:r>
        <w:t xml:space="preserve">下载空白模板（Excel 或 CSV），在</w:t>
      </w:r>
      <w:r>
        <w:rPr>
          <w:b/>
          <w:bCs/>
        </w:rPr>
        <w:t xml:space="preserve">同一个文件</w:t>
      </w:r>
      <w:r>
        <w:t xml:space="preserve">里填写理财、基金共 </w:t>
      </w:r>
      <w:r>
        <w:rPr>
          <w:b/>
          <w:bCs/>
        </w:rPr>
        <w:t xml:space="preserve">32 行</w:t>
      </w:r>
      <w:r>
        <w:t xml:space="preserve">：每家单位的底标（万元）和首轮增幅（整数百分点，30% 填 30）。</w:t>
      </w:r>
    </w:p>
    <w:p>
      <w:pPr>
        <w:pStyle w:val="ListParagraph"/>
        <w:numPr>
          <w:ilvl w:val="0"/>
          <w:numId w:val="4"/>
        </w:numPr>
        <w:spacing w:after="60" w:line="340"/>
      </w:pPr>
      <w:r>
        <w:t xml:space="preserve">上传后查看校验结果：有任何红色错误行，整批不写入，按提示修改后重新上传；全部通过后点「整体提交」。也可在表格中逐家「录入/修改」。</w:t>
      </w:r>
    </w:p>
    <w:p>
      <w:pPr>
        <w:pStyle w:val="ListParagraph"/>
        <w:numPr>
          <w:ilvl w:val="0"/>
          <w:numId w:val="4"/>
        </w:numPr>
        <w:spacing w:after="60" w:line="340"/>
      </w:pPr>
      <w:r>
        <w:t xml:space="preserve">页面顶部显示「理财：已录入 16/16」「基金：已录入 16/16」后，点「</w:t>
      </w:r>
      <w:r>
        <w:rPr>
          <w:b/>
          <w:bCs/>
        </w:rPr>
        <w:t xml:space="preserve">一起冻结理财、基金首轮</w:t>
      </w:r>
      <w:r>
        <w:t xml:space="preserve">」→「确认冻结」。</w:t>
      </w:r>
    </w:p>
    <w:p>
      <w:pPr>
        <w:pStyle w:val="ListParagraph"/>
        <w:numPr>
          <w:ilvl w:val="0"/>
          <w:numId w:val="4"/>
        </w:numPr>
        <w:spacing w:after="60" w:line="340"/>
      </w:pPr>
      <w:r>
        <w:t xml:space="preserve">冻结后底标与首轮增幅</w:t>
      </w:r>
      <w:r>
        <w:rPr>
          <w:b/>
          <w:bCs/>
        </w:rPr>
        <w:t xml:space="preserve">不可修改</w:t>
      </w:r>
      <w:r>
        <w:t xml:space="preserve">；竞标现场不需要再操作「首轮数据」页。</w:t>
      </w:r>
    </w:p>
    <w:p>
      <w:pPr>
        <w:pStyle w:val="ListParagraph"/>
        <w:numPr>
          <w:ilvl w:val="0"/>
          <w:numId w:val="4"/>
        </w:numPr>
        <w:spacing w:after="60" w:line="340"/>
      </w:pPr>
      <w:r>
        <w:t xml:space="preserve">「准备与配置」页右侧「正式开启前检查」应全部通过。</w:t>
      </w:r>
    </w:p>
    <w:p>
      <w:pPr>
        <w:pStyle w:val="Heading2"/>
      </w:pPr>
      <w:r>
        <w:t xml:space="preserve">（三）领导使用卡与大屏</w:t>
      </w:r>
    </w:p>
    <w:p>
      <w:pPr>
        <w:pStyle w:val="ListParagraph"/>
        <w:numPr>
          <w:ilvl w:val="0"/>
          <w:numId w:val="5"/>
        </w:numPr>
        <w:spacing w:after="60" w:line="340"/>
      </w:pPr>
      <w:r>
        <w:t xml:space="preserve">「二维码与大屏」→「16 家领导使用卡（生成 / 打印）」→ 打印：</w:t>
      </w:r>
      <w:r>
        <w:rPr>
          <w:b/>
          <w:bCs/>
        </w:rPr>
        <w:t xml:space="preserve">每家单位一页 A4</w:t>
      </w:r>
      <w:r>
        <w:t xml:space="preserve">，上半部分是该单位理财、基金的基础底标与首轮增幅，下半部分是专属二维码与使用说明。按单位装入信封发放。</w:t>
      </w:r>
    </w:p>
    <w:p>
      <w:pPr>
        <w:pStyle w:val="ListParagraph"/>
        <w:numPr>
          <w:ilvl w:val="0"/>
          <w:numId w:val="5"/>
        </w:numPr>
        <w:spacing w:after="60" w:line="340"/>
      </w:pPr>
      <w:r>
        <w:rPr>
          <w:b/>
          <w:bCs/>
        </w:rPr>
        <w:t xml:space="preserve">每家单位一个固定二维码，活动期间不变</w:t>
      </w:r>
      <w:r>
        <w:t xml:space="preserve">：补打印不会让已发出的卡失效。</w:t>
      </w:r>
    </w:p>
    <w:p>
      <w:pPr>
        <w:pStyle w:val="ListParagraph"/>
        <w:numPr>
          <w:ilvl w:val="0"/>
          <w:numId w:val="5"/>
        </w:numPr>
        <w:spacing w:after="60" w:line="340"/>
      </w:pPr>
      <w:r>
        <w:t xml:space="preserve">把《领导使用指南》转发给参会领导，请领导会前扫码、认领理财和基金底标。</w:t>
      </w:r>
    </w:p>
    <w:p>
      <w:pPr>
        <w:pStyle w:val="ListParagraph"/>
        <w:numPr>
          <w:ilvl w:val="0"/>
          <w:numId w:val="5"/>
        </w:numPr>
        <w:spacing w:after="60" w:line="340"/>
      </w:pPr>
      <w:r>
        <w:t xml:space="preserve">「生成大屏链接」→ 复制到投屏电脑浏览器打开 → 点「全屏」（点一下页面后浏览器才允许播放声音）。</w:t>
      </w:r>
    </w:p>
    <w:p>
      <w:pPr>
        <w:pStyle w:val="ListParagraph"/>
        <w:numPr>
          <w:ilvl w:val="0"/>
          <w:numId w:val="5"/>
        </w:numPr>
        <w:spacing w:after="60" w:line="340"/>
      </w:pPr>
      <w:r>
        <w:t xml:space="preserve">建议用「新建演示活动」完整彩排一遍（演示活动与正式活动完全隔离）。</w:t>
      </w:r>
    </w:p>
    <w:p>
      <w:pPr>
        <w:pStyle w:val="Heading2"/>
      </w:pPr>
      <w:r>
        <w:t xml:space="preserve">（四）岗位分工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738"/>
      </w:tblGrid>
      <w:tr>
        <w:trPr>
          <w:tblHeader/>
        </w:trPr>
        <w:tc>
          <w:tcPr>
            <w:tcW w:type="dxa" w:w="15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岗位</w:t>
            </w:r>
          </w:p>
        </w:tc>
        <w:tc>
          <w:tcPr>
            <w:tcW w:type="dxa" w:w="24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设备</w:t>
            </w:r>
          </w:p>
        </w:tc>
        <w:tc>
          <w:tcPr>
            <w:tcW w:type="dxa" w:w="57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主持人</w:t>
            </w:r>
          </w:p>
        </w:tc>
        <w:tc>
          <w:tcPr>
            <w:tcW w:type="dxa" w:w="24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7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按《主持人讲话稿》串场，播报竞标动态，宣布结果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主控</w:t>
            </w:r>
          </w:p>
        </w:tc>
        <w:tc>
          <w:tcPr>
            <w:tcW w:type="dxa" w:w="24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电脑 1（管理端）</w:t>
            </w:r>
          </w:p>
        </w:tc>
        <w:tc>
          <w:tcPr>
            <w:tcW w:type="dxa" w:w="57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开放/结束本组、暂停/恢复、锁定、切换大屏、代记、代录与更正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投屏</w:t>
            </w:r>
          </w:p>
        </w:tc>
        <w:tc>
          <w:tcPr>
            <w:tcW w:type="dxa" w:w="24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电脑 2（大屏，全屏）</w:t>
            </w:r>
          </w:p>
        </w:tc>
        <w:tc>
          <w:tcPr>
            <w:tcW w:type="dxa" w:w="57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只负责投屏，不做操作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联络</w:t>
            </w:r>
          </w:p>
        </w:tc>
        <w:tc>
          <w:tcPr>
            <w:tcW w:type="dxa" w:w="24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手机 / 对讲</w:t>
            </w:r>
          </w:p>
        </w:tc>
        <w:tc>
          <w:tcPr>
            <w:tcW w:type="dxa" w:w="57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协助领导扫码，处理断网代录，记录口头确认；保管备用卡</w:t>
            </w:r>
          </w:p>
        </w:tc>
      </w:tr>
    </w:tbl>
    <w:p>
      <w:pPr>
        <w:pStyle w:val="Heading1"/>
        <w:spacing w:before="480"/>
      </w:pPr>
      <w:r>
        <w:t xml:space="preserve">七、会议现场竞标流程</w:t>
      </w:r>
    </w:p>
    <w:p>
      <w:pPr>
        <w:pStyle w:val="Heading2"/>
      </w:pPr>
      <w:r>
        <w:t xml:space="preserve">（一）开场与规则解读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大屏切到「首轮结果 · 理财」，显示各单位理财底标、首轮增幅和目标金额。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主持人开场，介绍活动背景、周期和全市目标；市分公司金融部解读竞标规则、统计口径、奖惩要求。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确认 16 家手机都已扫码在线（「二维码与大屏」页「在线手机」一栏；大屏右上角显示「领导在线 N/16」）。</w:t>
      </w:r>
    </w:p>
    <w:p>
      <w:pPr>
        <w:pStyle w:val="Heading2"/>
      </w:pPr>
      <w:r>
        <w:t xml:space="preserve">（二）确认认领底标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领导在手机上点「</w:t>
      </w:r>
      <w:r>
        <w:rPr>
          <w:b/>
          <w:bCs/>
        </w:rPr>
        <w:t xml:space="preserve">确认认领基础底标</w:t>
      </w:r>
      <w:r>
        <w:t xml:space="preserve">」。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主控在「现场控制」榜单中确认 16 家均显示「已认领」；个别领导无法操作的，口头确认后由工作人员点「</w:t>
      </w:r>
      <w:r>
        <w:rPr>
          <w:b/>
          <w:bCs/>
        </w:rPr>
        <w:t xml:space="preserve">代记</w:t>
      </w:r>
      <w:r>
        <w:t xml:space="preserve">」。</w:t>
      </w:r>
    </w:p>
    <w:p>
      <w:pPr>
        <w:pStyle w:val="Heading2"/>
      </w:pPr>
      <w:r>
        <w:t xml:space="preserve">（三）理财专场：分组竞标</w:t>
      </w:r>
    </w:p>
    <w:p>
      <w:pPr>
        <w:spacing w:after="120" w:line="360"/>
      </w:pPr>
      <w:r>
        <w:t xml:space="preserve">每组约 8—10 分钟，按以下步骤依次进行第一组、第二组、第三组：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4438"/>
      </w:tblGrid>
      <w:tr>
        <w:trPr>
          <w:tblHeader/>
        </w:trPr>
        <w:tc>
          <w:tcPr>
            <w:tcW w:type="dxa" w:w="17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35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主控操作</w:t>
            </w:r>
          </w:p>
        </w:tc>
        <w:tc>
          <w:tcPr>
            <w:tcW w:type="dxa" w:w="44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现场效果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1. 开放本组</w:t>
            </w:r>
          </w:p>
        </w:tc>
        <w:tc>
          <w:tcPr>
            <w:tcW w:type="dxa" w:w="35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「现场控制」→ 选「理财」→ 本组点「开放本组」</w:t>
            </w:r>
          </w:p>
        </w:tc>
        <w:tc>
          <w:tcPr>
            <w:tcW w:type="dxa" w:w="44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大屏切换到本组实时榜，并播放开场锣声；本组领导手机可以加码，其他组显示「尚未轮到本组」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2. 自由加码</w:t>
            </w:r>
          </w:p>
        </w:tc>
        <w:tc>
          <w:tcPr>
            <w:tcW w:type="dxa" w:w="35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观察榜单；主持人播报动态</w:t>
            </w:r>
          </w:p>
        </w:tc>
        <w:tc>
          <w:tcPr>
            <w:tcW w:type="dxa" w:w="44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领导多次加码，大屏实时更新排名、当前增幅、目标金额，底部滚动最近加码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3. 标王候选</w:t>
            </w:r>
          </w:p>
        </w:tc>
        <w:tc>
          <w:tcPr>
            <w:tcW w:type="dxa" w:w="35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4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某单位达到 30% 且组内唯一第一时，大屏出现金色「新标王候选」特效与音效（约 5.5 秒）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4. 结束本组</w:t>
            </w:r>
          </w:p>
        </w:tc>
        <w:tc>
          <w:tcPr>
            <w:tcW w:type="dxa" w:w="35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主持人给出最后 30 秒提示后，点「结束本组」</w:t>
            </w:r>
          </w:p>
        </w:tc>
        <w:tc>
          <w:tcPr>
            <w:tcW w:type="dxa" w:w="44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本组停止加码，大屏停留在「本组竞标结束 · 最终结果」，直到下一组开放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（四）锁定理财</w:t>
      </w:r>
    </w:p>
    <w:p>
      <w:pPr>
        <w:pStyle w:val="ListParagraph"/>
        <w:numPr>
          <w:ilvl w:val="0"/>
          <w:numId w:val="6"/>
        </w:numPr>
        <w:spacing w:after="60" w:line="340"/>
      </w:pPr>
      <w:r>
        <w:t xml:space="preserve">第三组结束后系统自动暂停。</w:t>
      </w:r>
    </w:p>
    <w:p>
      <w:pPr>
        <w:pStyle w:val="ListParagraph"/>
        <w:numPr>
          <w:ilvl w:val="0"/>
          <w:numId w:val="6"/>
        </w:numPr>
        <w:spacing w:after="60" w:line="340"/>
      </w:pPr>
      <w:r>
        <w:t xml:space="preserve">与现场核对三组结果 → 点「锁定项目…」→ 查看并列提示 → 勾选「已与现场核对三组结果」→「确认锁定」。</w:t>
      </w:r>
    </w:p>
    <w:p>
      <w:pPr>
        <w:pStyle w:val="ListParagraph"/>
        <w:numPr>
          <w:ilvl w:val="0"/>
          <w:numId w:val="6"/>
        </w:numPr>
        <w:spacing w:after="60" w:line="340"/>
      </w:pPr>
      <w:r>
        <w:rPr>
          <w:b/>
          <w:bCs/>
        </w:rPr>
        <w:t xml:space="preserve">锁定不可退回</w:t>
      </w:r>
      <w:r>
        <w:t xml:space="preserve">。正常锁定要求三组都已结束；确需提前收场的，须单独勾选「确认提前收场」，记入审计。</w:t>
      </w:r>
    </w:p>
    <w:p>
      <w:pPr>
        <w:pStyle w:val="Heading2"/>
      </w:pPr>
      <w:r>
        <w:t xml:space="preserve">（五）理财结果公布与标王授旗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「大屏展示」→「</w:t>
      </w:r>
      <w:r>
        <w:rPr>
          <w:b/>
          <w:bCs/>
        </w:rPr>
        <w:t xml:space="preserve">最终结果</w:t>
      </w:r>
      <w:r>
        <w:t xml:space="preserve">」：每家显示首轮增幅、加码（+N 个百分点）、最终增幅和竞标目标；下方显示全市合计（基础底标合计 → 最终竞标目标合计、全市增幅）。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主持人宣布理财三组标王，领导为标王授旗。</w:t>
      </w:r>
    </w:p>
    <w:p>
      <w:pPr>
        <w:pStyle w:val="Heading2"/>
      </w:pPr>
      <w:r>
        <w:t xml:space="preserve">（六）基金专场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理财锁定后，领导手机</w:t>
      </w:r>
      <w:r>
        <w:rPr>
          <w:b/>
          <w:bCs/>
        </w:rPr>
        <w:t xml:space="preserve">自动切换到基金专场</w:t>
      </w:r>
      <w:r>
        <w:t xml:space="preserve">；未认领基金底标的领导先认领。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「现场控制」选「基金」，「大屏展示」点「首轮结果」展示基金首轮。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按理财同样的流程：开放第一组 → 结束 → 第二组 → 结束 → 第三组 → 结束 → 锁定基金 → 公布结果、授旗。</w:t>
      </w:r>
    </w:p>
    <w:p>
      <w:pPr>
        <w:pStyle w:val="Heading2"/>
      </w:pPr>
      <w:r>
        <w:t xml:space="preserve">（七）六位标王颁奖与结束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「大屏展示」→「</w:t>
      </w:r>
      <w:r>
        <w:rPr>
          <w:b/>
          <w:bCs/>
        </w:rPr>
        <w:t xml:space="preserve">标王颁奖</w:t>
      </w:r>
      <w:r>
        <w:t xml:space="preserve">」：大屏显示理财、基金各三组标王（单位、最终增幅、竞标目标），用于授旗合影；未达 30% 的组显示「本组暂无标王」，并列显示「并列 · 待确认」。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「导出与备份」→ 导出 Excel 竞标台账（首轮结果、最终竞标台账、加码流水、确认与控制记录四个工作表），交金融部。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两项目都锁定后导出的为</w:t>
      </w:r>
      <w:r>
        <w:rPr>
          <w:b/>
          <w:bCs/>
        </w:rPr>
        <w:t xml:space="preserve">最终公示台账</w:t>
      </w:r>
      <w:r>
        <w:t xml:space="preserve">；打印最终竞标台账用于签字备案。</w:t>
      </w:r>
    </w:p>
    <w:p>
      <w:pPr>
        <w:pStyle w:val="Heading1"/>
        <w:spacing w:before="480"/>
      </w:pPr>
      <w:r>
        <w:t xml:space="preserve">八、领导手机操作说明</w:t>
      </w:r>
    </w:p>
    <w:p>
      <w:pPr>
        <w:pStyle w:val="Heading2"/>
      </w:pPr>
      <w:r>
        <w:t xml:space="preserve">（一）登录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用</w:t>
      </w:r>
      <w:r>
        <w:rPr>
          <w:b/>
          <w:bCs/>
        </w:rPr>
        <w:t xml:space="preserve">手机自带相机</w:t>
      </w:r>
      <w:r>
        <w:t xml:space="preserve">扫描使用卡上的二维码（相机扫不出时可用微信「扫一扫」），无需账号密码。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进入后显示本单位名称、组别、理财和基金的底标、首轮增幅。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同一时间只有一部手机在线</w:t>
      </w:r>
      <w:r>
        <w:t xml:space="preserve">：换手机时用新手机扫同一张卡，旧手机自动显示「已下线」。</w:t>
      </w:r>
    </w:p>
    <w:p>
      <w:pPr>
        <w:pStyle w:val="Heading2"/>
      </w:pPr>
      <w:r>
        <w:t xml:space="preserve">（二）三步完成加码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3538"/>
      </w:tblGrid>
      <w:tr>
        <w:trPr>
          <w:tblHeader/>
        </w:trPr>
        <w:tc>
          <w:tcPr>
            <w:tcW w:type="dxa" w:w="1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48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35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注意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第一步</w:t>
            </w:r>
          </w:p>
        </w:tc>
        <w:tc>
          <w:tcPr>
            <w:tcW w:type="dxa" w:w="48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点「确认认领基础底标」</w:t>
            </w:r>
          </w:p>
        </w:tc>
        <w:tc>
          <w:tcPr>
            <w:tcW w:type="dxa" w:w="35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会前或等待阶段即可完成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第二步</w:t>
            </w:r>
          </w:p>
        </w:tc>
        <w:tc>
          <w:tcPr>
            <w:tcW w:type="dxa" w:w="48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轮到本组时，用 −/＋ 或 +1/+5/+10 选好追加的百分点</w:t>
            </w:r>
          </w:p>
        </w:tc>
        <w:tc>
          <w:tcPr>
            <w:tcW w:type="dxa" w:w="35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只能整数百分点，只能向上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第三步</w:t>
            </w:r>
          </w:p>
        </w:tc>
        <w:tc>
          <w:tcPr>
            <w:tcW w:type="dxa" w:w="48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点「确认追加 +N 个百分点」→ 核对「原增幅 → 新增幅、目标金额」→「确认提交」</w:t>
            </w:r>
          </w:p>
        </w:tc>
        <w:tc>
          <w:tcPr>
            <w:tcW w:type="dxa" w:w="35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出现「追加成功 · 服务器已确认」和回执号才算成功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（三）手机上可能出现的提示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提示</w:t>
            </w:r>
          </w:p>
        </w:tc>
        <w:tc>
          <w:tcPr>
            <w:tcW w:type="dxa" w:w="66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含义与处理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尚未轮到本组</w:t>
            </w:r>
          </w:p>
        </w:tc>
        <w:tc>
          <w:tcPr>
            <w:tcW w:type="dxa" w:w="66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其他组正在竞标，请等待本组开放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竞标已暂停，请等待工作人员</w:t>
            </w:r>
          </w:p>
        </w:tc>
        <w:tc>
          <w:tcPr>
            <w:tcW w:type="dxa" w:w="66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主控暂停了竞标，恢复后可继续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结果待核验</w:t>
            </w:r>
          </w:p>
        </w:tc>
        <w:tc>
          <w:tcPr>
            <w:tcW w:type="dxa" w:w="66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网络超时，系统会自动核验同一请求，</w:t>
            </w:r>
            <w:r>
              <w:rPr>
                <w:b/>
                <w:bCs/>
                <w:sz w:val="20"/>
                <w:szCs w:val="20"/>
              </w:rPr>
              <w:t xml:space="preserve">不要重复点击</w:t>
            </w:r>
            <w:r>
              <w:rPr>
                <w:b w:val="false"/>
                <w:bCs w:val="false"/>
                <w:sz w:val="20"/>
                <w:szCs w:val="20"/>
              </w:rPr>
              <w:t xml:space="preserve">；显示「服务器未收到」时点「用同一请求重试」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当前增幅已更新，请重新确认</w:t>
            </w:r>
          </w:p>
        </w:tc>
        <w:tc>
          <w:tcPr>
            <w:tcW w:type="dxa" w:w="66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工作人员代录或另一部手机已先提交，请看清最新增幅后重新确认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增幅较大，请再次确认</w:t>
            </w:r>
          </w:p>
        </w:tc>
        <w:tc>
          <w:tcPr>
            <w:tcW w:type="dxa" w:w="66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达到提醒阈值（默认 100%）时需勾选确认，这不是上限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已下线</w:t>
            </w:r>
          </w:p>
        </w:tc>
        <w:tc>
          <w:tcPr>
            <w:tcW w:type="dxa" w:w="66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本单位已在另一部手机登录，或被工作人员强制下线；重新扫原卡即可</w:t>
            </w:r>
          </w:p>
        </w:tc>
      </w:tr>
    </w:tbl>
    <w:p>
      <w:pPr>
        <w:pStyle w:val="Heading1"/>
        <w:spacing w:before="480"/>
      </w:pPr>
      <w:r>
        <w:t xml:space="preserve">九、大屏展示说明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5838"/>
      </w:tblGrid>
      <w:tr>
        <w:trPr>
          <w:tblHeader/>
        </w:trPr>
        <w:tc>
          <w:tcPr>
            <w:tcW w:type="dxa" w:w="17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画面</w:t>
            </w:r>
          </w:p>
        </w:tc>
        <w:tc>
          <w:tcPr>
            <w:tcW w:type="dxa" w:w="21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何时使用</w:t>
            </w:r>
          </w:p>
        </w:tc>
        <w:tc>
          <w:tcPr>
            <w:tcW w:type="dxa" w:w="58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显示内容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首轮结果</w:t>
            </w:r>
          </w:p>
        </w:tc>
        <w:tc>
          <w:tcPr>
            <w:tcW w:type="dxa" w:w="21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开场、每个项目开始前</w:t>
            </w:r>
          </w:p>
        </w:tc>
        <w:tc>
          <w:tcPr>
            <w:tcW w:type="dxa" w:w="58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会前冻结的首轮结果：「X · 会前首轮结果」，各单位底标、首轮增幅、目标金额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实时榜</w:t>
            </w:r>
          </w:p>
        </w:tc>
        <w:tc>
          <w:tcPr>
            <w:tcW w:type="dxa" w:w="21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开放本组后自动切换</w:t>
            </w:r>
          </w:p>
        </w:tc>
        <w:tc>
          <w:tcPr>
            <w:tcW w:type="dxa" w:w="58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只显示正在竞标的这一组；顶部三组进度条；列：排名、单位、底标（万元）、首轮增幅、当前增幅、竞标目标（万元）；标王候选状态；底部滚动最近加码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本组最终结果</w:t>
            </w:r>
          </w:p>
        </w:tc>
        <w:tc>
          <w:tcPr>
            <w:tcW w:type="dxa" w:w="21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结束本组后自动停留</w:t>
            </w:r>
          </w:p>
        </w:tc>
        <w:tc>
          <w:tcPr>
            <w:tcW w:type="dxa" w:w="58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「本组竞标结束 · 最终结果」，直到下一组开放后平滑切换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最终结果</w:t>
            </w:r>
          </w:p>
        </w:tc>
        <w:tc>
          <w:tcPr>
            <w:tcW w:type="dxa" w:w="21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项目锁定后</w:t>
            </w:r>
          </w:p>
        </w:tc>
        <w:tc>
          <w:tcPr>
            <w:tcW w:type="dxa" w:w="58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每家首轮、加码（+N 个百分点）、最终增幅、竞标目标；全市合计（基础底标合计 → 竞标目标合计，亿元，取整；全市增幅）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标王颁奖</w:t>
            </w:r>
          </w:p>
        </w:tc>
        <w:tc>
          <w:tcPr>
            <w:tcW w:type="dxa" w:w="21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授旗合影</w:t>
            </w:r>
          </w:p>
        </w:tc>
        <w:tc>
          <w:tcPr>
            <w:tcW w:type="dxa" w:w="58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理财、基金各三组标王；未锁定的项目显示「待锁定后揭晓」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标王候选状态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标王候选</w:t>
      </w:r>
      <w:r>
        <w:t xml:space="preserve">：增幅 ≥30% 且组内唯一第一。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并列领先 · 待确认</w:t>
      </w:r>
      <w:r>
        <w:t xml:space="preserve">：第一名并列。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暂无达到 30% 的标王候选</w:t>
      </w:r>
      <w:r>
        <w:t xml:space="preserve">：本组最高增幅低于 30%。</w:t>
      </w:r>
    </w:p>
    <w:p>
      <w:pPr>
        <w:pStyle w:val="Heading2"/>
      </w:pPr>
      <w:r>
        <w:t xml:space="preserve">声音与特效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76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可选音效（管理端下拉选择，可试听）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开放本组</w:t>
            </w:r>
          </w:p>
        </w:tc>
        <w:tc>
          <w:tcPr>
            <w:tcW w:type="dxa" w:w="76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敲锣（默认）/ 战鼓三通 / 鼓点 + 锣 / 不播放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普通加码</w:t>
            </w:r>
          </w:p>
        </w:tc>
        <w:tc>
          <w:tcPr>
            <w:tcW w:type="dxa" w:w="76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清脆叮（默认）/ 金币 / 鼓点 / 风铃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新标王候选</w:t>
            </w:r>
          </w:p>
        </w:tc>
        <w:tc>
          <w:tcPr>
            <w:tcW w:type="dxa" w:w="76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上扬号角（默认）/ 烟花 / 凯旋 / 欢呼掌声；同时显示金色卡片与爆炸光芒特效约 5.5 秒</w:t>
            </w:r>
          </w:p>
        </w:tc>
      </w:tr>
    </w:tbl>
    <w:p>
      <w:pPr>
        <w:spacing w:before="120"/>
      </w:pPr>
      <w:r>
        <w:t xml:space="preserve">「现场控制」→「大屏展示」可设置「大屏声音：开 / 关」。投屏电脑打开大屏后须先点一下页面（如「全屏」），浏览器才允许出声。</w:t>
      </w:r>
    </w:p>
    <w:p>
      <w:pPr>
        <w:pStyle w:val="Heading1"/>
        <w:spacing w:before="480"/>
      </w:pPr>
      <w:r>
        <w:t xml:space="preserve">十、管理端常用操作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4338"/>
      </w:tblGrid>
      <w:tr>
        <w:trPr>
          <w:tblHeader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3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43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规则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开放本组 / 结束本组</w:t>
            </w:r>
          </w:p>
        </w:tc>
        <w:tc>
          <w:tcPr>
            <w:tcW w:type="dxa" w:w="3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控制当前竞标的组</w:t>
            </w:r>
          </w:p>
        </w:tc>
        <w:tc>
          <w:tcPr>
            <w:tcW w:type="dxa" w:w="43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同一时间只能开放一个组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暂停 / 恢复</w:t>
            </w:r>
          </w:p>
        </w:tc>
        <w:tc>
          <w:tcPr>
            <w:tcW w:type="dxa" w:w="3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临时核对数据</w:t>
            </w:r>
          </w:p>
        </w:tc>
        <w:tc>
          <w:tcPr>
            <w:tcW w:type="dxa" w:w="43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暂停期间所有提交被拒绝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代记</w:t>
            </w:r>
          </w:p>
        </w:tc>
        <w:tc>
          <w:tcPr>
            <w:tcW w:type="dxa" w:w="3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领导无法操作时代为认领底标</w:t>
            </w:r>
          </w:p>
        </w:tc>
        <w:tc>
          <w:tcPr>
            <w:tcW w:type="dxa" w:w="43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与领导口头确认后操作，记入审计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代录（向上）</w:t>
            </w:r>
          </w:p>
        </w:tc>
        <w:tc>
          <w:tcPr>
            <w:tcW w:type="dxa" w:w="3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领导手机故障、断网时代为加码</w:t>
            </w:r>
          </w:p>
        </w:tc>
        <w:tc>
          <w:tcPr>
            <w:tcW w:type="dxa" w:w="43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按真实差额一笔录入（如差 23 个百分点就录 +23）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下调更正（误操作）</w:t>
            </w:r>
          </w:p>
        </w:tc>
        <w:tc>
          <w:tcPr>
            <w:tcW w:type="dxa" w:w="3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领导点错、加多了</w:t>
            </w:r>
          </w:p>
        </w:tc>
        <w:tc>
          <w:tcPr>
            <w:tcW w:type="dxa" w:w="43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与领导确认正确增幅后改回；锁定前可用，</w:t>
            </w:r>
            <w:r>
              <w:rPr>
                <w:b/>
                <w:bCs/>
                <w:sz w:val="20"/>
                <w:szCs w:val="20"/>
              </w:rPr>
              <w:t xml:space="preserve">不能低于首轮增幅</w:t>
            </w:r>
            <w:r>
              <w:rPr>
                <w:b w:val="false"/>
                <w:bCs w:val="false"/>
                <w:sz w:val="20"/>
                <w:szCs w:val="20"/>
              </w:rPr>
              <w:t xml:space="preserve">；流水标注「工作人员更正」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重新开放</w:t>
            </w:r>
          </w:p>
        </w:tc>
        <w:tc>
          <w:tcPr>
            <w:tcW w:type="dxa" w:w="3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组内并列第一、组织者决定追加</w:t>
            </w:r>
          </w:p>
        </w:tc>
        <w:tc>
          <w:tcPr>
            <w:tcW w:type="dxa" w:w="43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锁定前可用，原增幅不会下调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锁定项目</w:t>
            </w:r>
          </w:p>
        </w:tc>
        <w:tc>
          <w:tcPr>
            <w:tcW w:type="dxa" w:w="3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确认最终结果</w:t>
            </w:r>
          </w:p>
        </w:tc>
        <w:tc>
          <w:tcPr>
            <w:tcW w:type="dxa" w:w="43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不可退回；提前收场须单独勾选确认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强制下线</w:t>
            </w:r>
          </w:p>
        </w:tc>
        <w:tc>
          <w:tcPr>
            <w:tcW w:type="dxa" w:w="3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手机被他人拿走等情况</w:t>
            </w:r>
          </w:p>
        </w:tc>
        <w:tc>
          <w:tcPr>
            <w:tcW w:type="dxa" w:w="43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领导再扫原卡即可重新登录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显示二维码</w:t>
            </w:r>
          </w:p>
        </w:tc>
        <w:tc>
          <w:tcPr>
            <w:tcW w:type="dxa" w:w="3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领导卡丢失</w:t>
            </w:r>
          </w:p>
        </w:tc>
        <w:tc>
          <w:tcPr>
            <w:tcW w:type="dxa" w:w="43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电脑屏幕显示同一张卡，领导直接扫屏幕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网络延迟</w:t>
            </w:r>
          </w:p>
        </w:tc>
        <w:tc>
          <w:tcPr>
            <w:tcW w:type="dxa" w:w="3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检查管理电脑网络</w:t>
            </w:r>
          </w:p>
        </w:tc>
        <w:tc>
          <w:tcPr>
            <w:tcW w:type="dxa" w:w="43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绿色 &lt;200 ms 良好；黄色较慢；红色很慢或无法连接时先检查网络（可开手机热点）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导出 Excel</w:t>
            </w:r>
          </w:p>
        </w:tc>
        <w:tc>
          <w:tcPr>
            <w:tcW w:type="dxa" w:w="3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形成台账</w:t>
            </w:r>
          </w:p>
        </w:tc>
        <w:tc>
          <w:tcPr>
            <w:tcW w:type="dxa" w:w="43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四个工作表；锁定前导出的标注「过程数据」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删除活动</w:t>
            </w:r>
          </w:p>
        </w:tc>
        <w:tc>
          <w:tcPr>
            <w:tcW w:type="dxa" w:w="3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清理演示或作废活动</w:t>
            </w:r>
          </w:p>
        </w:tc>
        <w:tc>
          <w:tcPr>
            <w:tcW w:type="dxa" w:w="43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连同全部数据一并删除，不可恢复；竞标进行中不能删除</w:t>
            </w:r>
          </w:p>
        </w:tc>
      </w:tr>
    </w:tbl>
    <w:p>
      <w:pPr>
        <w:spacing w:before="120"/>
      </w:pPr>
      <w:r>
        <w:t xml:space="preserve">所有操作（发布、开闭组、暂停、锁定、代记、代录、更正、导出）均自动记录操作人和时间，可在「监控与审计」中查看。</w:t>
      </w:r>
    </w:p>
    <w:p>
      <w:pPr>
        <w:pStyle w:val="Heading1"/>
        <w:spacing w:before="480"/>
      </w:pPr>
      <w:r>
        <w:t xml:space="preserve">十一、现场异常处理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3838"/>
      </w:tblGrid>
      <w:tr>
        <w:trPr>
          <w:tblHeader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情况</w:t>
            </w:r>
          </w:p>
        </w:tc>
        <w:tc>
          <w:tcPr>
            <w:tcW w:type="dxa" w:w="35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主持人话术</w:t>
            </w:r>
          </w:p>
        </w:tc>
        <w:tc>
          <w:tcPr>
            <w:tcW w:type="dxa" w:w="38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工作人员处理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领导手机出了问题</w:t>
            </w:r>
          </w:p>
        </w:tc>
        <w:tc>
          <w:tcPr>
            <w:tcW w:type="dxa" w:w="35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「请稍等，工作人员正在协助××单位，其他单位继续。」</w:t>
            </w:r>
          </w:p>
        </w:tc>
        <w:tc>
          <w:tcPr>
            <w:tcW w:type="dxa" w:w="38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用另一部手机扫同一张卡，或由工作人员「代录」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领导点错、加多了</w:t>
            </w:r>
          </w:p>
        </w:tc>
        <w:tc>
          <w:tcPr>
            <w:tcW w:type="dxa" w:w="35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「××单位刚才是误操作，经现场确认，按××%为准。」</w:t>
            </w:r>
          </w:p>
        </w:tc>
        <w:tc>
          <w:tcPr>
            <w:tcW w:type="dxa" w:w="38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「代录」→「下调更正（误操作）」→ 填正确增幅 → 确认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领导手机断网</w:t>
            </w:r>
          </w:p>
        </w:tc>
        <w:tc>
          <w:tcPr>
            <w:tcW w:type="dxa" w:w="35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「请××单位口头确认目标增幅。」</w:t>
            </w:r>
          </w:p>
        </w:tc>
        <w:tc>
          <w:tcPr>
            <w:tcW w:type="dxa" w:w="38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联络员记录口头确认的增幅，网络恢复后由领导提交或工作人员按差额代录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需要暂停核对</w:t>
            </w:r>
          </w:p>
        </w:tc>
        <w:tc>
          <w:tcPr>
            <w:tcW w:type="dxa" w:w="35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「我们稍作暂停，核对一下数据。」</w:t>
            </w:r>
          </w:p>
        </w:tc>
        <w:tc>
          <w:tcPr>
            <w:tcW w:type="dxa" w:w="38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点「暂停」，核对后点「恢复」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本组并列第一且都 ≥30%</w:t>
            </w:r>
          </w:p>
        </w:tc>
        <w:tc>
          <w:tcPr>
            <w:tcW w:type="dxa" w:w="35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「本组出现并列第一，请两家单位再加一轮。」</w:t>
            </w:r>
          </w:p>
        </w:tc>
        <w:tc>
          <w:tcPr>
            <w:tcW w:type="dxa" w:w="38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经组织者决定，结束本组后点「重新开放…」，并列单位继续追加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时间不够，需提前收场</w:t>
            </w:r>
          </w:p>
        </w:tc>
        <w:tc>
          <w:tcPr>
            <w:tcW w:type="dxa" w:w="35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「由于时间关系，××组以当前结果为准。」</w:t>
            </w:r>
          </w:p>
        </w:tc>
        <w:tc>
          <w:tcPr>
            <w:tcW w:type="dxa" w:w="38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锁定时勾选「确认提前收场」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大屏没有声音</w:t>
            </w:r>
          </w:p>
        </w:tc>
        <w:tc>
          <w:tcPr>
            <w:tcW w:type="dxa" w:w="35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8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确认「大屏声音：开」，在投屏电脑大屏页面点一下，可点「试听」检查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大屏显示「连接中断」</w:t>
            </w:r>
          </w:p>
        </w:tc>
        <w:tc>
          <w:tcPr>
            <w:tcW w:type="dxa" w:w="35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8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大屏保留最后一次已确认数据；检查投屏电脑网络，系统自动降级为每 2 秒刷新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冻结后发现底标/首轮错误</w:t>
            </w:r>
          </w:p>
        </w:tc>
        <w:tc>
          <w:tcPr>
            <w:tcW w:type="dxa" w:w="35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8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系统不允许修改已冻结数据：暂停 → 导出记录 → 经组织者确认后新建正式活动重新导入、冻结，原活动保留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网络大面积中断</w:t>
            </w:r>
          </w:p>
        </w:tc>
        <w:tc>
          <w:tcPr>
            <w:tcW w:type="dxa" w:w="35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「网络稍有波动，请大家先不要操作，以工作人员确认为准。」</w:t>
            </w:r>
          </w:p>
        </w:tc>
        <w:tc>
          <w:tcPr>
            <w:tcW w:type="dxa" w:w="38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按下一章切换到局域网备用系统</w:t>
            </w:r>
          </w:p>
        </w:tc>
      </w:tr>
    </w:tbl>
    <w:p>
      <w:pPr>
        <w:pStyle w:val="Heading1"/>
        <w:spacing w:before="480"/>
      </w:pPr>
      <w:r>
        <w:t xml:space="preserve">十二、在线版与局域网备用版</w:t>
      </w:r>
    </w:p>
    <w:p>
      <w:pPr>
        <w:spacing w:after="120" w:line="360"/>
      </w:pPr>
      <w:r>
        <w:t xml:space="preserve">正式活动使用</w:t>
      </w:r>
      <w:r>
        <w:rPr>
          <w:b/>
          <w:bCs/>
        </w:rPr>
        <w:t xml:space="preserve">在线版</w:t>
      </w:r>
      <w:r>
        <w:t xml:space="preserve">（云服务器，领导用手机流量扫码）；会场一台 Windows 电脑装好</w:t>
      </w:r>
      <w:r>
        <w:rPr>
          <w:b/>
          <w:bCs/>
        </w:rPr>
        <w:t xml:space="preserve">局域网版</w:t>
      </w:r>
      <w:r>
        <w:t xml:space="preserve">作为备用。两套系统数据互不相通，</w:t>
      </w:r>
      <w:r>
        <w:rPr>
          <w:b/>
          <w:bCs/>
        </w:rPr>
        <w:t xml:space="preserve">同一时间只能以一套为准</w:t>
      </w:r>
      <w:r>
        <w:t xml:space="preserve">。</w:t>
      </w:r>
    </w:p>
    <w:p>
      <w:pPr>
        <w:pStyle w:val="Heading2"/>
      </w:pPr>
      <w:r>
        <w:t xml:space="preserve">（一）会前准备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局域网版同样新建正式活动（名称后加「（备用）」），配置与在线版一致，上传</w:t>
      </w:r>
      <w:r>
        <w:rPr>
          <w:b/>
          <w:bCs/>
        </w:rPr>
        <w:t xml:space="preserve">同一个</w:t>
      </w:r>
      <w:r>
        <w:t xml:space="preserve">首轮 Excel 并一起冻结。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局域网版领导卡另印一套，标注「</w:t>
      </w:r>
      <w:r>
        <w:rPr>
          <w:b/>
          <w:bCs/>
        </w:rPr>
        <w:t xml:space="preserve">备用 · 局域网</w:t>
      </w:r>
      <w:r>
        <w:t xml:space="preserve">」，由联络员保管，</w:t>
      </w:r>
      <w:r>
        <w:rPr>
          <w:b/>
          <w:bCs/>
        </w:rPr>
        <w:t xml:space="preserve">不发放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会场至少准备一部能开热点的手机，供管理电脑和投屏电脑应急使用。</w:t>
      </w:r>
    </w:p>
    <w:p>
      <w:pPr>
        <w:pStyle w:val="Heading2"/>
      </w:pPr>
      <w:r>
        <w:t xml:space="preserve">（二）切换条件</w:t>
      </w:r>
    </w:p>
    <w:p>
      <w:pPr>
        <w:spacing w:after="120" w:line="360"/>
      </w:pPr>
      <w:r>
        <w:t xml:space="preserve">以下情况</w:t>
      </w:r>
      <w:r>
        <w:rPr>
          <w:b/>
          <w:bCs/>
        </w:rPr>
        <w:t xml:space="preserve">不切换</w:t>
      </w:r>
      <w:r>
        <w:t xml:space="preserve">：只是管理电脑或投屏电脑上不了网（开手机热点）；个别领导打不开页面（换手机扫同一张卡或代录）；手机显示「结果待核验」（等待自动核验）。</w:t>
      </w:r>
    </w:p>
    <w:p>
      <w:pPr>
        <w:spacing w:after="120" w:line="360"/>
      </w:pPr>
      <w:r>
        <w:rPr>
          <w:b/>
          <w:bCs/>
        </w:rPr>
        <w:t xml:space="preserve">同时满足以下两条才切换</w:t>
      </w:r>
      <w:r>
        <w:t xml:space="preserve">，由主控提出、现场负责人同意后执行：</w:t>
      </w:r>
    </w:p>
    <w:p>
      <w:pPr>
        <w:pStyle w:val="ListParagraph"/>
        <w:numPr>
          <w:ilvl w:val="0"/>
          <w:numId w:val="7"/>
        </w:numPr>
        <w:spacing w:after="60" w:line="340"/>
      </w:pPr>
      <w:r>
        <w:t xml:space="preserve">3 家以上单位用手机流量都打不开在线版，且工作人员用自己的手机流量也打不开管理端；</w:t>
      </w:r>
    </w:p>
    <w:p>
      <w:pPr>
        <w:pStyle w:val="ListParagraph"/>
        <w:numPr>
          <w:ilvl w:val="0"/>
          <w:numId w:val="7"/>
        </w:numPr>
        <w:spacing w:after="60" w:line="340"/>
      </w:pPr>
      <w:r>
        <w:t xml:space="preserve">持续 3 分钟以上没有恢复。</w:t>
      </w:r>
    </w:p>
    <w:p>
      <w:pPr>
        <w:pStyle w:val="Heading2"/>
      </w:pPr>
      <w:r>
        <w:t xml:space="preserve">（三）切换步骤（约 10—15 分钟）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76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1. 暂停并宣布</w:t>
            </w:r>
          </w:p>
        </w:tc>
        <w:tc>
          <w:tcPr>
            <w:tcW w:type="dxa" w:w="76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在线版能打开时点「暂停」；主持人宣布暂停几分钟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2. 记下当前结果</w:t>
            </w:r>
          </w:p>
        </w:tc>
        <w:tc>
          <w:tcPr>
            <w:tcW w:type="dxa" w:w="76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导出 Excel 或截图；在线版打不开时拍下大屏最后画面，并查看各领导手机最后一张「追加成功」回执。两人核对每家当前增幅、底标认领情况和进行到第几组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3. 局域网版补录</w:t>
            </w:r>
          </w:p>
        </w:tc>
        <w:tc>
          <w:tcPr>
            <w:tcW w:type="dxa" w:w="76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依次开放各组，对已认领单位「代记」，对已加码单位按差额「代录」；补到故障时的那一组并保持开放，然后暂停；两人逐家核对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4. 换大屏</w:t>
            </w:r>
          </w:p>
        </w:tc>
        <w:tc>
          <w:tcPr>
            <w:tcW w:type="dxa" w:w="76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投屏电脑打开局域网版大屏链接，点「全屏」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5. 领导重新扫码</w:t>
            </w:r>
          </w:p>
        </w:tc>
        <w:tc>
          <w:tcPr>
            <w:tcW w:type="dxa" w:w="76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发放备用卡：先扫第一个二维码连会场 Wi-Fi，再扫第二个二维码进入；原卡停用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6. 恢复竞标</w:t>
            </w:r>
          </w:p>
        </w:tc>
        <w:tc>
          <w:tcPr>
            <w:tcW w:type="dxa" w:w="7638"/>
            <w:tcBorders>
              <w:top w:val="single" w:color="A6B8CC" w:sz="4"/>
              <w:left w:val="single" w:color="A6B8CC" w:sz="4"/>
              <w:bottom w:val="single" w:color="A6B8CC" w:sz="4"/>
              <w:right w:val="single" w:color="A6B8CC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局域网版点「恢复」，主持人宣布继续</w:t>
            </w:r>
          </w:p>
        </w:tc>
      </w:tr>
    </w:tbl>
    <w:p>
      <w:pPr>
        <w:spacing w:before="120"/>
      </w:pPr>
      <w:r>
        <w:t xml:space="preserve">切换后本场</w:t>
      </w:r>
      <w:r>
        <w:rPr>
          <w:b/>
          <w:bCs/>
        </w:rPr>
        <w:t xml:space="preserve">以局域网版为准</w:t>
      </w:r>
      <w:r>
        <w:t xml:space="preserve">，锁定、导出、签字备案均在局域网版完成；会后记录切换时间、原因和补录依据，与两套台账一起归档。</w:t>
      </w:r>
    </w:p>
    <w:p>
      <w:pPr>
        <w:pStyle w:val="Heading1"/>
        <w:spacing w:before="480"/>
      </w:pPr>
      <w:r>
        <w:t xml:space="preserve">十三、会后结果锁定与公示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当日汇总形成</w:t>
      </w:r>
      <w:r>
        <w:rPr>
          <w:b/>
          <w:bCs/>
        </w:rPr>
        <w:t xml:space="preserve">竞标工作台账</w:t>
      </w:r>
      <w:r>
        <w:t xml:space="preserve">，登记各单位底标、自由竞标目标，全市公示，作为一季度考核依据。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打印最终竞标台账，签字备案（手机上的「确认认领」仅用于现场留痕）。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活动期间：每周发布进度榜单，每月组织复盘，设立财富业务红黑榜，对滞后单位重点督导。</w:t>
      </w:r>
    </w:p>
    <w:p>
      <w:pPr>
        <w:pStyle w:val="Heading2"/>
      </w:pPr>
      <w:r>
        <w:t xml:space="preserve">附则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本方案数据口径、考核规则由市分公司金融部负责最终解释。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如遇市场、监管政策重大变化，市分公司可统一调整规则并提前通知各单位。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9A227" w:sz="24"/>
              <w:bottom w:val="none" w:color="FFFFFF" w:sz="0"/>
              <w:right w:val="none" w:color="FFFFFF" w:sz="0"/>
            </w:tcBorders>
            <w:shd w:fill="FFF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7A5B00"/>
              </w:rPr>
              <w:t xml:space="preserve">现场竞标关键要点</w:t>
            </w:r>
          </w:p>
          <w:p>
            <w:pPr>
              <w:spacing w:after="40" w:line="320"/>
            </w:pPr>
            <w:r>
              <w:rPr>
                <w:sz w:val="20"/>
                <w:szCs w:val="20"/>
              </w:rPr>
              <w:t xml:space="preserve">1. 首轮会前冻结，现场不改；2. 每组最低 10%，每次加 1 个百分点的整数倍；3. 只增不减，误操作由工作人员在锁定前下调更正，不低于首轮；4. 组内增幅唯一第一且 ≥30% 为标王，并列由组织者决定；5. 先理财、后基金，每个项目三组依次进行；6. 锁定不可退回，锁定后导出台账公示。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134" w:bottom="1300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理财、基金现场竞标规则与流程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0" w:hanging="300"/>
      </w:pPr>
      <w:rPr>
        <w:color w:val="1F4E79"/>
        <w:sz w:val="14"/>
        <w:szCs w:val="14"/>
      </w:rPr>
    </w:lvl>
    <w:lvl w:ilvl="1" w15:tentative="1">
      <w:start w:val="1"/>
      <w:numFmt w:val="bullet"/>
      <w:lvlText w:val="○"/>
      <w:lvlJc w:val="left"/>
      <w:pPr>
        <w:ind w:left="1000" w:hanging="300"/>
      </w:pPr>
      <w:rPr>
        <w:sz w:val="14"/>
        <w:szCs w:val="1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9A227" w:sz="8" w:space="4"/>
      </w:pBdr>
      <w:spacing w:after="200" w:before="240"/>
      <w:outlineLvl w:val="0"/>
    </w:pPr>
    <w:rPr>
      <w:rFonts w:ascii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Microsoft YaHei" w:eastAsia="Microsoft YaHei" w:hAnsi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Microsoft YaHei" w:eastAsia="Microsoft YaHei" w:hAnsi="Microsoft YaHei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理财、基金现场竞标规则与流程</dc:title>
  <dc:creator>市分公司金融部</dc:creator>
  <cp:lastModifiedBy>Un-named</cp:lastModifiedBy>
  <cp:revision>1</cp:revision>
  <dcterms:created xsi:type="dcterms:W3CDTF">2026-10-27T05:25:07.329Z</dcterms:created>
  <dcterms:modified xsi:type="dcterms:W3CDTF">2026-10-27T05:25:07.329Z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