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89B6" w14:textId="77777777" w:rsidR="003B5F9A" w:rsidRDefault="00000000">
      <w:pPr>
        <w:pStyle w:val="Title"/>
        <w:spacing w:before="1840"/>
        <w:jc w:val="center"/>
      </w:pPr>
      <w:r>
        <w:t>AccessPath AI</w:t>
      </w:r>
    </w:p>
    <w:p w14:paraId="2A9FE721" w14:textId="77777777" w:rsidR="003B5F9A" w:rsidRDefault="00000000">
      <w:pPr>
        <w:spacing w:before="240"/>
        <w:jc w:val="center"/>
        <w:rPr>
          <w:rFonts w:hint="eastAsia"/>
        </w:rPr>
      </w:pPr>
      <w:r>
        <w:rPr>
          <w:b/>
          <w:sz w:val="32"/>
        </w:rPr>
        <w:t>Evidence Driven Keyboard Accessibility Journey Evaluation</w:t>
      </w:r>
    </w:p>
    <w:p w14:paraId="5372B8ED" w14:textId="77777777" w:rsidR="003B5F9A" w:rsidRDefault="00000000">
      <w:pPr>
        <w:spacing w:before="560"/>
        <w:jc w:val="center"/>
        <w:rPr>
          <w:sz w:val="28"/>
        </w:rPr>
      </w:pPr>
      <w:r>
        <w:rPr>
          <w:sz w:val="28"/>
        </w:rPr>
        <w:t>Project Synopsis for Midterm Review</w:t>
      </w:r>
    </w:p>
    <w:p w14:paraId="19CDCC4B" w14:textId="27DB825D" w:rsidR="00BA4E70" w:rsidRPr="00BA4E70" w:rsidRDefault="00BA4E70" w:rsidP="001D4386">
      <w:pPr>
        <w:spacing w:before="560"/>
        <w:jc w:val="center"/>
        <w:rPr>
          <w:rFonts w:hint="eastAsia"/>
          <w:sz w:val="28"/>
        </w:rPr>
      </w:pPr>
      <w:r>
        <w:rPr>
          <w:sz w:val="28"/>
        </w:rPr>
        <w:t>Aniket Mishra - 230648</w:t>
      </w:r>
      <w:r>
        <w:rPr>
          <w:sz w:val="28"/>
        </w:rPr>
        <w:br/>
        <w:t>Krish Bajaj – 230665</w:t>
      </w:r>
      <w:r>
        <w:rPr>
          <w:sz w:val="28"/>
        </w:rPr>
        <w:br/>
        <w:t>Daksh Choudhary - 230</w:t>
      </w:r>
      <w:r w:rsidR="001D4386">
        <w:rPr>
          <w:sz w:val="28"/>
        </w:rPr>
        <w:t>876</w:t>
      </w:r>
    </w:p>
    <w:p w14:paraId="1355337F" w14:textId="2EEF99CB" w:rsidR="003B5F9A" w:rsidRDefault="00000000">
      <w:pPr>
        <w:rPr>
          <w:rFonts w:hint="eastAsia"/>
        </w:rPr>
      </w:pPr>
      <w:r>
        <w:br w:type="page"/>
      </w:r>
      <w:r w:rsidR="00BA4E70">
        <w:lastRenderedPageBreak/>
        <w:tab/>
      </w:r>
    </w:p>
    <w:p w14:paraId="46A54BFA" w14:textId="77777777" w:rsidR="003B5F9A" w:rsidRDefault="00000000">
      <w:pPr>
        <w:pStyle w:val="Heading1"/>
      </w:pPr>
      <w:r>
        <w:t>Synopsis Overview</w:t>
      </w:r>
    </w:p>
    <w:p w14:paraId="4E60A28A" w14:textId="77777777" w:rsidR="003B5F9A" w:rsidRDefault="00000000">
      <w:pPr>
        <w:spacing w:after="140" w:line="269" w:lineRule="auto"/>
        <w:rPr>
          <w:rFonts w:hint="eastAsia"/>
        </w:rPr>
      </w:pPr>
      <w:r>
        <w:t>AccessPath AI is a research prototype that asks a practical accessibility question: can a person following a declared interaction profile complete an important multi-step web task? The midterm prototype focuses on motor accessibility through keyboard-only input. It evaluates a controlled appointment-booking journey, stores step-by-step evidence, and distinguishes successful completion from a genuine keyboard barrier. An AI model may suggest the next action, but deterministic policy, browser observation, and completion rules remain authoritative.</w:t>
      </w:r>
    </w:p>
    <w:p w14:paraId="6C487779" w14:textId="77777777" w:rsidR="003B5F9A" w:rsidRDefault="00000000">
      <w:pPr>
        <w:pStyle w:val="Heading2"/>
      </w:pPr>
      <w:r>
        <w:t>Abstract</w:t>
      </w:r>
    </w:p>
    <w:p w14:paraId="331C5A03" w14:textId="77777777" w:rsidR="003B5F9A" w:rsidRDefault="00000000">
      <w:pPr>
        <w:spacing w:after="140" w:line="269" w:lineRule="auto"/>
        <w:rPr>
          <w:rFonts w:hint="eastAsia"/>
        </w:rPr>
      </w:pPr>
      <w:r>
        <w:t>Automated accessibility tools are valuable for detecting many page-level problems, but they do not by themselves prove that a complete user journey is operable. This project proposes a bounded, evidence-driven evaluator for keyboard-only journeys. A planner receives a limited observation of the current browser state and proposes one permitted keyboard action. A deterministic policy validates the proposal before Playwright performs it. The system records focus movement, actions, screenshots, policy decisions, and the final outcome. Evaluation uses two controlled versions of an appointment-booking journey: an accessible reference and a deliberately broken keyboard-barrier control. The expected contribution is a safe and reproducible bridge between static accessibility checking and task-level evaluation. The current prototype includes a Django dashboard, background worker, persistent evidence store, deterministic planner, and configurable live-model planners. Initial live evidence shows one completed accessible booking and one correctly blocked broken journey without deterministic fallback. The work is not a claim of complete WCAG conformance; it is a focused study of keyboard journey completion, evidence quality, safety, and repeatability.</w:t>
      </w:r>
    </w:p>
    <w:p w14:paraId="61B60512" w14:textId="77777777" w:rsidR="003B5F9A" w:rsidRDefault="00000000">
      <w:pPr>
        <w:spacing w:after="180"/>
        <w:rPr>
          <w:rFonts w:hint="eastAsia"/>
        </w:rPr>
      </w:pPr>
      <w:r>
        <w:rPr>
          <w:b/>
        </w:rPr>
        <w:t xml:space="preserve">Keywords: </w:t>
      </w:r>
      <w:r>
        <w:t>web accessibility, keyboard accessibility, WCAG, large language models, browser automation, task completion, evidence-driven testing</w:t>
      </w:r>
    </w:p>
    <w:p w14:paraId="1EED7788" w14:textId="77777777" w:rsidR="003B5F9A" w:rsidRDefault="00000000">
      <w:pPr>
        <w:pStyle w:val="Heading2"/>
      </w:pPr>
      <w:r>
        <w:t>Contents</w:t>
      </w:r>
    </w:p>
    <w:p w14:paraId="170F56C7" w14:textId="77777777" w:rsidR="003B5F9A" w:rsidRDefault="00000000">
      <w:pPr>
        <w:spacing w:after="60"/>
        <w:ind w:left="259"/>
        <w:rPr>
          <w:rFonts w:hint="eastAsia"/>
        </w:rPr>
      </w:pPr>
      <w:r>
        <w:t>1 Introduction and Problem Definition</w:t>
      </w:r>
    </w:p>
    <w:p w14:paraId="4280D6E0" w14:textId="77777777" w:rsidR="003B5F9A" w:rsidRDefault="00000000">
      <w:pPr>
        <w:spacing w:after="60"/>
        <w:ind w:left="259"/>
        <w:rPr>
          <w:rFonts w:hint="eastAsia"/>
        </w:rPr>
      </w:pPr>
      <w:r>
        <w:t>2 Literature Review</w:t>
      </w:r>
    </w:p>
    <w:p w14:paraId="63C02D42" w14:textId="77777777" w:rsidR="003B5F9A" w:rsidRDefault="00000000">
      <w:pPr>
        <w:spacing w:after="60"/>
        <w:ind w:left="259"/>
        <w:rPr>
          <w:rFonts w:hint="eastAsia"/>
        </w:rPr>
      </w:pPr>
      <w:r>
        <w:t>3 Research Gap</w:t>
      </w:r>
    </w:p>
    <w:p w14:paraId="5E952DAB" w14:textId="77777777" w:rsidR="003B5F9A" w:rsidRDefault="00000000">
      <w:pPr>
        <w:spacing w:after="60"/>
        <w:ind w:left="259"/>
        <w:rPr>
          <w:rFonts w:hint="eastAsia"/>
        </w:rPr>
      </w:pPr>
      <w:r>
        <w:t>4 Aim, Objectives and Research Questions</w:t>
      </w:r>
    </w:p>
    <w:p w14:paraId="1C05DA28" w14:textId="77777777" w:rsidR="003B5F9A" w:rsidRDefault="00000000">
      <w:pPr>
        <w:spacing w:after="60"/>
        <w:ind w:left="259"/>
        <w:rPr>
          <w:rFonts w:hint="eastAsia"/>
        </w:rPr>
      </w:pPr>
      <w:r>
        <w:t>5 Proposed Methodology</w:t>
      </w:r>
    </w:p>
    <w:p w14:paraId="278EECA0" w14:textId="77777777" w:rsidR="003B5F9A" w:rsidRDefault="00000000">
      <w:pPr>
        <w:spacing w:after="60"/>
        <w:ind w:left="259"/>
        <w:rPr>
          <w:rFonts w:hint="eastAsia"/>
        </w:rPr>
      </w:pPr>
      <w:r>
        <w:t>6 Current Development Status</w:t>
      </w:r>
    </w:p>
    <w:p w14:paraId="31188387" w14:textId="77777777" w:rsidR="003B5F9A" w:rsidRDefault="00000000">
      <w:pPr>
        <w:spacing w:after="60"/>
        <w:ind w:left="259"/>
        <w:rPr>
          <w:rFonts w:hint="eastAsia"/>
        </w:rPr>
      </w:pPr>
      <w:r>
        <w:t>7 Expected Outcomes and Evaluation</w:t>
      </w:r>
    </w:p>
    <w:p w14:paraId="147A9DE0" w14:textId="77777777" w:rsidR="003B5F9A" w:rsidRDefault="00000000">
      <w:pPr>
        <w:spacing w:after="60"/>
        <w:ind w:left="259"/>
        <w:rPr>
          <w:rFonts w:hint="eastAsia"/>
        </w:rPr>
      </w:pPr>
      <w:r>
        <w:t>8 Limitations and Risk Management</w:t>
      </w:r>
    </w:p>
    <w:p w14:paraId="3F0746F5" w14:textId="77777777" w:rsidR="003B5F9A" w:rsidRDefault="00000000">
      <w:pPr>
        <w:spacing w:after="60"/>
        <w:ind w:left="259"/>
        <w:rPr>
          <w:rFonts w:hint="eastAsia"/>
        </w:rPr>
      </w:pPr>
      <w:r>
        <w:t>9 Work Plan</w:t>
      </w:r>
    </w:p>
    <w:p w14:paraId="153A01C5" w14:textId="77777777" w:rsidR="003B5F9A" w:rsidRDefault="00000000">
      <w:pPr>
        <w:spacing w:after="60"/>
        <w:ind w:left="259"/>
        <w:rPr>
          <w:rFonts w:hint="eastAsia"/>
        </w:rPr>
      </w:pPr>
      <w:r>
        <w:t>10 Conclusion</w:t>
      </w:r>
    </w:p>
    <w:p w14:paraId="6D629118" w14:textId="77777777" w:rsidR="003B5F9A" w:rsidRDefault="00000000">
      <w:pPr>
        <w:spacing w:after="60"/>
        <w:ind w:left="259"/>
        <w:rPr>
          <w:rFonts w:hint="eastAsia"/>
        </w:rPr>
      </w:pPr>
      <w:r>
        <w:t>References</w:t>
      </w:r>
    </w:p>
    <w:p w14:paraId="79653E33" w14:textId="77777777" w:rsidR="003B5F9A" w:rsidRDefault="00000000">
      <w:pPr>
        <w:rPr>
          <w:rFonts w:hint="eastAsia"/>
        </w:rPr>
      </w:pPr>
      <w:r>
        <w:br w:type="page"/>
      </w:r>
    </w:p>
    <w:p w14:paraId="3C102DBA" w14:textId="77777777" w:rsidR="003B5F9A" w:rsidRDefault="00000000">
      <w:pPr>
        <w:pStyle w:val="Heading1"/>
      </w:pPr>
      <w:r>
        <w:lastRenderedPageBreak/>
        <w:t>1 Introduction and Problem Definition</w:t>
      </w:r>
    </w:p>
    <w:p w14:paraId="53B71482" w14:textId="77777777" w:rsidR="003B5F9A" w:rsidRDefault="00000000">
      <w:pPr>
        <w:spacing w:after="140" w:line="269" w:lineRule="auto"/>
        <w:rPr>
          <w:rFonts w:hint="eastAsia"/>
        </w:rPr>
      </w:pPr>
      <w:r>
        <w:t>Web accessibility enables people with different abilities to perceive, understand, navigate, and interact with digital services. WCAG 2.2 provides a common standard covering a wide range of accessibility needs, while WCAG-EM provides a structured process for defining scope, selecting representative content, evaluating it, and reporting findings [1][2]. For users who cannot rely on a mouse, keyboard operation is essential. A control that cannot receive focus or be activated can prevent completion of an appointment, form, payment, or account task even when the page appears visually correct.</w:t>
      </w:r>
    </w:p>
    <w:p w14:paraId="319A9432" w14:textId="77777777" w:rsidR="003B5F9A" w:rsidRDefault="00000000">
      <w:pPr>
        <w:spacing w:after="140" w:line="269" w:lineRule="auto"/>
        <w:rPr>
          <w:rFonts w:hint="eastAsia"/>
        </w:rPr>
      </w:pPr>
      <w:r>
        <w:t>Many existing tools scan the current page or Document Object Model and report rule violations. This is useful, but the result is usually page-centred. A multi-step journey is different: each action changes the interface, focus may be lost, validation messages may appear, and a later control may become unreachable. The main project problem is therefore the gap between finding isolated accessibility issues and verifying whether a user following a specific interaction profile can complete a declared task.</w:t>
      </w:r>
    </w:p>
    <w:p w14:paraId="12341B42" w14:textId="77777777" w:rsidR="003B5F9A" w:rsidRDefault="00000000">
      <w:pPr>
        <w:spacing w:after="140" w:line="269" w:lineRule="auto"/>
        <w:rPr>
          <w:rFonts w:hint="eastAsia"/>
        </w:rPr>
      </w:pPr>
      <w:r>
        <w:rPr>
          <w:b/>
        </w:rPr>
        <w:t>Problem definition:</w:t>
      </w:r>
      <w:r>
        <w:t xml:space="preserve"> Existing rule-based and AI-assisted accessibility approaches do not consistently provide safe, reproducible, journey-level evidence showing whether a keyboard-only user can complete a multi-step task. A solution must combine flexible planning with deterministic execution control, observable completion rules, and evidence that a reviewer can inspect.</w:t>
      </w:r>
    </w:p>
    <w:p w14:paraId="74066553" w14:textId="77777777" w:rsidR="003B5F9A" w:rsidRDefault="00000000">
      <w:pPr>
        <w:pStyle w:val="Heading2"/>
      </w:pPr>
      <w:r>
        <w:t>1.1 Project Scope</w:t>
      </w:r>
    </w:p>
    <w:p w14:paraId="346A23C1" w14:textId="77777777" w:rsidR="003B5F9A" w:rsidRDefault="00000000">
      <w:pPr>
        <w:spacing w:after="80" w:line="259" w:lineRule="auto"/>
        <w:ind w:left="360" w:hanging="259"/>
        <w:rPr>
          <w:rFonts w:hint="eastAsia"/>
        </w:rPr>
      </w:pPr>
      <w:r>
        <w:t>•</w:t>
      </w:r>
      <w:r>
        <w:tab/>
        <w:t>Accessibility profile: motor accessibility through keyboard-only interaction.</w:t>
      </w:r>
    </w:p>
    <w:p w14:paraId="66EA6DAA" w14:textId="77777777" w:rsidR="003B5F9A" w:rsidRDefault="00000000">
      <w:pPr>
        <w:spacing w:after="80" w:line="259" w:lineRule="auto"/>
        <w:ind w:left="360" w:hanging="259"/>
        <w:rPr>
          <w:rFonts w:hint="eastAsia"/>
        </w:rPr>
      </w:pPr>
      <w:r>
        <w:t>•</w:t>
      </w:r>
      <w:r>
        <w:tab/>
        <w:t>Primary journey: a multi-step appointment-booking task.</w:t>
      </w:r>
    </w:p>
    <w:p w14:paraId="4A7E08B2" w14:textId="77777777" w:rsidR="003B5F9A" w:rsidRDefault="00000000">
      <w:pPr>
        <w:spacing w:after="80" w:line="259" w:lineRule="auto"/>
        <w:ind w:left="360" w:hanging="259"/>
        <w:rPr>
          <w:rFonts w:hint="eastAsia"/>
        </w:rPr>
      </w:pPr>
      <w:r>
        <w:t>•</w:t>
      </w:r>
      <w:r>
        <w:tab/>
        <w:t>Evaluation targets: controlled accessible and deliberately broken fixture sites.</w:t>
      </w:r>
    </w:p>
    <w:p w14:paraId="60206AC1" w14:textId="77777777" w:rsidR="003B5F9A" w:rsidRDefault="00000000">
      <w:pPr>
        <w:spacing w:after="80" w:line="259" w:lineRule="auto"/>
        <w:ind w:left="360" w:hanging="259"/>
        <w:rPr>
          <w:rFonts w:hint="eastAsia"/>
        </w:rPr>
      </w:pPr>
      <w:r>
        <w:t>•</w:t>
      </w:r>
      <w:r>
        <w:tab/>
        <w:t>Allowed interaction: bounded keyboard actions such as Tab, Shift+Tab, Enter, Space, arrow keys, and approved synthetic text entry.</w:t>
      </w:r>
    </w:p>
    <w:p w14:paraId="56AC6300" w14:textId="77777777" w:rsidR="003B5F9A" w:rsidRDefault="00000000">
      <w:pPr>
        <w:spacing w:after="80" w:line="259" w:lineRule="auto"/>
        <w:ind w:left="360" w:hanging="259"/>
        <w:rPr>
          <w:rFonts w:hint="eastAsia"/>
        </w:rPr>
      </w:pPr>
      <w:r>
        <w:t>•</w:t>
      </w:r>
      <w:r>
        <w:tab/>
        <w:t>Output: completed, blocked, inconclusive, safety-stopped, provider error, or environment error, supported by step-level evidence.</w:t>
      </w:r>
    </w:p>
    <w:p w14:paraId="2E5EDEA1" w14:textId="77777777" w:rsidR="003B5F9A" w:rsidRDefault="00000000">
      <w:pPr>
        <w:pStyle w:val="Heading1"/>
      </w:pPr>
      <w:r>
        <w:t>2 Literature Review</w:t>
      </w:r>
    </w:p>
    <w:p w14:paraId="088F81FC" w14:textId="77777777" w:rsidR="003B5F9A" w:rsidRDefault="00000000">
      <w:pPr>
        <w:pStyle w:val="Heading2"/>
      </w:pPr>
      <w:r>
        <w:t>2.1 Web Accessibility Standards</w:t>
      </w:r>
    </w:p>
    <w:p w14:paraId="047A5C92" w14:textId="77777777" w:rsidR="003B5F9A" w:rsidRDefault="00000000">
      <w:pPr>
        <w:spacing w:after="140" w:line="269" w:lineRule="auto"/>
        <w:rPr>
          <w:rFonts w:hint="eastAsia"/>
        </w:rPr>
      </w:pPr>
      <w:r>
        <w:t>WCAG 2.2 organizes web accessibility around perceivable, operable, understandable, and robust content [1]. The keyboard-focused criteria most relevant to this prototype include Keyboard, No Keyboard Trap, Focus Order, Focus Visible, and Focus Not Obscured. These criteria describe necessary properties, but a complete evaluation still requires a defined scope, representative views and states, suitable tools, expert judgment, and clear reporting. WCAG-EM formalizes this broader evaluation process and recommends involving users with disabilities [2]. AccessPath AI supports a narrow keyboard profile; it does not claim complete WCAG conformance.</w:t>
      </w:r>
    </w:p>
    <w:p w14:paraId="653DED1B" w14:textId="77777777" w:rsidR="003B5F9A" w:rsidRDefault="00000000">
      <w:pPr>
        <w:pStyle w:val="Heading2"/>
      </w:pPr>
      <w:r>
        <w:t>2.2 Traditional Automated Evaluation</w:t>
      </w:r>
    </w:p>
    <w:p w14:paraId="13BE1B20" w14:textId="77777777" w:rsidR="003B5F9A" w:rsidRDefault="00000000">
      <w:pPr>
        <w:spacing w:after="140" w:line="269" w:lineRule="auto"/>
        <w:rPr>
          <w:rFonts w:hint="eastAsia"/>
        </w:rPr>
      </w:pPr>
      <w:r>
        <w:t xml:space="preserve">Rule-based tools such as axe-core inspect rendered interfaces against accessibility rules. They are fast and useful in development pipelines. However, axe-core's own documentation reports average </w:t>
      </w:r>
      <w:r>
        <w:lastRenderedPageBreak/>
        <w:t>automatic coverage of 57% of WCAG issues and returns uncertain cases for manual review [3]. Playwright's accessibility guidance similarly recommends combining automated checks with manual assessment and inclusive user testing [4]. This establishes that automation supports, but does not replace, broader evaluation.</w:t>
      </w:r>
    </w:p>
    <w:p w14:paraId="7F2346D4" w14:textId="77777777" w:rsidR="003B5F9A" w:rsidRDefault="00000000">
      <w:pPr>
        <w:spacing w:after="140" w:line="269" w:lineRule="auto"/>
        <w:rPr>
          <w:rFonts w:hint="eastAsia"/>
        </w:rPr>
      </w:pPr>
      <w:r>
        <w:t>Vigo, Brown, and Conway compared six accessibility evaluation tools and showed the risk of relying only on automated checks [5]. Ara, Sik-Lanyi, and Kelemen reviewed 92 primary studies and found a wide range of methods, tools, and engineering assets, together with continuing research gaps across the evaluation process [6]. Pool compared nine tools on 121 pages and found that each detected issues missed by the others [7]. These studies show that tool outputs are complementary and that no single scanner provides complete evidence.</w:t>
      </w:r>
    </w:p>
    <w:p w14:paraId="076139AA" w14:textId="77777777" w:rsidR="003B5F9A" w:rsidRDefault="00000000">
      <w:pPr>
        <w:pStyle w:val="Heading2"/>
      </w:pPr>
      <w:r>
        <w:t>2.3 Keyboard and Journey Level Evaluation</w:t>
      </w:r>
    </w:p>
    <w:p w14:paraId="37EDF1F8" w14:textId="77777777" w:rsidR="003B5F9A" w:rsidRDefault="00000000">
      <w:pPr>
        <w:spacing w:after="140" w:line="269" w:lineRule="auto"/>
        <w:rPr>
          <w:rFonts w:hint="eastAsia"/>
        </w:rPr>
      </w:pPr>
      <w:r>
        <w:t>Keyboard accessibility is often assessed manually by repeatedly pressing Tab and related keys while observing reachability, activation, focus order, focus visibility, traps, and recovery. This can reveal behavioural barriers that a single-state scan may miss, but manual execution is time-consuming and difficult to repeat consistently. Scripted end-to-end tests improve repeatability, yet they require a human to define the exact path in advance. AccessPath AI investigates whether a bounded planner can choose the path while deterministic rules preserve safety and evidence quality.</w:t>
      </w:r>
    </w:p>
    <w:p w14:paraId="3E688E50" w14:textId="77777777" w:rsidR="003B5F9A" w:rsidRDefault="00000000">
      <w:pPr>
        <w:pStyle w:val="Heading2"/>
      </w:pPr>
      <w:r>
        <w:t>2.4 AI and LLM Based Evaluation</w:t>
      </w:r>
    </w:p>
    <w:p w14:paraId="4C285706" w14:textId="77777777" w:rsidR="003B5F9A" w:rsidRDefault="00000000">
      <w:pPr>
        <w:spacing w:after="140" w:line="269" w:lineRule="auto"/>
        <w:rPr>
          <w:rFonts w:hint="eastAsia"/>
        </w:rPr>
      </w:pPr>
      <w:r>
        <w:t>Recent research uses AI for alternative text, compliance assessment, remediation suggestions, accessible code generation, and interface adaptation. Vera-Amaro and Rojano-Caceres reviewed 277 studies and selected 31 key works, identifying growing AI use alongside inconsistent compliance and limited coverage beyond specific code cases [8]. Lopez-Gil and Pereira used LLM-based scripts for three WCAG criteria that normally require manual judgment and reported 87.18% detection across their test cases [9]. This suggests that language models can add semantic judgment where fixed rules struggle, but the evidence is limited to selected criteria and datasets.</w:t>
      </w:r>
    </w:p>
    <w:p w14:paraId="429F515A" w14:textId="77777777" w:rsidR="003B5F9A" w:rsidRDefault="00000000">
      <w:pPr>
        <w:spacing w:after="140" w:line="269" w:lineRule="auto"/>
      </w:pPr>
      <w:r>
        <w:t>Aljedaani and Mollik reviewed 38 peer-reviewed studies on LLMs for web accessibility. They found that research was concentrated on text-centric and structurally explicit tasks, evaluation methods varied, and direct participation by people with disabilities was limited [10]. Agentic research is also emerging. Yepes-Parra and Escobar-Velasquez proposed agents that interact through keyboard and screen-reader modalities, explicitly arguing that static analysis cannot capture all real-time interaction problems [11]. This work is close to the direction of AccessPath AI, so the project does not claim that AI agents for accessibility are entirely new.</w:t>
      </w:r>
    </w:p>
    <w:p w14:paraId="0E8DAE14" w14:textId="77777777" w:rsidR="001D4386" w:rsidRDefault="001D4386">
      <w:pPr>
        <w:spacing w:after="140" w:line="269" w:lineRule="auto"/>
      </w:pPr>
    </w:p>
    <w:p w14:paraId="1E2A651E" w14:textId="77777777" w:rsidR="001D4386" w:rsidRDefault="001D4386">
      <w:pPr>
        <w:spacing w:after="140" w:line="269" w:lineRule="auto"/>
      </w:pPr>
    </w:p>
    <w:p w14:paraId="58B6FC79" w14:textId="77777777" w:rsidR="001D4386" w:rsidRDefault="001D4386">
      <w:pPr>
        <w:spacing w:after="140" w:line="269" w:lineRule="auto"/>
      </w:pPr>
    </w:p>
    <w:p w14:paraId="51BFB648" w14:textId="77777777" w:rsidR="001D4386" w:rsidRDefault="001D4386">
      <w:pPr>
        <w:spacing w:after="140" w:line="269" w:lineRule="auto"/>
      </w:pPr>
    </w:p>
    <w:p w14:paraId="792116D2" w14:textId="77777777" w:rsidR="001D4386" w:rsidRDefault="001D4386">
      <w:pPr>
        <w:spacing w:after="140" w:line="269" w:lineRule="auto"/>
        <w:rPr>
          <w:rFonts w:hint="eastAsia"/>
        </w:rPr>
      </w:pPr>
    </w:p>
    <w:p w14:paraId="7500D12B" w14:textId="77777777" w:rsidR="003B5F9A" w:rsidRDefault="00000000">
      <w:pPr>
        <w:pStyle w:val="Heading2"/>
      </w:pPr>
      <w:r>
        <w:lastRenderedPageBreak/>
        <w:t>2.5 Literature Comparison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600"/>
        <w:gridCol w:w="3960"/>
      </w:tblGrid>
      <w:tr w:rsidR="003B5F9A" w14:paraId="38992DB4" w14:textId="77777777">
        <w:trPr>
          <w:cantSplit/>
          <w:tblHeader/>
          <w:jc w:val="center"/>
        </w:trPr>
        <w:tc>
          <w:tcPr>
            <w:tcW w:w="2232" w:type="dxa"/>
            <w:shd w:val="clear" w:color="auto" w:fill="FFFFFF"/>
            <w:tcMar>
              <w:top w:w="110" w:type="dxa"/>
              <w:left w:w="120" w:type="dxa"/>
              <w:bottom w:w="110" w:type="dxa"/>
              <w:right w:w="120" w:type="dxa"/>
            </w:tcMar>
            <w:vAlign w:val="center"/>
          </w:tcPr>
          <w:p w14:paraId="3B6558E8" w14:textId="77777777" w:rsidR="003B5F9A" w:rsidRDefault="00000000">
            <w:pPr>
              <w:jc w:val="center"/>
              <w:rPr>
                <w:rFonts w:hint="eastAsia"/>
              </w:rPr>
            </w:pPr>
            <w:r>
              <w:rPr>
                <w:b/>
                <w:sz w:val="19"/>
              </w:rPr>
              <w:t>Source</w:t>
            </w:r>
          </w:p>
        </w:tc>
        <w:tc>
          <w:tcPr>
            <w:tcW w:w="3600" w:type="dxa"/>
            <w:shd w:val="clear" w:color="auto" w:fill="FFFFFF"/>
            <w:tcMar>
              <w:top w:w="110" w:type="dxa"/>
              <w:left w:w="120" w:type="dxa"/>
              <w:bottom w:w="110" w:type="dxa"/>
              <w:right w:w="120" w:type="dxa"/>
            </w:tcMar>
            <w:vAlign w:val="center"/>
          </w:tcPr>
          <w:p w14:paraId="3A10808B" w14:textId="77777777" w:rsidR="003B5F9A" w:rsidRDefault="00000000">
            <w:pPr>
              <w:jc w:val="center"/>
              <w:rPr>
                <w:rFonts w:hint="eastAsia"/>
              </w:rPr>
            </w:pPr>
            <w:r>
              <w:rPr>
                <w:b/>
                <w:sz w:val="19"/>
              </w:rPr>
              <w:t>Main contribution</w:t>
            </w:r>
          </w:p>
        </w:tc>
        <w:tc>
          <w:tcPr>
            <w:tcW w:w="3960" w:type="dxa"/>
            <w:shd w:val="clear" w:color="auto" w:fill="FFFFFF"/>
            <w:tcMar>
              <w:top w:w="110" w:type="dxa"/>
              <w:left w:w="120" w:type="dxa"/>
              <w:bottom w:w="110" w:type="dxa"/>
              <w:right w:w="120" w:type="dxa"/>
            </w:tcMar>
            <w:vAlign w:val="center"/>
          </w:tcPr>
          <w:p w14:paraId="26201A2E" w14:textId="77777777" w:rsidR="003B5F9A" w:rsidRDefault="00000000">
            <w:pPr>
              <w:jc w:val="center"/>
              <w:rPr>
                <w:rFonts w:hint="eastAsia"/>
              </w:rPr>
            </w:pPr>
            <w:r>
              <w:rPr>
                <w:b/>
                <w:sz w:val="19"/>
              </w:rPr>
              <w:t>Limitation relevant to this project</w:t>
            </w:r>
          </w:p>
        </w:tc>
      </w:tr>
      <w:tr w:rsidR="003B5F9A" w14:paraId="0C2DB4F1" w14:textId="77777777">
        <w:trPr>
          <w:cantSplit/>
          <w:jc w:val="center"/>
        </w:trPr>
        <w:tc>
          <w:tcPr>
            <w:tcW w:w="2232" w:type="dxa"/>
            <w:tcMar>
              <w:top w:w="110" w:type="dxa"/>
              <w:left w:w="120" w:type="dxa"/>
              <w:bottom w:w="110" w:type="dxa"/>
              <w:right w:w="120" w:type="dxa"/>
            </w:tcMar>
            <w:vAlign w:val="center"/>
          </w:tcPr>
          <w:p w14:paraId="677B27CF" w14:textId="77777777" w:rsidR="003B5F9A" w:rsidRDefault="00000000">
            <w:pPr>
              <w:spacing w:after="0"/>
              <w:rPr>
                <w:rFonts w:hint="eastAsia"/>
              </w:rPr>
            </w:pPr>
            <w:r>
              <w:rPr>
                <w:sz w:val="18"/>
              </w:rPr>
              <w:t>WCAG 2.2 and WCAG-EM</w:t>
            </w:r>
          </w:p>
        </w:tc>
        <w:tc>
          <w:tcPr>
            <w:tcW w:w="3600" w:type="dxa"/>
            <w:tcMar>
              <w:top w:w="110" w:type="dxa"/>
              <w:left w:w="120" w:type="dxa"/>
              <w:bottom w:w="110" w:type="dxa"/>
              <w:right w:w="120" w:type="dxa"/>
            </w:tcMar>
            <w:vAlign w:val="center"/>
          </w:tcPr>
          <w:p w14:paraId="7AB30CBB" w14:textId="77777777" w:rsidR="003B5F9A" w:rsidRDefault="00000000">
            <w:pPr>
              <w:spacing w:after="0"/>
              <w:rPr>
                <w:rFonts w:hint="eastAsia"/>
              </w:rPr>
            </w:pPr>
            <w:r>
              <w:rPr>
                <w:sz w:val="18"/>
              </w:rPr>
              <w:t>Standards and structured evaluation process</w:t>
            </w:r>
          </w:p>
        </w:tc>
        <w:tc>
          <w:tcPr>
            <w:tcW w:w="3960" w:type="dxa"/>
            <w:tcMar>
              <w:top w:w="110" w:type="dxa"/>
              <w:left w:w="120" w:type="dxa"/>
              <w:bottom w:w="110" w:type="dxa"/>
              <w:right w:w="120" w:type="dxa"/>
            </w:tcMar>
            <w:vAlign w:val="center"/>
          </w:tcPr>
          <w:p w14:paraId="41FC6EA6" w14:textId="77777777" w:rsidR="003B5F9A" w:rsidRDefault="00000000">
            <w:pPr>
              <w:spacing w:after="0"/>
              <w:rPr>
                <w:rFonts w:hint="eastAsia"/>
              </w:rPr>
            </w:pPr>
            <w:r>
              <w:rPr>
                <w:sz w:val="18"/>
              </w:rPr>
              <w:t>Do not themselves execute a user's complete task</w:t>
            </w:r>
          </w:p>
        </w:tc>
      </w:tr>
      <w:tr w:rsidR="003B5F9A" w14:paraId="2AD5D786" w14:textId="77777777">
        <w:trPr>
          <w:cantSplit/>
          <w:jc w:val="center"/>
        </w:trPr>
        <w:tc>
          <w:tcPr>
            <w:tcW w:w="2232" w:type="dxa"/>
            <w:shd w:val="clear" w:color="auto" w:fill="FFFFFF"/>
            <w:tcMar>
              <w:top w:w="110" w:type="dxa"/>
              <w:left w:w="120" w:type="dxa"/>
              <w:bottom w:w="110" w:type="dxa"/>
              <w:right w:w="120" w:type="dxa"/>
            </w:tcMar>
            <w:vAlign w:val="center"/>
          </w:tcPr>
          <w:p w14:paraId="508344D6" w14:textId="77777777" w:rsidR="003B5F9A" w:rsidRDefault="00000000">
            <w:pPr>
              <w:spacing w:after="0"/>
              <w:rPr>
                <w:rFonts w:hint="eastAsia"/>
              </w:rPr>
            </w:pPr>
            <w:r>
              <w:rPr>
                <w:sz w:val="18"/>
              </w:rPr>
              <w:t>Vigo et al. 2013</w:t>
            </w:r>
          </w:p>
        </w:tc>
        <w:tc>
          <w:tcPr>
            <w:tcW w:w="3600" w:type="dxa"/>
            <w:shd w:val="clear" w:color="auto" w:fill="FFFFFF"/>
            <w:tcMar>
              <w:top w:w="110" w:type="dxa"/>
              <w:left w:w="120" w:type="dxa"/>
              <w:bottom w:w="110" w:type="dxa"/>
              <w:right w:w="120" w:type="dxa"/>
            </w:tcMar>
            <w:vAlign w:val="center"/>
          </w:tcPr>
          <w:p w14:paraId="56F4A3ED" w14:textId="77777777" w:rsidR="003B5F9A" w:rsidRDefault="00000000">
            <w:pPr>
              <w:spacing w:after="0"/>
              <w:rPr>
                <w:rFonts w:hint="eastAsia"/>
              </w:rPr>
            </w:pPr>
            <w:r>
              <w:rPr>
                <w:sz w:val="18"/>
              </w:rPr>
              <w:t>Measured coverage and correctness of six tools</w:t>
            </w:r>
          </w:p>
        </w:tc>
        <w:tc>
          <w:tcPr>
            <w:tcW w:w="3960" w:type="dxa"/>
            <w:shd w:val="clear" w:color="auto" w:fill="FFFFFF"/>
            <w:tcMar>
              <w:top w:w="110" w:type="dxa"/>
              <w:left w:w="120" w:type="dxa"/>
              <w:bottom w:w="110" w:type="dxa"/>
              <w:right w:w="120" w:type="dxa"/>
            </w:tcMar>
            <w:vAlign w:val="center"/>
          </w:tcPr>
          <w:p w14:paraId="0241A14E" w14:textId="77777777" w:rsidR="003B5F9A" w:rsidRDefault="00000000">
            <w:pPr>
              <w:spacing w:after="0"/>
              <w:rPr>
                <w:rFonts w:hint="eastAsia"/>
              </w:rPr>
            </w:pPr>
            <w:r>
              <w:rPr>
                <w:sz w:val="18"/>
              </w:rPr>
              <w:t>Shows risk of relying only on automated scanners</w:t>
            </w:r>
          </w:p>
        </w:tc>
      </w:tr>
      <w:tr w:rsidR="003B5F9A" w14:paraId="30ED3331" w14:textId="77777777">
        <w:trPr>
          <w:cantSplit/>
          <w:jc w:val="center"/>
        </w:trPr>
        <w:tc>
          <w:tcPr>
            <w:tcW w:w="2232" w:type="dxa"/>
            <w:tcMar>
              <w:top w:w="110" w:type="dxa"/>
              <w:left w:w="120" w:type="dxa"/>
              <w:bottom w:w="110" w:type="dxa"/>
              <w:right w:w="120" w:type="dxa"/>
            </w:tcMar>
            <w:vAlign w:val="center"/>
          </w:tcPr>
          <w:p w14:paraId="68B9ED45" w14:textId="77777777" w:rsidR="003B5F9A" w:rsidRDefault="00000000">
            <w:pPr>
              <w:spacing w:after="0"/>
              <w:rPr>
                <w:rFonts w:hint="eastAsia"/>
              </w:rPr>
            </w:pPr>
            <w:r>
              <w:rPr>
                <w:sz w:val="18"/>
              </w:rPr>
              <w:t>Ara et al. 2024</w:t>
            </w:r>
          </w:p>
        </w:tc>
        <w:tc>
          <w:tcPr>
            <w:tcW w:w="3600" w:type="dxa"/>
            <w:tcMar>
              <w:top w:w="110" w:type="dxa"/>
              <w:left w:w="120" w:type="dxa"/>
              <w:bottom w:w="110" w:type="dxa"/>
              <w:right w:w="120" w:type="dxa"/>
            </w:tcMar>
            <w:vAlign w:val="center"/>
          </w:tcPr>
          <w:p w14:paraId="3FD06CBF" w14:textId="77777777" w:rsidR="003B5F9A" w:rsidRDefault="00000000">
            <w:pPr>
              <w:spacing w:after="0"/>
              <w:rPr>
                <w:rFonts w:hint="eastAsia"/>
              </w:rPr>
            </w:pPr>
            <w:r>
              <w:rPr>
                <w:sz w:val="18"/>
              </w:rPr>
              <w:t>Review of 92 accessibility-evaluation studies</w:t>
            </w:r>
          </w:p>
        </w:tc>
        <w:tc>
          <w:tcPr>
            <w:tcW w:w="3960" w:type="dxa"/>
            <w:tcMar>
              <w:top w:w="110" w:type="dxa"/>
              <w:left w:w="120" w:type="dxa"/>
              <w:bottom w:w="110" w:type="dxa"/>
              <w:right w:w="120" w:type="dxa"/>
            </w:tcMar>
            <w:vAlign w:val="center"/>
          </w:tcPr>
          <w:p w14:paraId="39E8BED1" w14:textId="77777777" w:rsidR="003B5F9A" w:rsidRDefault="00000000">
            <w:pPr>
              <w:spacing w:after="0"/>
              <w:rPr>
                <w:rFonts w:hint="eastAsia"/>
              </w:rPr>
            </w:pPr>
            <w:r>
              <w:rPr>
                <w:sz w:val="18"/>
              </w:rPr>
              <w:t>Reports diverse tools and continuing evaluation gaps</w:t>
            </w:r>
          </w:p>
        </w:tc>
      </w:tr>
      <w:tr w:rsidR="003B5F9A" w14:paraId="796FC7B9" w14:textId="77777777">
        <w:trPr>
          <w:cantSplit/>
          <w:jc w:val="center"/>
        </w:trPr>
        <w:tc>
          <w:tcPr>
            <w:tcW w:w="2232" w:type="dxa"/>
            <w:shd w:val="clear" w:color="auto" w:fill="FFFFFF"/>
            <w:tcMar>
              <w:top w:w="110" w:type="dxa"/>
              <w:left w:w="120" w:type="dxa"/>
              <w:bottom w:w="110" w:type="dxa"/>
              <w:right w:w="120" w:type="dxa"/>
            </w:tcMar>
            <w:vAlign w:val="center"/>
          </w:tcPr>
          <w:p w14:paraId="16D19B6C" w14:textId="77777777" w:rsidR="003B5F9A" w:rsidRDefault="00000000">
            <w:pPr>
              <w:spacing w:after="0"/>
              <w:rPr>
                <w:rFonts w:hint="eastAsia"/>
              </w:rPr>
            </w:pPr>
            <w:r>
              <w:rPr>
                <w:sz w:val="18"/>
              </w:rPr>
              <w:t>Pool 2023</w:t>
            </w:r>
          </w:p>
        </w:tc>
        <w:tc>
          <w:tcPr>
            <w:tcW w:w="3600" w:type="dxa"/>
            <w:shd w:val="clear" w:color="auto" w:fill="FFFFFF"/>
            <w:tcMar>
              <w:top w:w="110" w:type="dxa"/>
              <w:left w:w="120" w:type="dxa"/>
              <w:bottom w:w="110" w:type="dxa"/>
              <w:right w:w="120" w:type="dxa"/>
            </w:tcMar>
            <w:vAlign w:val="center"/>
          </w:tcPr>
          <w:p w14:paraId="02442FB1" w14:textId="77777777" w:rsidR="003B5F9A" w:rsidRDefault="00000000">
            <w:pPr>
              <w:spacing w:after="0"/>
              <w:rPr>
                <w:rFonts w:hint="eastAsia"/>
              </w:rPr>
            </w:pPr>
            <w:r>
              <w:rPr>
                <w:sz w:val="18"/>
              </w:rPr>
              <w:t>Compared nine tools on 121 pages</w:t>
            </w:r>
          </w:p>
        </w:tc>
        <w:tc>
          <w:tcPr>
            <w:tcW w:w="3960" w:type="dxa"/>
            <w:shd w:val="clear" w:color="auto" w:fill="FFFFFF"/>
            <w:tcMar>
              <w:top w:w="110" w:type="dxa"/>
              <w:left w:w="120" w:type="dxa"/>
              <w:bottom w:w="110" w:type="dxa"/>
              <w:right w:w="120" w:type="dxa"/>
            </w:tcMar>
            <w:vAlign w:val="center"/>
          </w:tcPr>
          <w:p w14:paraId="0CE64849" w14:textId="77777777" w:rsidR="003B5F9A" w:rsidRDefault="00000000">
            <w:pPr>
              <w:spacing w:after="0"/>
              <w:rPr>
                <w:rFonts w:hint="eastAsia"/>
              </w:rPr>
            </w:pPr>
            <w:r>
              <w:rPr>
                <w:sz w:val="18"/>
              </w:rPr>
              <w:t>Tools were complementary rather than complete</w:t>
            </w:r>
          </w:p>
        </w:tc>
      </w:tr>
      <w:tr w:rsidR="003B5F9A" w14:paraId="048A8F26" w14:textId="77777777">
        <w:trPr>
          <w:cantSplit/>
          <w:jc w:val="center"/>
        </w:trPr>
        <w:tc>
          <w:tcPr>
            <w:tcW w:w="2232" w:type="dxa"/>
            <w:tcMar>
              <w:top w:w="110" w:type="dxa"/>
              <w:left w:w="120" w:type="dxa"/>
              <w:bottom w:w="110" w:type="dxa"/>
              <w:right w:w="120" w:type="dxa"/>
            </w:tcMar>
            <w:vAlign w:val="center"/>
          </w:tcPr>
          <w:p w14:paraId="504E05AC" w14:textId="77777777" w:rsidR="003B5F9A" w:rsidRDefault="00000000">
            <w:pPr>
              <w:spacing w:after="0"/>
              <w:rPr>
                <w:rFonts w:hint="eastAsia"/>
              </w:rPr>
            </w:pPr>
            <w:r>
              <w:rPr>
                <w:sz w:val="18"/>
              </w:rPr>
              <w:t>Lopez-Gil and Pereira 2025</w:t>
            </w:r>
          </w:p>
        </w:tc>
        <w:tc>
          <w:tcPr>
            <w:tcW w:w="3600" w:type="dxa"/>
            <w:tcMar>
              <w:top w:w="110" w:type="dxa"/>
              <w:left w:w="120" w:type="dxa"/>
              <w:bottom w:w="110" w:type="dxa"/>
              <w:right w:w="120" w:type="dxa"/>
            </w:tcMar>
            <w:vAlign w:val="center"/>
          </w:tcPr>
          <w:p w14:paraId="5C3C83C1" w14:textId="77777777" w:rsidR="003B5F9A" w:rsidRDefault="00000000">
            <w:pPr>
              <w:spacing w:after="0"/>
              <w:rPr>
                <w:rFonts w:hint="eastAsia"/>
              </w:rPr>
            </w:pPr>
            <w:r>
              <w:rPr>
                <w:sz w:val="18"/>
              </w:rPr>
              <w:t>LLM checks for three manual WCAG criteria</w:t>
            </w:r>
          </w:p>
        </w:tc>
        <w:tc>
          <w:tcPr>
            <w:tcW w:w="3960" w:type="dxa"/>
            <w:tcMar>
              <w:top w:w="110" w:type="dxa"/>
              <w:left w:w="120" w:type="dxa"/>
              <w:bottom w:w="110" w:type="dxa"/>
              <w:right w:w="120" w:type="dxa"/>
            </w:tcMar>
            <w:vAlign w:val="center"/>
          </w:tcPr>
          <w:p w14:paraId="18976F03" w14:textId="77777777" w:rsidR="003B5F9A" w:rsidRDefault="00000000">
            <w:pPr>
              <w:spacing w:after="0"/>
              <w:rPr>
                <w:rFonts w:hint="eastAsia"/>
              </w:rPr>
            </w:pPr>
            <w:r>
              <w:rPr>
                <w:sz w:val="18"/>
              </w:rPr>
              <w:t>Selected criteria; not multi-step task completion</w:t>
            </w:r>
          </w:p>
        </w:tc>
      </w:tr>
      <w:tr w:rsidR="003B5F9A" w14:paraId="13DD2F5A" w14:textId="77777777">
        <w:trPr>
          <w:cantSplit/>
          <w:jc w:val="center"/>
        </w:trPr>
        <w:tc>
          <w:tcPr>
            <w:tcW w:w="2232" w:type="dxa"/>
            <w:shd w:val="clear" w:color="auto" w:fill="FFFFFF"/>
            <w:tcMar>
              <w:top w:w="110" w:type="dxa"/>
              <w:left w:w="120" w:type="dxa"/>
              <w:bottom w:w="110" w:type="dxa"/>
              <w:right w:w="120" w:type="dxa"/>
            </w:tcMar>
            <w:vAlign w:val="center"/>
          </w:tcPr>
          <w:p w14:paraId="52A25C1A" w14:textId="77777777" w:rsidR="003B5F9A" w:rsidRDefault="00000000">
            <w:pPr>
              <w:spacing w:after="0"/>
              <w:rPr>
                <w:rFonts w:hint="eastAsia"/>
              </w:rPr>
            </w:pPr>
            <w:r>
              <w:rPr>
                <w:sz w:val="18"/>
              </w:rPr>
              <w:t>Vera-Amaro and Rojano-Caceres 2025</w:t>
            </w:r>
          </w:p>
        </w:tc>
        <w:tc>
          <w:tcPr>
            <w:tcW w:w="3600" w:type="dxa"/>
            <w:shd w:val="clear" w:color="auto" w:fill="FFFFFF"/>
            <w:tcMar>
              <w:top w:w="110" w:type="dxa"/>
              <w:left w:w="120" w:type="dxa"/>
              <w:bottom w:w="110" w:type="dxa"/>
              <w:right w:w="120" w:type="dxa"/>
            </w:tcMar>
            <w:vAlign w:val="center"/>
          </w:tcPr>
          <w:p w14:paraId="39B42D3C" w14:textId="77777777" w:rsidR="003B5F9A" w:rsidRDefault="00000000">
            <w:pPr>
              <w:spacing w:after="0"/>
              <w:rPr>
                <w:rFonts w:hint="eastAsia"/>
              </w:rPr>
            </w:pPr>
            <w:r>
              <w:rPr>
                <w:sz w:val="18"/>
              </w:rPr>
              <w:t>Review of AI for web accessibility</w:t>
            </w:r>
          </w:p>
        </w:tc>
        <w:tc>
          <w:tcPr>
            <w:tcW w:w="3960" w:type="dxa"/>
            <w:shd w:val="clear" w:color="auto" w:fill="FFFFFF"/>
            <w:tcMar>
              <w:top w:w="110" w:type="dxa"/>
              <w:left w:w="120" w:type="dxa"/>
              <w:bottom w:w="110" w:type="dxa"/>
              <w:right w:w="120" w:type="dxa"/>
            </w:tcMar>
            <w:vAlign w:val="center"/>
          </w:tcPr>
          <w:p w14:paraId="50381DD4" w14:textId="77777777" w:rsidR="003B5F9A" w:rsidRDefault="00000000">
            <w:pPr>
              <w:spacing w:after="0"/>
              <w:rPr>
                <w:rFonts w:hint="eastAsia"/>
              </w:rPr>
            </w:pPr>
            <w:r>
              <w:rPr>
                <w:sz w:val="18"/>
              </w:rPr>
              <w:t>Inconsistent compliance and limited non-visual coverage</w:t>
            </w:r>
          </w:p>
        </w:tc>
      </w:tr>
      <w:tr w:rsidR="003B5F9A" w14:paraId="5A9F1664" w14:textId="77777777">
        <w:trPr>
          <w:cantSplit/>
          <w:jc w:val="center"/>
        </w:trPr>
        <w:tc>
          <w:tcPr>
            <w:tcW w:w="2232" w:type="dxa"/>
            <w:tcMar>
              <w:top w:w="110" w:type="dxa"/>
              <w:left w:w="120" w:type="dxa"/>
              <w:bottom w:w="110" w:type="dxa"/>
              <w:right w:w="120" w:type="dxa"/>
            </w:tcMar>
            <w:vAlign w:val="center"/>
          </w:tcPr>
          <w:p w14:paraId="276E414D" w14:textId="77777777" w:rsidR="003B5F9A" w:rsidRDefault="00000000">
            <w:pPr>
              <w:spacing w:after="0"/>
              <w:rPr>
                <w:rFonts w:hint="eastAsia"/>
              </w:rPr>
            </w:pPr>
            <w:r>
              <w:rPr>
                <w:sz w:val="18"/>
              </w:rPr>
              <w:t>Aljedaani and Mollik 2026</w:t>
            </w:r>
          </w:p>
        </w:tc>
        <w:tc>
          <w:tcPr>
            <w:tcW w:w="3600" w:type="dxa"/>
            <w:tcMar>
              <w:top w:w="110" w:type="dxa"/>
              <w:left w:w="120" w:type="dxa"/>
              <w:bottom w:w="110" w:type="dxa"/>
              <w:right w:w="120" w:type="dxa"/>
            </w:tcMar>
            <w:vAlign w:val="center"/>
          </w:tcPr>
          <w:p w14:paraId="4BCBE3E4" w14:textId="77777777" w:rsidR="003B5F9A" w:rsidRDefault="00000000">
            <w:pPr>
              <w:spacing w:after="0"/>
              <w:rPr>
                <w:rFonts w:hint="eastAsia"/>
              </w:rPr>
            </w:pPr>
            <w:r>
              <w:rPr>
                <w:sz w:val="18"/>
              </w:rPr>
              <w:t>Review of 38 LLM-accessibility studies</w:t>
            </w:r>
          </w:p>
        </w:tc>
        <w:tc>
          <w:tcPr>
            <w:tcW w:w="3960" w:type="dxa"/>
            <w:tcMar>
              <w:top w:w="110" w:type="dxa"/>
              <w:left w:w="120" w:type="dxa"/>
              <w:bottom w:w="110" w:type="dxa"/>
              <w:right w:w="120" w:type="dxa"/>
            </w:tcMar>
            <w:vAlign w:val="center"/>
          </w:tcPr>
          <w:p w14:paraId="67F26F27" w14:textId="77777777" w:rsidR="003B5F9A" w:rsidRDefault="00000000">
            <w:pPr>
              <w:spacing w:after="0"/>
              <w:rPr>
                <w:rFonts w:hint="eastAsia"/>
              </w:rPr>
            </w:pPr>
            <w:r>
              <w:rPr>
                <w:sz w:val="18"/>
              </w:rPr>
              <w:t>Concentration on text and explicit structures; varied evaluation</w:t>
            </w:r>
          </w:p>
        </w:tc>
      </w:tr>
      <w:tr w:rsidR="003B5F9A" w14:paraId="6A2E60EF" w14:textId="77777777">
        <w:trPr>
          <w:cantSplit/>
          <w:jc w:val="center"/>
        </w:trPr>
        <w:tc>
          <w:tcPr>
            <w:tcW w:w="2232" w:type="dxa"/>
            <w:shd w:val="clear" w:color="auto" w:fill="FFFFFF"/>
            <w:tcMar>
              <w:top w:w="110" w:type="dxa"/>
              <w:left w:w="120" w:type="dxa"/>
              <w:bottom w:w="110" w:type="dxa"/>
              <w:right w:w="120" w:type="dxa"/>
            </w:tcMar>
            <w:vAlign w:val="center"/>
          </w:tcPr>
          <w:p w14:paraId="242AD166" w14:textId="77777777" w:rsidR="003B5F9A" w:rsidRDefault="00000000">
            <w:pPr>
              <w:spacing w:after="0"/>
              <w:rPr>
                <w:rFonts w:hint="eastAsia"/>
              </w:rPr>
            </w:pPr>
            <w:r>
              <w:rPr>
                <w:sz w:val="18"/>
              </w:rPr>
              <w:t>Yepes-Parra and Escobar-Velasquez 2025</w:t>
            </w:r>
          </w:p>
        </w:tc>
        <w:tc>
          <w:tcPr>
            <w:tcW w:w="3600" w:type="dxa"/>
            <w:shd w:val="clear" w:color="auto" w:fill="FFFFFF"/>
            <w:tcMar>
              <w:top w:w="110" w:type="dxa"/>
              <w:left w:w="120" w:type="dxa"/>
              <w:bottom w:w="110" w:type="dxa"/>
              <w:right w:w="120" w:type="dxa"/>
            </w:tcMar>
            <w:vAlign w:val="center"/>
          </w:tcPr>
          <w:p w14:paraId="19AFEC15" w14:textId="77777777" w:rsidR="003B5F9A" w:rsidRDefault="00000000">
            <w:pPr>
              <w:spacing w:after="0"/>
              <w:rPr>
                <w:rFonts w:hint="eastAsia"/>
              </w:rPr>
            </w:pPr>
            <w:r>
              <w:rPr>
                <w:sz w:val="18"/>
              </w:rPr>
              <w:t>Emerging autonomous interaction framework</w:t>
            </w:r>
          </w:p>
        </w:tc>
        <w:tc>
          <w:tcPr>
            <w:tcW w:w="3960" w:type="dxa"/>
            <w:shd w:val="clear" w:color="auto" w:fill="FFFFFF"/>
            <w:tcMar>
              <w:top w:w="110" w:type="dxa"/>
              <w:left w:w="120" w:type="dxa"/>
              <w:bottom w:w="110" w:type="dxa"/>
              <w:right w:w="120" w:type="dxa"/>
            </w:tcMar>
            <w:vAlign w:val="center"/>
          </w:tcPr>
          <w:p w14:paraId="0D0093AF" w14:textId="77777777" w:rsidR="003B5F9A" w:rsidRDefault="00000000">
            <w:pPr>
              <w:spacing w:after="0"/>
              <w:rPr>
                <w:rFonts w:hint="eastAsia"/>
              </w:rPr>
            </w:pPr>
            <w:r>
              <w:rPr>
                <w:sz w:val="18"/>
              </w:rPr>
              <w:t>Early research with limited standardized benchmarks</w:t>
            </w:r>
          </w:p>
        </w:tc>
      </w:tr>
    </w:tbl>
    <w:p w14:paraId="1049B227" w14:textId="77777777" w:rsidR="003B5F9A" w:rsidRDefault="003B5F9A">
      <w:pPr>
        <w:spacing w:after="0"/>
        <w:rPr>
          <w:rFonts w:hint="eastAsia"/>
        </w:rPr>
      </w:pPr>
    </w:p>
    <w:p w14:paraId="76444946" w14:textId="77777777" w:rsidR="003B5F9A" w:rsidRDefault="00000000">
      <w:pPr>
        <w:pStyle w:val="Heading1"/>
      </w:pPr>
      <w:r>
        <w:t>3 Research Gap</w:t>
      </w:r>
    </w:p>
    <w:p w14:paraId="34BBEABB" w14:textId="77777777" w:rsidR="003B5F9A" w:rsidRDefault="00000000">
      <w:pPr>
        <w:spacing w:after="140" w:line="269" w:lineRule="auto"/>
        <w:rPr>
          <w:rFonts w:hint="eastAsia"/>
        </w:rPr>
      </w:pPr>
      <w:r>
        <w:t>The literature does not support the broad claim that AI has never been used for accessibility. A more defensible gap is the limited evidence on bounded AI agents that must complete a real multi-step journey through a specific accessibility interaction model while deterministic components retain control of safety, execution, outcome classification, and evidence.</w:t>
      </w:r>
    </w:p>
    <w:p w14:paraId="2828DBC8" w14:textId="77777777" w:rsidR="003B5F9A" w:rsidRDefault="00000000">
      <w:pPr>
        <w:spacing w:after="80" w:line="259" w:lineRule="auto"/>
        <w:ind w:left="360" w:hanging="259"/>
        <w:rPr>
          <w:rFonts w:hint="eastAsia"/>
        </w:rPr>
      </w:pPr>
      <w:r>
        <w:t>•</w:t>
      </w:r>
      <w:r>
        <w:tab/>
        <w:t>Page-level checks versus task-level outcomes: scanners identify violations, but users experience success or failure across a sequence of states.</w:t>
      </w:r>
    </w:p>
    <w:p w14:paraId="428444F3" w14:textId="77777777" w:rsidR="003B5F9A" w:rsidRDefault="00000000">
      <w:pPr>
        <w:spacing w:after="80" w:line="259" w:lineRule="auto"/>
        <w:ind w:left="360" w:hanging="259"/>
        <w:rPr>
          <w:rFonts w:hint="eastAsia"/>
        </w:rPr>
      </w:pPr>
      <w:r>
        <w:t>•</w:t>
      </w:r>
      <w:r>
        <w:tab/>
        <w:t>Detection versus interaction: many systems analyze HTML or text without discovering and executing a journey path.</w:t>
      </w:r>
    </w:p>
    <w:p w14:paraId="6755E814" w14:textId="77777777" w:rsidR="003B5F9A" w:rsidRDefault="00000000">
      <w:pPr>
        <w:spacing w:after="80" w:line="259" w:lineRule="auto"/>
        <w:ind w:left="360" w:hanging="259"/>
        <w:rPr>
          <w:rFonts w:hint="eastAsia"/>
        </w:rPr>
      </w:pPr>
      <w:r>
        <w:t>•</w:t>
      </w:r>
      <w:r>
        <w:tab/>
        <w:t>Semantic reasoning versus execution safety: LLMs can reason about intent but may return invalid, repeated, or unsafe actions.</w:t>
      </w:r>
    </w:p>
    <w:p w14:paraId="65B5443E" w14:textId="77777777" w:rsidR="003B5F9A" w:rsidRDefault="00000000">
      <w:pPr>
        <w:spacing w:after="80" w:line="259" w:lineRule="auto"/>
        <w:ind w:left="360" w:hanging="259"/>
        <w:rPr>
          <w:rFonts w:hint="eastAsia"/>
        </w:rPr>
      </w:pPr>
      <w:r>
        <w:t>•</w:t>
      </w:r>
      <w:r>
        <w:tab/>
        <w:t>Finding reports versus reproducible evidence: developers need the exact state, focused element, action, result, and screenshot that produced a barrier.</w:t>
      </w:r>
    </w:p>
    <w:p w14:paraId="7607FDD3" w14:textId="77777777" w:rsidR="003B5F9A" w:rsidRDefault="00000000">
      <w:pPr>
        <w:spacing w:after="80" w:line="259" w:lineRule="auto"/>
        <w:ind w:left="360" w:hanging="259"/>
        <w:rPr>
          <w:rFonts w:hint="eastAsia"/>
        </w:rPr>
      </w:pPr>
      <w:r>
        <w:t>•</w:t>
      </w:r>
      <w:r>
        <w:tab/>
        <w:t>Prototype demonstrations versus controlled benchmarks: comparable accessible and broken versions with known ground truth are still uncommon.</w:t>
      </w:r>
    </w:p>
    <w:p w14:paraId="2BA178CC" w14:textId="77777777" w:rsidR="003B5F9A" w:rsidRDefault="003B5F9A">
      <w:pPr>
        <w:spacing w:after="0"/>
        <w:rPr>
          <w:rFonts w:hint="eastAsia"/>
        </w:rPr>
      </w:pPr>
    </w:p>
    <w:p w14:paraId="6CA3E85F" w14:textId="77777777" w:rsidR="003B5F9A" w:rsidRDefault="00000000">
      <w:pPr>
        <w:spacing w:after="140" w:line="269" w:lineRule="auto"/>
        <w:rPr>
          <w:rFonts w:hint="eastAsia"/>
        </w:rPr>
      </w:pPr>
      <w:r>
        <w:rPr>
          <w:b/>
        </w:rPr>
        <w:t>Research gap statement:</w:t>
      </w:r>
      <w:r>
        <w:t xml:space="preserve"> There is an opportunity for a bounded, evidence-driven framework in which an AI planner selects from permitted keyboard actions, while deterministic browser observation, policy </w:t>
      </w:r>
      <w:r>
        <w:lastRenderedPageBreak/>
        <w:t>validation, completion oracles, and stored evidence remain authoritative. AccessPath AI studies this combination using controlled accessible and broken appointment-booking journeys.</w:t>
      </w:r>
    </w:p>
    <w:p w14:paraId="6716828A" w14:textId="77777777" w:rsidR="003B5F9A" w:rsidRDefault="00000000">
      <w:pPr>
        <w:pStyle w:val="Heading1"/>
      </w:pPr>
      <w:r>
        <w:t>4 Aim, Objectives and Research Questions</w:t>
      </w:r>
    </w:p>
    <w:p w14:paraId="659AD60D" w14:textId="77777777" w:rsidR="003B5F9A" w:rsidRDefault="00000000">
      <w:pPr>
        <w:pStyle w:val="Heading2"/>
      </w:pPr>
      <w:r>
        <w:t>4.1 Aim</w:t>
      </w:r>
    </w:p>
    <w:p w14:paraId="00129C79" w14:textId="77777777" w:rsidR="003B5F9A" w:rsidRDefault="00000000">
      <w:pPr>
        <w:spacing w:after="140" w:line="269" w:lineRule="auto"/>
        <w:rPr>
          <w:rFonts w:hint="eastAsia"/>
        </w:rPr>
      </w:pPr>
      <w:r>
        <w:t>To design and evaluate a safe, repeatable system that determines whether a declared multi-step web journey can be completed using a keyboard-only accessibility profile, with AI-assisted planning and deterministic evidence-based outcomes.</w:t>
      </w:r>
    </w:p>
    <w:p w14:paraId="65098913" w14:textId="77777777" w:rsidR="003B5F9A" w:rsidRDefault="00000000">
      <w:pPr>
        <w:pStyle w:val="Heading2"/>
      </w:pPr>
      <w:r>
        <w:t>4.2 Objectives</w:t>
      </w:r>
    </w:p>
    <w:p w14:paraId="39DC83CF" w14:textId="77777777" w:rsidR="003B5F9A" w:rsidRDefault="00000000">
      <w:pPr>
        <w:spacing w:after="80" w:line="259" w:lineRule="auto"/>
        <w:ind w:left="360" w:hanging="360"/>
        <w:rPr>
          <w:rFonts w:hint="eastAsia"/>
        </w:rPr>
      </w:pPr>
      <w:r>
        <w:t>1.</w:t>
      </w:r>
      <w:r>
        <w:tab/>
        <w:t>Build a controlled accessible journey and a deliberately broken version with known ground truth.</w:t>
      </w:r>
    </w:p>
    <w:p w14:paraId="5BB95E82" w14:textId="77777777" w:rsidR="003B5F9A" w:rsidRDefault="00000000">
      <w:pPr>
        <w:spacing w:after="80" w:line="259" w:lineRule="auto"/>
        <w:ind w:left="360" w:hanging="360"/>
        <w:rPr>
          <w:rFonts w:hint="eastAsia"/>
        </w:rPr>
      </w:pPr>
      <w:r>
        <w:t>2.</w:t>
      </w:r>
      <w:r>
        <w:tab/>
        <w:t>Represent browser observations, keyboard actions, policy decisions, and evidence using strict versioned data contracts.</w:t>
      </w:r>
    </w:p>
    <w:p w14:paraId="716B97E9" w14:textId="77777777" w:rsidR="003B5F9A" w:rsidRDefault="00000000">
      <w:pPr>
        <w:spacing w:after="80" w:line="259" w:lineRule="auto"/>
        <w:ind w:left="360" w:hanging="360"/>
        <w:rPr>
          <w:rFonts w:hint="eastAsia"/>
        </w:rPr>
      </w:pPr>
      <w:r>
        <w:t>3.</w:t>
      </w:r>
      <w:r>
        <w:tab/>
        <w:t>Allow a deterministic planner and selected live-model planners to propose the next bounded keyboard action.</w:t>
      </w:r>
    </w:p>
    <w:p w14:paraId="47AFBB0F" w14:textId="77777777" w:rsidR="003B5F9A" w:rsidRDefault="00000000">
      <w:pPr>
        <w:spacing w:after="80" w:line="259" w:lineRule="auto"/>
        <w:ind w:left="360" w:hanging="360"/>
        <w:rPr>
          <w:rFonts w:hint="eastAsia"/>
        </w:rPr>
      </w:pPr>
      <w:r>
        <w:t>4.</w:t>
      </w:r>
      <w:r>
        <w:tab/>
        <w:t>Validate every proposal through deterministic safety and focus rules before browser execution.</w:t>
      </w:r>
    </w:p>
    <w:p w14:paraId="3BA7FA34" w14:textId="77777777" w:rsidR="003B5F9A" w:rsidRDefault="00000000">
      <w:pPr>
        <w:spacing w:after="80" w:line="259" w:lineRule="auto"/>
        <w:ind w:left="360" w:hanging="360"/>
        <w:rPr>
          <w:rFonts w:hint="eastAsia"/>
        </w:rPr>
      </w:pPr>
      <w:r>
        <w:t>5.</w:t>
      </w:r>
      <w:r>
        <w:tab/>
        <w:t>Classify journey outcomes using observable completion and barrier conditions rather than model opinion.</w:t>
      </w:r>
    </w:p>
    <w:p w14:paraId="363668DE" w14:textId="77777777" w:rsidR="003B5F9A" w:rsidRDefault="00000000">
      <w:pPr>
        <w:spacing w:after="80" w:line="259" w:lineRule="auto"/>
        <w:ind w:left="360" w:hanging="360"/>
        <w:rPr>
          <w:rFonts w:hint="eastAsia"/>
        </w:rPr>
      </w:pPr>
      <w:r>
        <w:t>6.</w:t>
      </w:r>
      <w:r>
        <w:tab/>
        <w:t>Store step-level evidence that enables reproduction and human review.</w:t>
      </w:r>
    </w:p>
    <w:p w14:paraId="6061ED87" w14:textId="77777777" w:rsidR="003B5F9A" w:rsidRDefault="00000000">
      <w:pPr>
        <w:spacing w:after="80" w:line="259" w:lineRule="auto"/>
        <w:ind w:left="360" w:hanging="360"/>
        <w:rPr>
          <w:rFonts w:hint="eastAsia"/>
        </w:rPr>
      </w:pPr>
      <w:r>
        <w:t>7.</w:t>
      </w:r>
      <w:r>
        <w:tab/>
        <w:t>Measure task completion, correct blocking, false completion, fallback use, and repeated-run agreement.</w:t>
      </w:r>
    </w:p>
    <w:p w14:paraId="27E24EED" w14:textId="77777777" w:rsidR="003B5F9A" w:rsidRDefault="00000000">
      <w:pPr>
        <w:pStyle w:val="Heading2"/>
      </w:pPr>
      <w:r>
        <w:t>4.3 Research Questions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8640"/>
      </w:tblGrid>
      <w:tr w:rsidR="003B5F9A" w14:paraId="692CDA6F" w14:textId="77777777">
        <w:trPr>
          <w:cantSplit/>
          <w:tblHeader/>
          <w:jc w:val="center"/>
        </w:trPr>
        <w:tc>
          <w:tcPr>
            <w:tcW w:w="1152" w:type="dxa"/>
            <w:shd w:val="clear" w:color="auto" w:fill="FFFFFF"/>
            <w:tcMar>
              <w:top w:w="110" w:type="dxa"/>
              <w:left w:w="120" w:type="dxa"/>
              <w:bottom w:w="110" w:type="dxa"/>
              <w:right w:w="120" w:type="dxa"/>
            </w:tcMar>
            <w:vAlign w:val="center"/>
          </w:tcPr>
          <w:p w14:paraId="2FFAAFBE" w14:textId="77777777" w:rsidR="003B5F9A" w:rsidRDefault="00000000">
            <w:pPr>
              <w:jc w:val="center"/>
              <w:rPr>
                <w:rFonts w:hint="eastAsia"/>
              </w:rPr>
            </w:pPr>
            <w:r>
              <w:rPr>
                <w:b/>
                <w:sz w:val="19"/>
              </w:rPr>
              <w:t>ID</w:t>
            </w:r>
          </w:p>
        </w:tc>
        <w:tc>
          <w:tcPr>
            <w:tcW w:w="8640" w:type="dxa"/>
            <w:shd w:val="clear" w:color="auto" w:fill="FFFFFF"/>
            <w:tcMar>
              <w:top w:w="110" w:type="dxa"/>
              <w:left w:w="120" w:type="dxa"/>
              <w:bottom w:w="110" w:type="dxa"/>
              <w:right w:w="120" w:type="dxa"/>
            </w:tcMar>
            <w:vAlign w:val="center"/>
          </w:tcPr>
          <w:p w14:paraId="3F34D71A" w14:textId="77777777" w:rsidR="003B5F9A" w:rsidRDefault="00000000">
            <w:pPr>
              <w:jc w:val="center"/>
              <w:rPr>
                <w:rFonts w:hint="eastAsia"/>
              </w:rPr>
            </w:pPr>
            <w:r>
              <w:rPr>
                <w:b/>
                <w:sz w:val="19"/>
              </w:rPr>
              <w:t>Research question</w:t>
            </w:r>
          </w:p>
        </w:tc>
      </w:tr>
      <w:tr w:rsidR="003B5F9A" w14:paraId="4B5A2782" w14:textId="77777777">
        <w:trPr>
          <w:cantSplit/>
          <w:jc w:val="center"/>
        </w:trPr>
        <w:tc>
          <w:tcPr>
            <w:tcW w:w="1152" w:type="dxa"/>
            <w:tcMar>
              <w:top w:w="110" w:type="dxa"/>
              <w:left w:w="120" w:type="dxa"/>
              <w:bottom w:w="110" w:type="dxa"/>
              <w:right w:w="120" w:type="dxa"/>
            </w:tcMar>
            <w:vAlign w:val="center"/>
          </w:tcPr>
          <w:p w14:paraId="78C4B3EE" w14:textId="77777777" w:rsidR="003B5F9A" w:rsidRDefault="00000000">
            <w:pPr>
              <w:spacing w:after="0"/>
              <w:rPr>
                <w:rFonts w:hint="eastAsia"/>
              </w:rPr>
            </w:pPr>
            <w:r>
              <w:rPr>
                <w:sz w:val="18"/>
              </w:rPr>
              <w:t>RQ1</w:t>
            </w:r>
          </w:p>
        </w:tc>
        <w:tc>
          <w:tcPr>
            <w:tcW w:w="8640" w:type="dxa"/>
            <w:tcMar>
              <w:top w:w="110" w:type="dxa"/>
              <w:left w:w="120" w:type="dxa"/>
              <w:bottom w:w="110" w:type="dxa"/>
              <w:right w:w="120" w:type="dxa"/>
            </w:tcMar>
            <w:vAlign w:val="center"/>
          </w:tcPr>
          <w:p w14:paraId="2D37A8F9" w14:textId="77777777" w:rsidR="003B5F9A" w:rsidRDefault="00000000">
            <w:pPr>
              <w:spacing w:after="0"/>
              <w:rPr>
                <w:rFonts w:hint="eastAsia"/>
              </w:rPr>
            </w:pPr>
            <w:r>
              <w:rPr>
                <w:sz w:val="18"/>
              </w:rPr>
              <w:t>Can a bounded AI planner complete a multi-step web task using only permitted keyboard interactions?</w:t>
            </w:r>
          </w:p>
        </w:tc>
      </w:tr>
      <w:tr w:rsidR="003B5F9A" w14:paraId="6FF279E2" w14:textId="77777777">
        <w:trPr>
          <w:cantSplit/>
          <w:jc w:val="center"/>
        </w:trPr>
        <w:tc>
          <w:tcPr>
            <w:tcW w:w="1152" w:type="dxa"/>
            <w:shd w:val="clear" w:color="auto" w:fill="FFFFFF"/>
            <w:tcMar>
              <w:top w:w="110" w:type="dxa"/>
              <w:left w:w="120" w:type="dxa"/>
              <w:bottom w:w="110" w:type="dxa"/>
              <w:right w:w="120" w:type="dxa"/>
            </w:tcMar>
            <w:vAlign w:val="center"/>
          </w:tcPr>
          <w:p w14:paraId="5CAA71E7" w14:textId="77777777" w:rsidR="003B5F9A" w:rsidRDefault="00000000">
            <w:pPr>
              <w:spacing w:after="0"/>
              <w:rPr>
                <w:rFonts w:hint="eastAsia"/>
              </w:rPr>
            </w:pPr>
            <w:r>
              <w:rPr>
                <w:sz w:val="18"/>
              </w:rPr>
              <w:t>RQ2</w:t>
            </w:r>
          </w:p>
        </w:tc>
        <w:tc>
          <w:tcPr>
            <w:tcW w:w="8640" w:type="dxa"/>
            <w:shd w:val="clear" w:color="auto" w:fill="FFFFFF"/>
            <w:tcMar>
              <w:top w:w="110" w:type="dxa"/>
              <w:left w:w="120" w:type="dxa"/>
              <w:bottom w:w="110" w:type="dxa"/>
              <w:right w:w="120" w:type="dxa"/>
            </w:tcMar>
            <w:vAlign w:val="center"/>
          </w:tcPr>
          <w:p w14:paraId="11E0964B" w14:textId="77777777" w:rsidR="003B5F9A" w:rsidRDefault="00000000">
            <w:pPr>
              <w:spacing w:after="0"/>
              <w:rPr>
                <w:rFonts w:hint="eastAsia"/>
              </w:rPr>
            </w:pPr>
            <w:r>
              <w:rPr>
                <w:sz w:val="18"/>
              </w:rPr>
              <w:t>Can journey-level execution identify keyboard barriers that are not adequately represented by a single page scan?</w:t>
            </w:r>
          </w:p>
        </w:tc>
      </w:tr>
      <w:tr w:rsidR="003B5F9A" w14:paraId="46527B4C" w14:textId="77777777">
        <w:trPr>
          <w:cantSplit/>
          <w:jc w:val="center"/>
        </w:trPr>
        <w:tc>
          <w:tcPr>
            <w:tcW w:w="1152" w:type="dxa"/>
            <w:tcMar>
              <w:top w:w="110" w:type="dxa"/>
              <w:left w:w="120" w:type="dxa"/>
              <w:bottom w:w="110" w:type="dxa"/>
              <w:right w:w="120" w:type="dxa"/>
            </w:tcMar>
            <w:vAlign w:val="center"/>
          </w:tcPr>
          <w:p w14:paraId="443ACD9C" w14:textId="77777777" w:rsidR="003B5F9A" w:rsidRDefault="00000000">
            <w:pPr>
              <w:spacing w:after="0"/>
              <w:rPr>
                <w:rFonts w:hint="eastAsia"/>
              </w:rPr>
            </w:pPr>
            <w:r>
              <w:rPr>
                <w:sz w:val="18"/>
              </w:rPr>
              <w:t>RQ3</w:t>
            </w:r>
          </w:p>
        </w:tc>
        <w:tc>
          <w:tcPr>
            <w:tcW w:w="8640" w:type="dxa"/>
            <w:tcMar>
              <w:top w:w="110" w:type="dxa"/>
              <w:left w:w="120" w:type="dxa"/>
              <w:bottom w:w="110" w:type="dxa"/>
              <w:right w:w="120" w:type="dxa"/>
            </w:tcMar>
            <w:vAlign w:val="center"/>
          </w:tcPr>
          <w:p w14:paraId="1EEEB2EA" w14:textId="77777777" w:rsidR="003B5F9A" w:rsidRDefault="00000000">
            <w:pPr>
              <w:spacing w:after="0"/>
              <w:rPr>
                <w:rFonts w:hint="eastAsia"/>
              </w:rPr>
            </w:pPr>
            <w:r>
              <w:rPr>
                <w:sz w:val="18"/>
              </w:rPr>
              <w:t>Does deterministic policy validation prevent invalid or unsafe model actions from reaching the browser?</w:t>
            </w:r>
          </w:p>
        </w:tc>
      </w:tr>
      <w:tr w:rsidR="003B5F9A" w14:paraId="3047D6B2" w14:textId="77777777">
        <w:trPr>
          <w:cantSplit/>
          <w:jc w:val="center"/>
        </w:trPr>
        <w:tc>
          <w:tcPr>
            <w:tcW w:w="1152" w:type="dxa"/>
            <w:shd w:val="clear" w:color="auto" w:fill="FFFFFF"/>
            <w:tcMar>
              <w:top w:w="110" w:type="dxa"/>
              <w:left w:w="120" w:type="dxa"/>
              <w:bottom w:w="110" w:type="dxa"/>
              <w:right w:w="120" w:type="dxa"/>
            </w:tcMar>
            <w:vAlign w:val="center"/>
          </w:tcPr>
          <w:p w14:paraId="6550E69A" w14:textId="77777777" w:rsidR="003B5F9A" w:rsidRDefault="00000000">
            <w:pPr>
              <w:spacing w:after="0"/>
              <w:rPr>
                <w:rFonts w:hint="eastAsia"/>
              </w:rPr>
            </w:pPr>
            <w:r>
              <w:rPr>
                <w:sz w:val="18"/>
              </w:rPr>
              <w:t>RQ4</w:t>
            </w:r>
          </w:p>
        </w:tc>
        <w:tc>
          <w:tcPr>
            <w:tcW w:w="8640" w:type="dxa"/>
            <w:shd w:val="clear" w:color="auto" w:fill="FFFFFF"/>
            <w:tcMar>
              <w:top w:w="110" w:type="dxa"/>
              <w:left w:w="120" w:type="dxa"/>
              <w:bottom w:w="110" w:type="dxa"/>
              <w:right w:w="120" w:type="dxa"/>
            </w:tcMar>
            <w:vAlign w:val="center"/>
          </w:tcPr>
          <w:p w14:paraId="6BAB9389" w14:textId="77777777" w:rsidR="003B5F9A" w:rsidRDefault="00000000">
            <w:pPr>
              <w:spacing w:after="0"/>
              <w:rPr>
                <w:rFonts w:hint="eastAsia"/>
              </w:rPr>
            </w:pPr>
            <w:r>
              <w:rPr>
                <w:sz w:val="18"/>
              </w:rPr>
              <w:t>How reliably can the system distinguish completion, accessibility blocking, provider failure, environment failure, and inconclusive results?</w:t>
            </w:r>
          </w:p>
        </w:tc>
      </w:tr>
      <w:tr w:rsidR="003B5F9A" w14:paraId="5F3356A8" w14:textId="77777777">
        <w:trPr>
          <w:cantSplit/>
          <w:jc w:val="center"/>
        </w:trPr>
        <w:tc>
          <w:tcPr>
            <w:tcW w:w="1152" w:type="dxa"/>
            <w:tcMar>
              <w:top w:w="110" w:type="dxa"/>
              <w:left w:w="120" w:type="dxa"/>
              <w:bottom w:w="110" w:type="dxa"/>
              <w:right w:w="120" w:type="dxa"/>
            </w:tcMar>
            <w:vAlign w:val="center"/>
          </w:tcPr>
          <w:p w14:paraId="4F04421B" w14:textId="77777777" w:rsidR="003B5F9A" w:rsidRDefault="00000000">
            <w:pPr>
              <w:spacing w:after="0"/>
              <w:rPr>
                <w:rFonts w:hint="eastAsia"/>
              </w:rPr>
            </w:pPr>
            <w:r>
              <w:rPr>
                <w:sz w:val="18"/>
              </w:rPr>
              <w:t>RQ5</w:t>
            </w:r>
          </w:p>
        </w:tc>
        <w:tc>
          <w:tcPr>
            <w:tcW w:w="8640" w:type="dxa"/>
            <w:tcMar>
              <w:top w:w="110" w:type="dxa"/>
              <w:left w:w="120" w:type="dxa"/>
              <w:bottom w:w="110" w:type="dxa"/>
              <w:right w:w="120" w:type="dxa"/>
            </w:tcMar>
            <w:vAlign w:val="center"/>
          </w:tcPr>
          <w:p w14:paraId="7168DEAC" w14:textId="77777777" w:rsidR="003B5F9A" w:rsidRDefault="00000000">
            <w:pPr>
              <w:spacing w:after="0"/>
              <w:rPr>
                <w:rFonts w:hint="eastAsia"/>
              </w:rPr>
            </w:pPr>
            <w:r>
              <w:rPr>
                <w:sz w:val="18"/>
              </w:rPr>
              <w:t>Does step-level evidence improve reproducibility and human review of reported barriers?</w:t>
            </w:r>
          </w:p>
        </w:tc>
      </w:tr>
    </w:tbl>
    <w:p w14:paraId="4F9053B5" w14:textId="77777777" w:rsidR="003B5F9A" w:rsidRDefault="003B5F9A">
      <w:pPr>
        <w:spacing w:after="0"/>
        <w:rPr>
          <w:rFonts w:hint="eastAsia"/>
        </w:rPr>
      </w:pPr>
    </w:p>
    <w:p w14:paraId="6EE81713" w14:textId="77777777" w:rsidR="003B5F9A" w:rsidRDefault="00000000">
      <w:pPr>
        <w:pStyle w:val="Heading1"/>
      </w:pPr>
      <w:r>
        <w:lastRenderedPageBreak/>
        <w:t>5 Proposed Methodology</w:t>
      </w:r>
    </w:p>
    <w:p w14:paraId="58CA2950" w14:textId="77777777" w:rsidR="003B5F9A" w:rsidRDefault="00000000">
      <w:pPr>
        <w:pStyle w:val="Heading2"/>
      </w:pPr>
      <w:r>
        <w:t>5.1 Research Design</w:t>
      </w:r>
    </w:p>
    <w:p w14:paraId="5E9FD42D" w14:textId="77777777" w:rsidR="003B5F9A" w:rsidRDefault="00000000">
      <w:pPr>
        <w:spacing w:after="140" w:line="269" w:lineRule="auto"/>
        <w:rPr>
          <w:rFonts w:hint="eastAsia"/>
        </w:rPr>
      </w:pPr>
      <w:r>
        <w:t>The study follows a design-and-evaluate approach. First, the team builds a bounded prototype and controlled test environment. Second, the same declared task is executed against accessible and broken journey variants. Third, outcomes are compared with known ground truth and reviewed through stored evidence. The study treats AI as a planner, not as the authority for safety or completion.</w:t>
      </w:r>
    </w:p>
    <w:p w14:paraId="349BB4B0" w14:textId="77777777" w:rsidR="003B5F9A" w:rsidRDefault="00000000">
      <w:pPr>
        <w:pStyle w:val="Heading2"/>
      </w:pPr>
      <w:r>
        <w:t>5.2 Dataset and Test Environment</w:t>
      </w:r>
    </w:p>
    <w:p w14:paraId="546FA4D2" w14:textId="77777777" w:rsidR="003B5F9A" w:rsidRDefault="00000000">
      <w:pPr>
        <w:spacing w:after="140" w:line="269" w:lineRule="auto"/>
        <w:rPr>
          <w:rFonts w:hint="eastAsia"/>
        </w:rPr>
      </w:pPr>
      <w:r>
        <w:t>The Phase 1 dataset is a versioned set of controlled appointment-booking fixtures. The accessible fixture supports keyboard completion. The broken control contains one declared barrier: the appointment time-slot control cannot be reached or operated through the permitted keyboard path. All form values are synthetic. No real patient or personal data is required. Controlled fixtures provide known ground truth and make repeated runs comparable.</w:t>
      </w:r>
    </w:p>
    <w:p w14:paraId="5A12E0CF" w14:textId="77777777" w:rsidR="003B5F9A" w:rsidRDefault="00000000">
      <w:pPr>
        <w:pStyle w:val="Heading2"/>
      </w:pPr>
      <w:r>
        <w:t>5.3 System Flow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8136"/>
      </w:tblGrid>
      <w:tr w:rsidR="003B5F9A" w14:paraId="2B5E43DA" w14:textId="77777777">
        <w:trPr>
          <w:cantSplit/>
          <w:tblHeader/>
          <w:jc w:val="center"/>
        </w:trPr>
        <w:tc>
          <w:tcPr>
            <w:tcW w:w="1656" w:type="dxa"/>
            <w:shd w:val="clear" w:color="auto" w:fill="FFFFFF"/>
            <w:tcMar>
              <w:top w:w="110" w:type="dxa"/>
              <w:left w:w="120" w:type="dxa"/>
              <w:bottom w:w="110" w:type="dxa"/>
              <w:right w:w="120" w:type="dxa"/>
            </w:tcMar>
            <w:vAlign w:val="center"/>
          </w:tcPr>
          <w:p w14:paraId="21473AD8" w14:textId="77777777" w:rsidR="003B5F9A" w:rsidRDefault="00000000">
            <w:pPr>
              <w:jc w:val="center"/>
              <w:rPr>
                <w:rFonts w:hint="eastAsia"/>
              </w:rPr>
            </w:pPr>
            <w:r>
              <w:rPr>
                <w:b/>
                <w:sz w:val="19"/>
              </w:rPr>
              <w:t>Stage</w:t>
            </w:r>
          </w:p>
        </w:tc>
        <w:tc>
          <w:tcPr>
            <w:tcW w:w="8136" w:type="dxa"/>
            <w:shd w:val="clear" w:color="auto" w:fill="FFFFFF"/>
            <w:tcMar>
              <w:top w:w="110" w:type="dxa"/>
              <w:left w:w="120" w:type="dxa"/>
              <w:bottom w:w="110" w:type="dxa"/>
              <w:right w:w="120" w:type="dxa"/>
            </w:tcMar>
            <w:vAlign w:val="center"/>
          </w:tcPr>
          <w:p w14:paraId="44A93B8C" w14:textId="77777777" w:rsidR="003B5F9A" w:rsidRDefault="00000000">
            <w:pPr>
              <w:jc w:val="center"/>
              <w:rPr>
                <w:rFonts w:hint="eastAsia"/>
              </w:rPr>
            </w:pPr>
            <w:r>
              <w:rPr>
                <w:b/>
                <w:sz w:val="19"/>
              </w:rPr>
              <w:t>Responsibility</w:t>
            </w:r>
          </w:p>
        </w:tc>
      </w:tr>
      <w:tr w:rsidR="003B5F9A" w14:paraId="0B0A0681" w14:textId="77777777">
        <w:trPr>
          <w:cantSplit/>
          <w:jc w:val="center"/>
        </w:trPr>
        <w:tc>
          <w:tcPr>
            <w:tcW w:w="1656" w:type="dxa"/>
            <w:tcMar>
              <w:top w:w="110" w:type="dxa"/>
              <w:left w:w="120" w:type="dxa"/>
              <w:bottom w:w="110" w:type="dxa"/>
              <w:right w:w="120" w:type="dxa"/>
            </w:tcMar>
            <w:vAlign w:val="center"/>
          </w:tcPr>
          <w:p w14:paraId="5A5DBB70" w14:textId="77777777" w:rsidR="003B5F9A" w:rsidRDefault="00000000">
            <w:pPr>
              <w:spacing w:after="0"/>
              <w:rPr>
                <w:rFonts w:hint="eastAsia"/>
              </w:rPr>
            </w:pPr>
            <w:r>
              <w:rPr>
                <w:sz w:val="18"/>
              </w:rPr>
              <w:t>1 Observe</w:t>
            </w:r>
          </w:p>
        </w:tc>
        <w:tc>
          <w:tcPr>
            <w:tcW w:w="8136" w:type="dxa"/>
            <w:tcMar>
              <w:top w:w="110" w:type="dxa"/>
              <w:left w:w="120" w:type="dxa"/>
              <w:bottom w:w="110" w:type="dxa"/>
              <w:right w:w="120" w:type="dxa"/>
            </w:tcMar>
            <w:vAlign w:val="center"/>
          </w:tcPr>
          <w:p w14:paraId="58ECAF32" w14:textId="77777777" w:rsidR="003B5F9A" w:rsidRDefault="00000000">
            <w:pPr>
              <w:spacing w:after="0"/>
              <w:rPr>
                <w:rFonts w:hint="eastAsia"/>
              </w:rPr>
            </w:pPr>
            <w:r>
              <w:rPr>
                <w:sz w:val="18"/>
              </w:rPr>
              <w:t>Capture the approved URL, visible text, focused element, editable state, progress, and remaining budget.</w:t>
            </w:r>
          </w:p>
        </w:tc>
      </w:tr>
      <w:tr w:rsidR="003B5F9A" w14:paraId="45319509" w14:textId="77777777">
        <w:trPr>
          <w:cantSplit/>
          <w:jc w:val="center"/>
        </w:trPr>
        <w:tc>
          <w:tcPr>
            <w:tcW w:w="1656" w:type="dxa"/>
            <w:shd w:val="clear" w:color="auto" w:fill="FFFFFF"/>
            <w:tcMar>
              <w:top w:w="110" w:type="dxa"/>
              <w:left w:w="120" w:type="dxa"/>
              <w:bottom w:w="110" w:type="dxa"/>
              <w:right w:w="120" w:type="dxa"/>
            </w:tcMar>
            <w:vAlign w:val="center"/>
          </w:tcPr>
          <w:p w14:paraId="1AA84793" w14:textId="77777777" w:rsidR="003B5F9A" w:rsidRDefault="00000000">
            <w:pPr>
              <w:spacing w:after="0"/>
              <w:rPr>
                <w:rFonts w:hint="eastAsia"/>
              </w:rPr>
            </w:pPr>
            <w:r>
              <w:rPr>
                <w:sz w:val="18"/>
              </w:rPr>
              <w:t>2 Propose</w:t>
            </w:r>
          </w:p>
        </w:tc>
        <w:tc>
          <w:tcPr>
            <w:tcW w:w="8136" w:type="dxa"/>
            <w:shd w:val="clear" w:color="auto" w:fill="FFFFFF"/>
            <w:tcMar>
              <w:top w:w="110" w:type="dxa"/>
              <w:left w:w="120" w:type="dxa"/>
              <w:bottom w:w="110" w:type="dxa"/>
              <w:right w:w="120" w:type="dxa"/>
            </w:tcMar>
            <w:vAlign w:val="center"/>
          </w:tcPr>
          <w:p w14:paraId="44CE9B88" w14:textId="77777777" w:rsidR="003B5F9A" w:rsidRDefault="00000000">
            <w:pPr>
              <w:spacing w:after="0"/>
              <w:rPr>
                <w:rFonts w:hint="eastAsia"/>
              </w:rPr>
            </w:pPr>
            <w:r>
              <w:rPr>
                <w:sz w:val="18"/>
              </w:rPr>
              <w:t>The selected planner proposes one structured keyboard action.</w:t>
            </w:r>
          </w:p>
        </w:tc>
      </w:tr>
      <w:tr w:rsidR="003B5F9A" w14:paraId="25004408" w14:textId="77777777">
        <w:trPr>
          <w:cantSplit/>
          <w:jc w:val="center"/>
        </w:trPr>
        <w:tc>
          <w:tcPr>
            <w:tcW w:w="1656" w:type="dxa"/>
            <w:tcMar>
              <w:top w:w="110" w:type="dxa"/>
              <w:left w:w="120" w:type="dxa"/>
              <w:bottom w:w="110" w:type="dxa"/>
              <w:right w:w="120" w:type="dxa"/>
            </w:tcMar>
            <w:vAlign w:val="center"/>
          </w:tcPr>
          <w:p w14:paraId="1A2F51F0" w14:textId="77777777" w:rsidR="003B5F9A" w:rsidRDefault="00000000">
            <w:pPr>
              <w:spacing w:after="0"/>
              <w:rPr>
                <w:rFonts w:hint="eastAsia"/>
              </w:rPr>
            </w:pPr>
            <w:r>
              <w:rPr>
                <w:sz w:val="18"/>
              </w:rPr>
              <w:t>3 Validate</w:t>
            </w:r>
          </w:p>
        </w:tc>
        <w:tc>
          <w:tcPr>
            <w:tcW w:w="8136" w:type="dxa"/>
            <w:tcMar>
              <w:top w:w="110" w:type="dxa"/>
              <w:left w:w="120" w:type="dxa"/>
              <w:bottom w:w="110" w:type="dxa"/>
              <w:right w:w="120" w:type="dxa"/>
            </w:tcMar>
            <w:vAlign w:val="center"/>
          </w:tcPr>
          <w:p w14:paraId="24672B99" w14:textId="77777777" w:rsidR="003B5F9A" w:rsidRDefault="00000000">
            <w:pPr>
              <w:spacing w:after="0"/>
              <w:rPr>
                <w:rFonts w:hint="eastAsia"/>
              </w:rPr>
            </w:pPr>
            <w:r>
              <w:rPr>
                <w:sz w:val="18"/>
              </w:rPr>
              <w:t>Deterministic policy checks action type, origin, target, focus state, typing permission, and budgets.</w:t>
            </w:r>
          </w:p>
        </w:tc>
      </w:tr>
      <w:tr w:rsidR="003B5F9A" w14:paraId="7063CEA3" w14:textId="77777777">
        <w:trPr>
          <w:cantSplit/>
          <w:jc w:val="center"/>
        </w:trPr>
        <w:tc>
          <w:tcPr>
            <w:tcW w:w="1656" w:type="dxa"/>
            <w:shd w:val="clear" w:color="auto" w:fill="FFFFFF"/>
            <w:tcMar>
              <w:top w:w="110" w:type="dxa"/>
              <w:left w:w="120" w:type="dxa"/>
              <w:bottom w:w="110" w:type="dxa"/>
              <w:right w:w="120" w:type="dxa"/>
            </w:tcMar>
            <w:vAlign w:val="center"/>
          </w:tcPr>
          <w:p w14:paraId="163EAA45" w14:textId="77777777" w:rsidR="003B5F9A" w:rsidRDefault="00000000">
            <w:pPr>
              <w:spacing w:after="0"/>
              <w:rPr>
                <w:rFonts w:hint="eastAsia"/>
              </w:rPr>
            </w:pPr>
            <w:r>
              <w:rPr>
                <w:sz w:val="18"/>
              </w:rPr>
              <w:t>4 Execute</w:t>
            </w:r>
          </w:p>
        </w:tc>
        <w:tc>
          <w:tcPr>
            <w:tcW w:w="8136" w:type="dxa"/>
            <w:shd w:val="clear" w:color="auto" w:fill="FFFFFF"/>
            <w:tcMar>
              <w:top w:w="110" w:type="dxa"/>
              <w:left w:w="120" w:type="dxa"/>
              <w:bottom w:w="110" w:type="dxa"/>
              <w:right w:w="120" w:type="dxa"/>
            </w:tcMar>
            <w:vAlign w:val="center"/>
          </w:tcPr>
          <w:p w14:paraId="7D16D7DA" w14:textId="77777777" w:rsidR="003B5F9A" w:rsidRDefault="00000000">
            <w:pPr>
              <w:spacing w:after="0"/>
              <w:rPr>
                <w:rFonts w:hint="eastAsia"/>
              </w:rPr>
            </w:pPr>
            <w:r>
              <w:rPr>
                <w:sz w:val="18"/>
              </w:rPr>
              <w:t>Playwright performs only the approved keyboard action.</w:t>
            </w:r>
          </w:p>
        </w:tc>
      </w:tr>
      <w:tr w:rsidR="003B5F9A" w14:paraId="22458BA9" w14:textId="77777777">
        <w:trPr>
          <w:cantSplit/>
          <w:jc w:val="center"/>
        </w:trPr>
        <w:tc>
          <w:tcPr>
            <w:tcW w:w="1656" w:type="dxa"/>
            <w:tcMar>
              <w:top w:w="110" w:type="dxa"/>
              <w:left w:w="120" w:type="dxa"/>
              <w:bottom w:w="110" w:type="dxa"/>
              <w:right w:w="120" w:type="dxa"/>
            </w:tcMar>
            <w:vAlign w:val="center"/>
          </w:tcPr>
          <w:p w14:paraId="3FFB3A93" w14:textId="77777777" w:rsidR="003B5F9A" w:rsidRDefault="00000000">
            <w:pPr>
              <w:spacing w:after="0"/>
              <w:rPr>
                <w:rFonts w:hint="eastAsia"/>
              </w:rPr>
            </w:pPr>
            <w:r>
              <w:rPr>
                <w:sz w:val="18"/>
              </w:rPr>
              <w:t>5 Record</w:t>
            </w:r>
          </w:p>
        </w:tc>
        <w:tc>
          <w:tcPr>
            <w:tcW w:w="8136" w:type="dxa"/>
            <w:tcMar>
              <w:top w:w="110" w:type="dxa"/>
              <w:left w:w="120" w:type="dxa"/>
              <w:bottom w:w="110" w:type="dxa"/>
              <w:right w:w="120" w:type="dxa"/>
            </w:tcMar>
            <w:vAlign w:val="center"/>
          </w:tcPr>
          <w:p w14:paraId="240300E1" w14:textId="77777777" w:rsidR="003B5F9A" w:rsidRDefault="00000000">
            <w:pPr>
              <w:spacing w:after="0"/>
              <w:rPr>
                <w:rFonts w:hint="eastAsia"/>
              </w:rPr>
            </w:pPr>
            <w:r>
              <w:rPr>
                <w:sz w:val="18"/>
              </w:rPr>
              <w:t>Store before and after states, action result, screenshots, hashes, and planner metadata.</w:t>
            </w:r>
          </w:p>
        </w:tc>
      </w:tr>
      <w:tr w:rsidR="003B5F9A" w14:paraId="43B3F379" w14:textId="77777777">
        <w:trPr>
          <w:cantSplit/>
          <w:jc w:val="center"/>
        </w:trPr>
        <w:tc>
          <w:tcPr>
            <w:tcW w:w="1656" w:type="dxa"/>
            <w:shd w:val="clear" w:color="auto" w:fill="FFFFFF"/>
            <w:tcMar>
              <w:top w:w="110" w:type="dxa"/>
              <w:left w:w="120" w:type="dxa"/>
              <w:bottom w:w="110" w:type="dxa"/>
              <w:right w:w="120" w:type="dxa"/>
            </w:tcMar>
            <w:vAlign w:val="center"/>
          </w:tcPr>
          <w:p w14:paraId="610B96A7" w14:textId="77777777" w:rsidR="003B5F9A" w:rsidRDefault="00000000">
            <w:pPr>
              <w:spacing w:after="0"/>
              <w:rPr>
                <w:rFonts w:hint="eastAsia"/>
              </w:rPr>
            </w:pPr>
            <w:r>
              <w:rPr>
                <w:sz w:val="18"/>
              </w:rPr>
              <w:t>6 Decide</w:t>
            </w:r>
          </w:p>
        </w:tc>
        <w:tc>
          <w:tcPr>
            <w:tcW w:w="8136" w:type="dxa"/>
            <w:shd w:val="clear" w:color="auto" w:fill="FFFFFF"/>
            <w:tcMar>
              <w:top w:w="110" w:type="dxa"/>
              <w:left w:w="120" w:type="dxa"/>
              <w:bottom w:w="110" w:type="dxa"/>
              <w:right w:w="120" w:type="dxa"/>
            </w:tcMar>
            <w:vAlign w:val="center"/>
          </w:tcPr>
          <w:p w14:paraId="149F70B8" w14:textId="77777777" w:rsidR="003B5F9A" w:rsidRDefault="00000000">
            <w:pPr>
              <w:spacing w:after="0"/>
              <w:rPr>
                <w:rFonts w:hint="eastAsia"/>
              </w:rPr>
            </w:pPr>
            <w:r>
              <w:rPr>
                <w:sz w:val="18"/>
              </w:rPr>
              <w:t>A deterministic oracle checks declared completion or barrier conditions.</w:t>
            </w:r>
          </w:p>
        </w:tc>
      </w:tr>
      <w:tr w:rsidR="003B5F9A" w14:paraId="21633380" w14:textId="77777777">
        <w:trPr>
          <w:cantSplit/>
          <w:jc w:val="center"/>
        </w:trPr>
        <w:tc>
          <w:tcPr>
            <w:tcW w:w="1656" w:type="dxa"/>
            <w:tcMar>
              <w:top w:w="110" w:type="dxa"/>
              <w:left w:w="120" w:type="dxa"/>
              <w:bottom w:w="110" w:type="dxa"/>
              <w:right w:w="120" w:type="dxa"/>
            </w:tcMar>
            <w:vAlign w:val="center"/>
          </w:tcPr>
          <w:p w14:paraId="69903E60" w14:textId="77777777" w:rsidR="003B5F9A" w:rsidRDefault="00000000">
            <w:pPr>
              <w:spacing w:after="0"/>
              <w:rPr>
                <w:rFonts w:hint="eastAsia"/>
              </w:rPr>
            </w:pPr>
            <w:r>
              <w:rPr>
                <w:sz w:val="18"/>
              </w:rPr>
              <w:t>7 Repeat or stop</w:t>
            </w:r>
          </w:p>
        </w:tc>
        <w:tc>
          <w:tcPr>
            <w:tcW w:w="8136" w:type="dxa"/>
            <w:tcMar>
              <w:top w:w="110" w:type="dxa"/>
              <w:left w:w="120" w:type="dxa"/>
              <w:bottom w:w="110" w:type="dxa"/>
              <w:right w:w="120" w:type="dxa"/>
            </w:tcMar>
            <w:vAlign w:val="center"/>
          </w:tcPr>
          <w:p w14:paraId="5DB5C569" w14:textId="77777777" w:rsidR="003B5F9A" w:rsidRDefault="00000000">
            <w:pPr>
              <w:spacing w:after="0"/>
              <w:rPr>
                <w:rFonts w:hint="eastAsia"/>
              </w:rPr>
            </w:pPr>
            <w:r>
              <w:rPr>
                <w:sz w:val="18"/>
              </w:rPr>
              <w:t>Continue within limits, or finish with an explicit outcome and reason.</w:t>
            </w:r>
          </w:p>
        </w:tc>
      </w:tr>
    </w:tbl>
    <w:p w14:paraId="75BB6D9E" w14:textId="77777777" w:rsidR="003B5F9A" w:rsidRDefault="003B5F9A">
      <w:pPr>
        <w:spacing w:after="0"/>
        <w:rPr>
          <w:rFonts w:hint="eastAsia"/>
        </w:rPr>
      </w:pPr>
    </w:p>
    <w:p w14:paraId="3269487A" w14:textId="77777777" w:rsidR="003B5F9A" w:rsidRDefault="00000000">
      <w:pPr>
        <w:pStyle w:val="Heading2"/>
      </w:pPr>
      <w:r>
        <w:t>5.4 Tools and Technologies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24"/>
        <w:gridCol w:w="6768"/>
      </w:tblGrid>
      <w:tr w:rsidR="003B5F9A" w14:paraId="4CC5C1AD" w14:textId="77777777">
        <w:trPr>
          <w:cantSplit/>
          <w:tblHeader/>
          <w:jc w:val="center"/>
        </w:trPr>
        <w:tc>
          <w:tcPr>
            <w:tcW w:w="3024" w:type="dxa"/>
            <w:shd w:val="clear" w:color="auto" w:fill="FFFFFF"/>
            <w:tcMar>
              <w:top w:w="110" w:type="dxa"/>
              <w:left w:w="120" w:type="dxa"/>
              <w:bottom w:w="110" w:type="dxa"/>
              <w:right w:w="120" w:type="dxa"/>
            </w:tcMar>
            <w:vAlign w:val="center"/>
          </w:tcPr>
          <w:p w14:paraId="0C0E3063" w14:textId="77777777" w:rsidR="003B5F9A" w:rsidRDefault="00000000">
            <w:pPr>
              <w:jc w:val="center"/>
              <w:rPr>
                <w:rFonts w:hint="eastAsia"/>
              </w:rPr>
            </w:pPr>
            <w:r>
              <w:rPr>
                <w:b/>
                <w:sz w:val="19"/>
              </w:rPr>
              <w:t>Technology</w:t>
            </w:r>
          </w:p>
        </w:tc>
        <w:tc>
          <w:tcPr>
            <w:tcW w:w="6768" w:type="dxa"/>
            <w:shd w:val="clear" w:color="auto" w:fill="FFFFFF"/>
            <w:tcMar>
              <w:top w:w="110" w:type="dxa"/>
              <w:left w:w="120" w:type="dxa"/>
              <w:bottom w:w="110" w:type="dxa"/>
              <w:right w:w="120" w:type="dxa"/>
            </w:tcMar>
            <w:vAlign w:val="center"/>
          </w:tcPr>
          <w:p w14:paraId="1763050F" w14:textId="77777777" w:rsidR="003B5F9A" w:rsidRDefault="00000000">
            <w:pPr>
              <w:jc w:val="center"/>
              <w:rPr>
                <w:rFonts w:hint="eastAsia"/>
              </w:rPr>
            </w:pPr>
            <w:r>
              <w:rPr>
                <w:b/>
                <w:sz w:val="19"/>
              </w:rPr>
              <w:t>Use</w:t>
            </w:r>
          </w:p>
        </w:tc>
      </w:tr>
      <w:tr w:rsidR="003B5F9A" w14:paraId="0C80D126" w14:textId="77777777">
        <w:trPr>
          <w:cantSplit/>
          <w:jc w:val="center"/>
        </w:trPr>
        <w:tc>
          <w:tcPr>
            <w:tcW w:w="3024" w:type="dxa"/>
            <w:tcMar>
              <w:top w:w="110" w:type="dxa"/>
              <w:left w:w="120" w:type="dxa"/>
              <w:bottom w:w="110" w:type="dxa"/>
              <w:right w:w="120" w:type="dxa"/>
            </w:tcMar>
            <w:vAlign w:val="center"/>
          </w:tcPr>
          <w:p w14:paraId="59A3F0A6" w14:textId="77777777" w:rsidR="003B5F9A" w:rsidRDefault="00000000">
            <w:pPr>
              <w:spacing w:after="0"/>
              <w:rPr>
                <w:rFonts w:hint="eastAsia"/>
              </w:rPr>
            </w:pPr>
            <w:r>
              <w:rPr>
                <w:sz w:val="18"/>
              </w:rPr>
              <w:t>Python and Django</w:t>
            </w:r>
          </w:p>
        </w:tc>
        <w:tc>
          <w:tcPr>
            <w:tcW w:w="6768" w:type="dxa"/>
            <w:tcMar>
              <w:top w:w="110" w:type="dxa"/>
              <w:left w:w="120" w:type="dxa"/>
              <w:bottom w:w="110" w:type="dxa"/>
              <w:right w:w="120" w:type="dxa"/>
            </w:tcMar>
            <w:vAlign w:val="center"/>
          </w:tcPr>
          <w:p w14:paraId="0153F23D" w14:textId="77777777" w:rsidR="003B5F9A" w:rsidRDefault="00000000">
            <w:pPr>
              <w:spacing w:after="0"/>
              <w:rPr>
                <w:rFonts w:hint="eastAsia"/>
              </w:rPr>
            </w:pPr>
            <w:r>
              <w:rPr>
                <w:sz w:val="18"/>
              </w:rPr>
              <w:t>Web application, data models, run workflow, validation, and reporting UI</w:t>
            </w:r>
          </w:p>
        </w:tc>
      </w:tr>
      <w:tr w:rsidR="003B5F9A" w14:paraId="15BF71DF" w14:textId="77777777">
        <w:trPr>
          <w:cantSplit/>
          <w:jc w:val="center"/>
        </w:trPr>
        <w:tc>
          <w:tcPr>
            <w:tcW w:w="3024" w:type="dxa"/>
            <w:shd w:val="clear" w:color="auto" w:fill="FFFFFF"/>
            <w:tcMar>
              <w:top w:w="110" w:type="dxa"/>
              <w:left w:w="120" w:type="dxa"/>
              <w:bottom w:w="110" w:type="dxa"/>
              <w:right w:w="120" w:type="dxa"/>
            </w:tcMar>
            <w:vAlign w:val="center"/>
          </w:tcPr>
          <w:p w14:paraId="44E4611E" w14:textId="77777777" w:rsidR="003B5F9A" w:rsidRDefault="00000000">
            <w:pPr>
              <w:spacing w:after="0"/>
              <w:rPr>
                <w:rFonts w:hint="eastAsia"/>
              </w:rPr>
            </w:pPr>
            <w:r>
              <w:rPr>
                <w:sz w:val="18"/>
              </w:rPr>
              <w:t>PostgreSQL</w:t>
            </w:r>
          </w:p>
        </w:tc>
        <w:tc>
          <w:tcPr>
            <w:tcW w:w="6768" w:type="dxa"/>
            <w:shd w:val="clear" w:color="auto" w:fill="FFFFFF"/>
            <w:tcMar>
              <w:top w:w="110" w:type="dxa"/>
              <w:left w:w="120" w:type="dxa"/>
              <w:bottom w:w="110" w:type="dxa"/>
              <w:right w:w="120" w:type="dxa"/>
            </w:tcMar>
            <w:vAlign w:val="center"/>
          </w:tcPr>
          <w:p w14:paraId="086E97BA" w14:textId="77777777" w:rsidR="003B5F9A" w:rsidRDefault="00000000">
            <w:pPr>
              <w:spacing w:after="0"/>
              <w:rPr>
                <w:rFonts w:hint="eastAsia"/>
              </w:rPr>
            </w:pPr>
            <w:r>
              <w:rPr>
                <w:sz w:val="18"/>
              </w:rPr>
              <w:t>Journeys, run state, steps, provider metadata, and artifact records</w:t>
            </w:r>
          </w:p>
        </w:tc>
      </w:tr>
      <w:tr w:rsidR="003B5F9A" w14:paraId="3CFBBC2D" w14:textId="77777777">
        <w:trPr>
          <w:cantSplit/>
          <w:jc w:val="center"/>
        </w:trPr>
        <w:tc>
          <w:tcPr>
            <w:tcW w:w="3024" w:type="dxa"/>
            <w:tcMar>
              <w:top w:w="110" w:type="dxa"/>
              <w:left w:w="120" w:type="dxa"/>
              <w:bottom w:w="110" w:type="dxa"/>
              <w:right w:w="120" w:type="dxa"/>
            </w:tcMar>
            <w:vAlign w:val="center"/>
          </w:tcPr>
          <w:p w14:paraId="6C802D6F" w14:textId="77777777" w:rsidR="003B5F9A" w:rsidRDefault="00000000">
            <w:pPr>
              <w:spacing w:after="0"/>
              <w:rPr>
                <w:rFonts w:hint="eastAsia"/>
              </w:rPr>
            </w:pPr>
            <w:r>
              <w:rPr>
                <w:sz w:val="18"/>
              </w:rPr>
              <w:t>Redis and Celery</w:t>
            </w:r>
          </w:p>
        </w:tc>
        <w:tc>
          <w:tcPr>
            <w:tcW w:w="6768" w:type="dxa"/>
            <w:tcMar>
              <w:top w:w="110" w:type="dxa"/>
              <w:left w:w="120" w:type="dxa"/>
              <w:bottom w:w="110" w:type="dxa"/>
              <w:right w:w="120" w:type="dxa"/>
            </w:tcMar>
            <w:vAlign w:val="center"/>
          </w:tcPr>
          <w:p w14:paraId="0C5BE8B9" w14:textId="77777777" w:rsidR="003B5F9A" w:rsidRDefault="00000000">
            <w:pPr>
              <w:spacing w:after="0"/>
              <w:rPr>
                <w:rFonts w:hint="eastAsia"/>
              </w:rPr>
            </w:pPr>
            <w:r>
              <w:rPr>
                <w:sz w:val="18"/>
              </w:rPr>
              <w:t>Queued background execution with a single-concurrency midterm worker</w:t>
            </w:r>
          </w:p>
        </w:tc>
      </w:tr>
      <w:tr w:rsidR="003B5F9A" w14:paraId="164CCF4C" w14:textId="77777777">
        <w:trPr>
          <w:cantSplit/>
          <w:jc w:val="center"/>
        </w:trPr>
        <w:tc>
          <w:tcPr>
            <w:tcW w:w="3024" w:type="dxa"/>
            <w:shd w:val="clear" w:color="auto" w:fill="FFFFFF"/>
            <w:tcMar>
              <w:top w:w="110" w:type="dxa"/>
              <w:left w:w="120" w:type="dxa"/>
              <w:bottom w:w="110" w:type="dxa"/>
              <w:right w:w="120" w:type="dxa"/>
            </w:tcMar>
            <w:vAlign w:val="center"/>
          </w:tcPr>
          <w:p w14:paraId="206EE251" w14:textId="77777777" w:rsidR="003B5F9A" w:rsidRDefault="00000000">
            <w:pPr>
              <w:spacing w:after="0"/>
              <w:rPr>
                <w:rFonts w:hint="eastAsia"/>
              </w:rPr>
            </w:pPr>
            <w:r>
              <w:rPr>
                <w:sz w:val="18"/>
              </w:rPr>
              <w:t>Playwright</w:t>
            </w:r>
          </w:p>
        </w:tc>
        <w:tc>
          <w:tcPr>
            <w:tcW w:w="6768" w:type="dxa"/>
            <w:shd w:val="clear" w:color="auto" w:fill="FFFFFF"/>
            <w:tcMar>
              <w:top w:w="110" w:type="dxa"/>
              <w:left w:w="120" w:type="dxa"/>
              <w:bottom w:w="110" w:type="dxa"/>
              <w:right w:w="120" w:type="dxa"/>
            </w:tcMar>
            <w:vAlign w:val="center"/>
          </w:tcPr>
          <w:p w14:paraId="58ECFA57" w14:textId="77777777" w:rsidR="003B5F9A" w:rsidRDefault="00000000">
            <w:pPr>
              <w:spacing w:after="0"/>
              <w:rPr>
                <w:rFonts w:hint="eastAsia"/>
              </w:rPr>
            </w:pPr>
            <w:r>
              <w:rPr>
                <w:sz w:val="18"/>
              </w:rPr>
              <w:t>Keyboard events, browser observation, navigation, and screenshots</w:t>
            </w:r>
          </w:p>
        </w:tc>
      </w:tr>
      <w:tr w:rsidR="003B5F9A" w14:paraId="0A3BECC9" w14:textId="77777777">
        <w:trPr>
          <w:cantSplit/>
          <w:jc w:val="center"/>
        </w:trPr>
        <w:tc>
          <w:tcPr>
            <w:tcW w:w="3024" w:type="dxa"/>
            <w:tcMar>
              <w:top w:w="110" w:type="dxa"/>
              <w:left w:w="120" w:type="dxa"/>
              <w:bottom w:w="110" w:type="dxa"/>
              <w:right w:w="120" w:type="dxa"/>
            </w:tcMar>
            <w:vAlign w:val="center"/>
          </w:tcPr>
          <w:p w14:paraId="1BB95B79" w14:textId="77777777" w:rsidR="003B5F9A" w:rsidRDefault="00000000">
            <w:pPr>
              <w:spacing w:after="0"/>
              <w:rPr>
                <w:rFonts w:hint="eastAsia"/>
              </w:rPr>
            </w:pPr>
            <w:r>
              <w:rPr>
                <w:sz w:val="18"/>
              </w:rPr>
              <w:lastRenderedPageBreak/>
              <w:t>Pydantic</w:t>
            </w:r>
          </w:p>
        </w:tc>
        <w:tc>
          <w:tcPr>
            <w:tcW w:w="6768" w:type="dxa"/>
            <w:tcMar>
              <w:top w:w="110" w:type="dxa"/>
              <w:left w:w="120" w:type="dxa"/>
              <w:bottom w:w="110" w:type="dxa"/>
              <w:right w:w="120" w:type="dxa"/>
            </w:tcMar>
            <w:vAlign w:val="center"/>
          </w:tcPr>
          <w:p w14:paraId="30F6E1A9" w14:textId="77777777" w:rsidR="003B5F9A" w:rsidRDefault="00000000">
            <w:pPr>
              <w:spacing w:after="0"/>
              <w:rPr>
                <w:rFonts w:hint="eastAsia"/>
              </w:rPr>
            </w:pPr>
            <w:r>
              <w:rPr>
                <w:sz w:val="18"/>
              </w:rPr>
              <w:t>Strict observation, action, policy, and evidence contracts</w:t>
            </w:r>
          </w:p>
        </w:tc>
      </w:tr>
      <w:tr w:rsidR="003B5F9A" w14:paraId="27EE55AB" w14:textId="77777777">
        <w:trPr>
          <w:cantSplit/>
          <w:jc w:val="center"/>
        </w:trPr>
        <w:tc>
          <w:tcPr>
            <w:tcW w:w="3024" w:type="dxa"/>
            <w:shd w:val="clear" w:color="auto" w:fill="FFFFFF"/>
            <w:tcMar>
              <w:top w:w="110" w:type="dxa"/>
              <w:left w:w="120" w:type="dxa"/>
              <w:bottom w:w="110" w:type="dxa"/>
              <w:right w:w="120" w:type="dxa"/>
            </w:tcMar>
            <w:vAlign w:val="center"/>
          </w:tcPr>
          <w:p w14:paraId="37F78D13" w14:textId="77777777" w:rsidR="003B5F9A" w:rsidRDefault="00000000">
            <w:pPr>
              <w:spacing w:after="0"/>
              <w:rPr>
                <w:rFonts w:hint="eastAsia"/>
              </w:rPr>
            </w:pPr>
            <w:r>
              <w:rPr>
                <w:sz w:val="18"/>
              </w:rPr>
              <w:t>Gemini, OpenRouter, and experimental Groq</w:t>
            </w:r>
          </w:p>
        </w:tc>
        <w:tc>
          <w:tcPr>
            <w:tcW w:w="6768" w:type="dxa"/>
            <w:shd w:val="clear" w:color="auto" w:fill="FFFFFF"/>
            <w:tcMar>
              <w:top w:w="110" w:type="dxa"/>
              <w:left w:w="120" w:type="dxa"/>
              <w:bottom w:w="110" w:type="dxa"/>
              <w:right w:w="120" w:type="dxa"/>
            </w:tcMar>
            <w:vAlign w:val="center"/>
          </w:tcPr>
          <w:p w14:paraId="2EEBD244" w14:textId="77777777" w:rsidR="003B5F9A" w:rsidRDefault="00000000">
            <w:pPr>
              <w:spacing w:after="0"/>
              <w:rPr>
                <w:rFonts w:hint="eastAsia"/>
              </w:rPr>
            </w:pPr>
            <w:r>
              <w:rPr>
                <w:sz w:val="18"/>
              </w:rPr>
              <w:t>Configurable live action proposals; each provider is recorded separately</w:t>
            </w:r>
          </w:p>
        </w:tc>
      </w:tr>
      <w:tr w:rsidR="003B5F9A" w14:paraId="33EB2D5C" w14:textId="77777777">
        <w:trPr>
          <w:cantSplit/>
          <w:jc w:val="center"/>
        </w:trPr>
        <w:tc>
          <w:tcPr>
            <w:tcW w:w="3024" w:type="dxa"/>
            <w:tcMar>
              <w:top w:w="110" w:type="dxa"/>
              <w:left w:w="120" w:type="dxa"/>
              <w:bottom w:w="110" w:type="dxa"/>
              <w:right w:w="120" w:type="dxa"/>
            </w:tcMar>
            <w:vAlign w:val="center"/>
          </w:tcPr>
          <w:p w14:paraId="7D59483A" w14:textId="77777777" w:rsidR="003B5F9A" w:rsidRDefault="00000000">
            <w:pPr>
              <w:spacing w:after="0"/>
              <w:rPr>
                <w:rFonts w:hint="eastAsia"/>
              </w:rPr>
            </w:pPr>
            <w:r>
              <w:rPr>
                <w:sz w:val="18"/>
              </w:rPr>
              <w:t>Deterministic planner</w:t>
            </w:r>
          </w:p>
        </w:tc>
        <w:tc>
          <w:tcPr>
            <w:tcW w:w="6768" w:type="dxa"/>
            <w:tcMar>
              <w:top w:w="110" w:type="dxa"/>
              <w:left w:w="120" w:type="dxa"/>
              <w:bottom w:w="110" w:type="dxa"/>
              <w:right w:w="120" w:type="dxa"/>
            </w:tcMar>
            <w:vAlign w:val="center"/>
          </w:tcPr>
          <w:p w14:paraId="6534C15E" w14:textId="77777777" w:rsidR="003B5F9A" w:rsidRDefault="00000000">
            <w:pPr>
              <w:spacing w:after="0"/>
              <w:rPr>
                <w:rFonts w:hint="eastAsia"/>
              </w:rPr>
            </w:pPr>
            <w:r>
              <w:rPr>
                <w:sz w:val="18"/>
              </w:rPr>
              <w:t>Repeatable fixture execution and contingency demonstration</w:t>
            </w:r>
          </w:p>
        </w:tc>
      </w:tr>
      <w:tr w:rsidR="003B5F9A" w14:paraId="1D387C24" w14:textId="77777777">
        <w:trPr>
          <w:cantSplit/>
          <w:jc w:val="center"/>
        </w:trPr>
        <w:tc>
          <w:tcPr>
            <w:tcW w:w="3024" w:type="dxa"/>
            <w:shd w:val="clear" w:color="auto" w:fill="FFFFFF"/>
            <w:tcMar>
              <w:top w:w="110" w:type="dxa"/>
              <w:left w:w="120" w:type="dxa"/>
              <w:bottom w:w="110" w:type="dxa"/>
              <w:right w:w="120" w:type="dxa"/>
            </w:tcMar>
            <w:vAlign w:val="center"/>
          </w:tcPr>
          <w:p w14:paraId="6037DFB6" w14:textId="77777777" w:rsidR="003B5F9A" w:rsidRDefault="00000000">
            <w:pPr>
              <w:spacing w:after="0"/>
              <w:rPr>
                <w:rFonts w:hint="eastAsia"/>
              </w:rPr>
            </w:pPr>
            <w:r>
              <w:rPr>
                <w:sz w:val="18"/>
              </w:rPr>
              <w:t>Docker Compose</w:t>
            </w:r>
          </w:p>
        </w:tc>
        <w:tc>
          <w:tcPr>
            <w:tcW w:w="6768" w:type="dxa"/>
            <w:shd w:val="clear" w:color="auto" w:fill="FFFFFF"/>
            <w:tcMar>
              <w:top w:w="110" w:type="dxa"/>
              <w:left w:w="120" w:type="dxa"/>
              <w:bottom w:w="110" w:type="dxa"/>
              <w:right w:w="120" w:type="dxa"/>
            </w:tcMar>
            <w:vAlign w:val="center"/>
          </w:tcPr>
          <w:p w14:paraId="5A8E3949" w14:textId="77777777" w:rsidR="003B5F9A" w:rsidRDefault="00000000">
            <w:pPr>
              <w:spacing w:after="0"/>
              <w:rPr>
                <w:rFonts w:hint="eastAsia"/>
              </w:rPr>
            </w:pPr>
            <w:r>
              <w:rPr>
                <w:sz w:val="18"/>
              </w:rPr>
              <w:t>Reproducible local database, queue, fixture, web, and worker services</w:t>
            </w:r>
          </w:p>
        </w:tc>
      </w:tr>
      <w:tr w:rsidR="003B5F9A" w14:paraId="46CA1FAE" w14:textId="77777777">
        <w:trPr>
          <w:cantSplit/>
          <w:jc w:val="center"/>
        </w:trPr>
        <w:tc>
          <w:tcPr>
            <w:tcW w:w="3024" w:type="dxa"/>
            <w:tcMar>
              <w:top w:w="110" w:type="dxa"/>
              <w:left w:w="120" w:type="dxa"/>
              <w:bottom w:w="110" w:type="dxa"/>
              <w:right w:w="120" w:type="dxa"/>
            </w:tcMar>
            <w:vAlign w:val="center"/>
          </w:tcPr>
          <w:p w14:paraId="1AFF23A8" w14:textId="77777777" w:rsidR="003B5F9A" w:rsidRDefault="00000000">
            <w:pPr>
              <w:spacing w:after="0"/>
              <w:rPr>
                <w:rFonts w:hint="eastAsia"/>
              </w:rPr>
            </w:pPr>
            <w:r>
              <w:rPr>
                <w:sz w:val="18"/>
              </w:rPr>
              <w:t>pytest, Ruff, and Pyright</w:t>
            </w:r>
          </w:p>
        </w:tc>
        <w:tc>
          <w:tcPr>
            <w:tcW w:w="6768" w:type="dxa"/>
            <w:tcMar>
              <w:top w:w="110" w:type="dxa"/>
              <w:left w:w="120" w:type="dxa"/>
              <w:bottom w:w="110" w:type="dxa"/>
              <w:right w:w="120" w:type="dxa"/>
            </w:tcMar>
            <w:vAlign w:val="center"/>
          </w:tcPr>
          <w:p w14:paraId="4907AECF" w14:textId="77777777" w:rsidR="003B5F9A" w:rsidRDefault="00000000">
            <w:pPr>
              <w:spacing w:after="0"/>
              <w:rPr>
                <w:rFonts w:hint="eastAsia"/>
              </w:rPr>
            </w:pPr>
            <w:r>
              <w:rPr>
                <w:sz w:val="18"/>
              </w:rPr>
              <w:t>Automated tests, linting, and static type checks</w:t>
            </w:r>
          </w:p>
        </w:tc>
      </w:tr>
    </w:tbl>
    <w:p w14:paraId="532E1FF1" w14:textId="77777777" w:rsidR="003B5F9A" w:rsidRDefault="003B5F9A">
      <w:pPr>
        <w:spacing w:after="0"/>
        <w:rPr>
          <w:rFonts w:hint="eastAsia"/>
        </w:rPr>
      </w:pPr>
    </w:p>
    <w:p w14:paraId="2B8C3033" w14:textId="77777777" w:rsidR="003B5F9A" w:rsidRDefault="00000000">
      <w:pPr>
        <w:pStyle w:val="Heading2"/>
      </w:pPr>
      <w:r>
        <w:t>5.5 Safety Controls</w:t>
      </w:r>
    </w:p>
    <w:p w14:paraId="3C21F197" w14:textId="77777777" w:rsidR="003B5F9A" w:rsidRDefault="00000000">
      <w:pPr>
        <w:spacing w:after="80" w:line="259" w:lineRule="auto"/>
        <w:ind w:left="360" w:hanging="259"/>
        <w:rPr>
          <w:rFonts w:hint="eastAsia"/>
        </w:rPr>
      </w:pPr>
      <w:r>
        <w:t>•</w:t>
      </w:r>
      <w:r>
        <w:tab/>
        <w:t>Allowlisted fixture origins and bounded navigation scope.</w:t>
      </w:r>
    </w:p>
    <w:p w14:paraId="7D3DF841" w14:textId="77777777" w:rsidR="003B5F9A" w:rsidRDefault="00000000">
      <w:pPr>
        <w:spacing w:after="80" w:line="259" w:lineRule="auto"/>
        <w:ind w:left="360" w:hanging="259"/>
        <w:rPr>
          <w:rFonts w:hint="eastAsia"/>
        </w:rPr>
      </w:pPr>
      <w:r>
        <w:t>•</w:t>
      </w:r>
      <w:r>
        <w:tab/>
        <w:t>Small keyboard action schema with no arbitrary scripts or direct mouse clicks.</w:t>
      </w:r>
    </w:p>
    <w:p w14:paraId="4D69E3FA" w14:textId="77777777" w:rsidR="003B5F9A" w:rsidRDefault="00000000">
      <w:pPr>
        <w:spacing w:after="80" w:line="259" w:lineRule="auto"/>
        <w:ind w:left="360" w:hanging="259"/>
        <w:rPr>
          <w:rFonts w:hint="eastAsia"/>
        </w:rPr>
      </w:pPr>
      <w:r>
        <w:t>•</w:t>
      </w:r>
      <w:r>
        <w:tab/>
        <w:t>Policy approval before every action.</w:t>
      </w:r>
    </w:p>
    <w:p w14:paraId="725BCC27" w14:textId="77777777" w:rsidR="003B5F9A" w:rsidRDefault="00000000">
      <w:pPr>
        <w:spacing w:after="80" w:line="259" w:lineRule="auto"/>
        <w:ind w:left="360" w:hanging="259"/>
        <w:rPr>
          <w:rFonts w:hint="eastAsia"/>
        </w:rPr>
      </w:pPr>
      <w:r>
        <w:t>•</w:t>
      </w:r>
      <w:r>
        <w:tab/>
        <w:t>Synthetic input values only.</w:t>
      </w:r>
    </w:p>
    <w:p w14:paraId="46B3E84F" w14:textId="77777777" w:rsidR="003B5F9A" w:rsidRDefault="00000000">
      <w:pPr>
        <w:spacing w:after="80" w:line="259" w:lineRule="auto"/>
        <w:ind w:left="360" w:hanging="259"/>
        <w:rPr>
          <w:rFonts w:hint="eastAsia"/>
        </w:rPr>
      </w:pPr>
      <w:r>
        <w:t>•</w:t>
      </w:r>
      <w:r>
        <w:tab/>
        <w:t>Call, step, timeout, retry, and rejection limits.</w:t>
      </w:r>
    </w:p>
    <w:p w14:paraId="7EE3E727" w14:textId="77777777" w:rsidR="003B5F9A" w:rsidRDefault="00000000">
      <w:pPr>
        <w:spacing w:after="80" w:line="259" w:lineRule="auto"/>
        <w:ind w:left="360" w:hanging="259"/>
        <w:rPr>
          <w:rFonts w:hint="eastAsia"/>
        </w:rPr>
      </w:pPr>
      <w:r>
        <w:t>•</w:t>
      </w:r>
      <w:r>
        <w:tab/>
        <w:t>Visible provider and fallback metadata; deterministic evidence is never presented as live-model evidence.</w:t>
      </w:r>
    </w:p>
    <w:p w14:paraId="0827B5D0" w14:textId="77777777" w:rsidR="003B5F9A" w:rsidRDefault="00000000">
      <w:pPr>
        <w:spacing w:after="80" w:line="259" w:lineRule="auto"/>
        <w:ind w:left="360" w:hanging="259"/>
        <w:rPr>
          <w:rFonts w:hint="eastAsia"/>
        </w:rPr>
      </w:pPr>
      <w:r>
        <w:t>•</w:t>
      </w:r>
      <w:r>
        <w:tab/>
        <w:t>Process-wide pacing between requests to the same provider in the current worker process.</w:t>
      </w:r>
    </w:p>
    <w:p w14:paraId="76769CBD" w14:textId="77777777" w:rsidR="003B5F9A" w:rsidRDefault="00000000">
      <w:pPr>
        <w:pStyle w:val="Heading1"/>
      </w:pPr>
      <w:r>
        <w:t>6 Current Development Status</w:t>
      </w:r>
    </w:p>
    <w:p w14:paraId="3F67F6FF" w14:textId="77777777" w:rsidR="003B5F9A" w:rsidRDefault="00000000">
      <w:pPr>
        <w:spacing w:after="140" w:line="269" w:lineRule="auto"/>
        <w:rPr>
          <w:rFonts w:hint="eastAsia"/>
        </w:rPr>
      </w:pPr>
      <w:r>
        <w:t>The midterm vertical slice is implemented and in final evidence review. The local Docker environment includes PostgreSQL, Redis, a controlled fixture server, the Django web application, and a Celery worker. The dashboard allows a reviewer to choose a journey and planner, start a run, and inspect the persisted result. Run pages show outcomes, step details, provider metadata, screenshots, and evidence hashes.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16"/>
        <w:gridCol w:w="5976"/>
      </w:tblGrid>
      <w:tr w:rsidR="003B5F9A" w14:paraId="40B8CC68" w14:textId="77777777">
        <w:trPr>
          <w:cantSplit/>
          <w:tblHeader/>
          <w:jc w:val="center"/>
        </w:trPr>
        <w:tc>
          <w:tcPr>
            <w:tcW w:w="3816" w:type="dxa"/>
            <w:shd w:val="clear" w:color="auto" w:fill="FFFFFF"/>
            <w:tcMar>
              <w:top w:w="110" w:type="dxa"/>
              <w:left w:w="120" w:type="dxa"/>
              <w:bottom w:w="110" w:type="dxa"/>
              <w:right w:w="120" w:type="dxa"/>
            </w:tcMar>
            <w:vAlign w:val="center"/>
          </w:tcPr>
          <w:p w14:paraId="127B63B0" w14:textId="77777777" w:rsidR="003B5F9A" w:rsidRDefault="00000000">
            <w:pPr>
              <w:jc w:val="center"/>
              <w:rPr>
                <w:rFonts w:hint="eastAsia"/>
              </w:rPr>
            </w:pPr>
            <w:r>
              <w:rPr>
                <w:b/>
                <w:sz w:val="19"/>
              </w:rPr>
              <w:t>Component</w:t>
            </w:r>
          </w:p>
        </w:tc>
        <w:tc>
          <w:tcPr>
            <w:tcW w:w="5976" w:type="dxa"/>
            <w:shd w:val="clear" w:color="auto" w:fill="FFFFFF"/>
            <w:tcMar>
              <w:top w:w="110" w:type="dxa"/>
              <w:left w:w="120" w:type="dxa"/>
              <w:bottom w:w="110" w:type="dxa"/>
              <w:right w:w="120" w:type="dxa"/>
            </w:tcMar>
            <w:vAlign w:val="center"/>
          </w:tcPr>
          <w:p w14:paraId="22AC229E" w14:textId="77777777" w:rsidR="003B5F9A" w:rsidRDefault="00000000">
            <w:pPr>
              <w:jc w:val="center"/>
              <w:rPr>
                <w:rFonts w:hint="eastAsia"/>
              </w:rPr>
            </w:pPr>
            <w:r>
              <w:rPr>
                <w:b/>
                <w:sz w:val="19"/>
              </w:rPr>
              <w:t>Current status</w:t>
            </w:r>
          </w:p>
        </w:tc>
      </w:tr>
      <w:tr w:rsidR="003B5F9A" w14:paraId="7629316B" w14:textId="77777777">
        <w:trPr>
          <w:cantSplit/>
          <w:jc w:val="center"/>
        </w:trPr>
        <w:tc>
          <w:tcPr>
            <w:tcW w:w="3816" w:type="dxa"/>
            <w:tcMar>
              <w:top w:w="110" w:type="dxa"/>
              <w:left w:w="120" w:type="dxa"/>
              <w:bottom w:w="110" w:type="dxa"/>
              <w:right w:w="120" w:type="dxa"/>
            </w:tcMar>
            <w:vAlign w:val="center"/>
          </w:tcPr>
          <w:p w14:paraId="0C8696CA" w14:textId="77777777" w:rsidR="003B5F9A" w:rsidRDefault="00000000">
            <w:pPr>
              <w:spacing w:after="0"/>
              <w:rPr>
                <w:rFonts w:hint="eastAsia"/>
              </w:rPr>
            </w:pPr>
            <w:r>
              <w:rPr>
                <w:sz w:val="18"/>
              </w:rPr>
              <w:t>Controlled accessible and broken fixtures</w:t>
            </w:r>
          </w:p>
        </w:tc>
        <w:tc>
          <w:tcPr>
            <w:tcW w:w="5976" w:type="dxa"/>
            <w:tcMar>
              <w:top w:w="110" w:type="dxa"/>
              <w:left w:w="120" w:type="dxa"/>
              <w:bottom w:w="110" w:type="dxa"/>
              <w:right w:w="120" w:type="dxa"/>
            </w:tcMar>
            <w:vAlign w:val="center"/>
          </w:tcPr>
          <w:p w14:paraId="2253712B" w14:textId="77777777" w:rsidR="003B5F9A" w:rsidRDefault="00000000">
            <w:pPr>
              <w:spacing w:after="0"/>
              <w:rPr>
                <w:rFonts w:hint="eastAsia"/>
              </w:rPr>
            </w:pPr>
            <w:r>
              <w:rPr>
                <w:sz w:val="18"/>
              </w:rPr>
              <w:t>Implemented and manually exercised</w:t>
            </w:r>
          </w:p>
        </w:tc>
      </w:tr>
      <w:tr w:rsidR="003B5F9A" w14:paraId="2D0DCC23" w14:textId="77777777">
        <w:trPr>
          <w:cantSplit/>
          <w:jc w:val="center"/>
        </w:trPr>
        <w:tc>
          <w:tcPr>
            <w:tcW w:w="3816" w:type="dxa"/>
            <w:shd w:val="clear" w:color="auto" w:fill="FFFFFF"/>
            <w:tcMar>
              <w:top w:w="110" w:type="dxa"/>
              <w:left w:w="120" w:type="dxa"/>
              <w:bottom w:w="110" w:type="dxa"/>
              <w:right w:w="120" w:type="dxa"/>
            </w:tcMar>
            <w:vAlign w:val="center"/>
          </w:tcPr>
          <w:p w14:paraId="2559DBEB" w14:textId="77777777" w:rsidR="003B5F9A" w:rsidRDefault="00000000">
            <w:pPr>
              <w:spacing w:after="0"/>
              <w:rPr>
                <w:rFonts w:hint="eastAsia"/>
              </w:rPr>
            </w:pPr>
            <w:r>
              <w:rPr>
                <w:sz w:val="18"/>
              </w:rPr>
              <w:t>Keyboard executor and completion oracle</w:t>
            </w:r>
          </w:p>
        </w:tc>
        <w:tc>
          <w:tcPr>
            <w:tcW w:w="5976" w:type="dxa"/>
            <w:shd w:val="clear" w:color="auto" w:fill="FFFFFF"/>
            <w:tcMar>
              <w:top w:w="110" w:type="dxa"/>
              <w:left w:w="120" w:type="dxa"/>
              <w:bottom w:w="110" w:type="dxa"/>
              <w:right w:w="120" w:type="dxa"/>
            </w:tcMar>
            <w:vAlign w:val="center"/>
          </w:tcPr>
          <w:p w14:paraId="03569E91" w14:textId="77777777" w:rsidR="003B5F9A" w:rsidRDefault="00000000">
            <w:pPr>
              <w:spacing w:after="0"/>
              <w:rPr>
                <w:rFonts w:hint="eastAsia"/>
              </w:rPr>
            </w:pPr>
            <w:r>
              <w:rPr>
                <w:sz w:val="18"/>
              </w:rPr>
              <w:t>Implemented with persisted evidence</w:t>
            </w:r>
          </w:p>
        </w:tc>
      </w:tr>
      <w:tr w:rsidR="003B5F9A" w14:paraId="547052AA" w14:textId="77777777">
        <w:trPr>
          <w:cantSplit/>
          <w:jc w:val="center"/>
        </w:trPr>
        <w:tc>
          <w:tcPr>
            <w:tcW w:w="3816" w:type="dxa"/>
            <w:tcMar>
              <w:top w:w="110" w:type="dxa"/>
              <w:left w:w="120" w:type="dxa"/>
              <w:bottom w:w="110" w:type="dxa"/>
              <w:right w:w="120" w:type="dxa"/>
            </w:tcMar>
            <w:vAlign w:val="center"/>
          </w:tcPr>
          <w:p w14:paraId="055D1BAE" w14:textId="77777777" w:rsidR="003B5F9A" w:rsidRDefault="00000000">
            <w:pPr>
              <w:spacing w:after="0"/>
              <w:rPr>
                <w:rFonts w:hint="eastAsia"/>
              </w:rPr>
            </w:pPr>
            <w:r>
              <w:rPr>
                <w:sz w:val="18"/>
              </w:rPr>
              <w:t>Deterministic planner</w:t>
            </w:r>
          </w:p>
        </w:tc>
        <w:tc>
          <w:tcPr>
            <w:tcW w:w="5976" w:type="dxa"/>
            <w:tcMar>
              <w:top w:w="110" w:type="dxa"/>
              <w:left w:w="120" w:type="dxa"/>
              <w:bottom w:w="110" w:type="dxa"/>
              <w:right w:w="120" w:type="dxa"/>
            </w:tcMar>
            <w:vAlign w:val="center"/>
          </w:tcPr>
          <w:p w14:paraId="5FFBA831" w14:textId="77777777" w:rsidR="003B5F9A" w:rsidRDefault="00000000">
            <w:pPr>
              <w:spacing w:after="0"/>
              <w:rPr>
                <w:rFonts w:hint="eastAsia"/>
              </w:rPr>
            </w:pPr>
            <w:r>
              <w:rPr>
                <w:sz w:val="18"/>
              </w:rPr>
              <w:t>Working and repeatable</w:t>
            </w:r>
          </w:p>
        </w:tc>
      </w:tr>
      <w:tr w:rsidR="003B5F9A" w14:paraId="29231F9B" w14:textId="77777777">
        <w:trPr>
          <w:cantSplit/>
          <w:jc w:val="center"/>
        </w:trPr>
        <w:tc>
          <w:tcPr>
            <w:tcW w:w="3816" w:type="dxa"/>
            <w:shd w:val="clear" w:color="auto" w:fill="FFFFFF"/>
            <w:tcMar>
              <w:top w:w="110" w:type="dxa"/>
              <w:left w:w="120" w:type="dxa"/>
              <w:bottom w:w="110" w:type="dxa"/>
              <w:right w:w="120" w:type="dxa"/>
            </w:tcMar>
            <w:vAlign w:val="center"/>
          </w:tcPr>
          <w:p w14:paraId="74202F0D" w14:textId="77777777" w:rsidR="003B5F9A" w:rsidRDefault="00000000">
            <w:pPr>
              <w:spacing w:after="0"/>
              <w:rPr>
                <w:rFonts w:hint="eastAsia"/>
              </w:rPr>
            </w:pPr>
            <w:r>
              <w:rPr>
                <w:sz w:val="18"/>
              </w:rPr>
              <w:t>Gemini planner</w:t>
            </w:r>
          </w:p>
        </w:tc>
        <w:tc>
          <w:tcPr>
            <w:tcW w:w="5976" w:type="dxa"/>
            <w:shd w:val="clear" w:color="auto" w:fill="FFFFFF"/>
            <w:tcMar>
              <w:top w:w="110" w:type="dxa"/>
              <w:left w:w="120" w:type="dxa"/>
              <w:bottom w:w="110" w:type="dxa"/>
              <w:right w:w="120" w:type="dxa"/>
            </w:tcMar>
            <w:vAlign w:val="center"/>
          </w:tcPr>
          <w:p w14:paraId="11BA0A20" w14:textId="77777777" w:rsidR="003B5F9A" w:rsidRDefault="00000000">
            <w:pPr>
              <w:spacing w:after="0"/>
              <w:rPr>
                <w:rFonts w:hint="eastAsia"/>
              </w:rPr>
            </w:pPr>
            <w:r>
              <w:rPr>
                <w:sz w:val="18"/>
              </w:rPr>
              <w:t>Implemented; produced stored live completion and blocking evidence; quota remains variable</w:t>
            </w:r>
          </w:p>
        </w:tc>
      </w:tr>
      <w:tr w:rsidR="003B5F9A" w14:paraId="5430ED0D" w14:textId="77777777">
        <w:trPr>
          <w:cantSplit/>
          <w:jc w:val="center"/>
        </w:trPr>
        <w:tc>
          <w:tcPr>
            <w:tcW w:w="3816" w:type="dxa"/>
            <w:tcMar>
              <w:top w:w="110" w:type="dxa"/>
              <w:left w:w="120" w:type="dxa"/>
              <w:bottom w:w="110" w:type="dxa"/>
              <w:right w:w="120" w:type="dxa"/>
            </w:tcMar>
            <w:vAlign w:val="center"/>
          </w:tcPr>
          <w:p w14:paraId="438036B4" w14:textId="77777777" w:rsidR="003B5F9A" w:rsidRDefault="00000000">
            <w:pPr>
              <w:spacing w:after="0"/>
              <w:rPr>
                <w:rFonts w:hint="eastAsia"/>
              </w:rPr>
            </w:pPr>
            <w:r>
              <w:rPr>
                <w:sz w:val="18"/>
              </w:rPr>
              <w:t>OpenRouter planner</w:t>
            </w:r>
          </w:p>
        </w:tc>
        <w:tc>
          <w:tcPr>
            <w:tcW w:w="5976" w:type="dxa"/>
            <w:tcMar>
              <w:top w:w="110" w:type="dxa"/>
              <w:left w:w="120" w:type="dxa"/>
              <w:bottom w:w="110" w:type="dxa"/>
              <w:right w:w="120" w:type="dxa"/>
            </w:tcMar>
            <w:vAlign w:val="center"/>
          </w:tcPr>
          <w:p w14:paraId="28BF767A" w14:textId="77777777" w:rsidR="003B5F9A" w:rsidRDefault="00000000">
            <w:pPr>
              <w:spacing w:after="0"/>
              <w:rPr>
                <w:rFonts w:hint="eastAsia"/>
              </w:rPr>
            </w:pPr>
            <w:r>
              <w:rPr>
                <w:sz w:val="18"/>
              </w:rPr>
              <w:t>Implemented; free routing showed upstream overload and incomplete output</w:t>
            </w:r>
          </w:p>
        </w:tc>
      </w:tr>
      <w:tr w:rsidR="003B5F9A" w14:paraId="080960D9" w14:textId="77777777">
        <w:trPr>
          <w:cantSplit/>
          <w:jc w:val="center"/>
        </w:trPr>
        <w:tc>
          <w:tcPr>
            <w:tcW w:w="3816" w:type="dxa"/>
            <w:shd w:val="clear" w:color="auto" w:fill="FFFFFF"/>
            <w:tcMar>
              <w:top w:w="110" w:type="dxa"/>
              <w:left w:w="120" w:type="dxa"/>
              <w:bottom w:w="110" w:type="dxa"/>
              <w:right w:w="120" w:type="dxa"/>
            </w:tcMar>
            <w:vAlign w:val="center"/>
          </w:tcPr>
          <w:p w14:paraId="7402F78B" w14:textId="77777777" w:rsidR="003B5F9A" w:rsidRDefault="00000000">
            <w:pPr>
              <w:spacing w:after="0"/>
              <w:rPr>
                <w:rFonts w:hint="eastAsia"/>
              </w:rPr>
            </w:pPr>
            <w:r>
              <w:rPr>
                <w:sz w:val="18"/>
              </w:rPr>
              <w:lastRenderedPageBreak/>
              <w:t>Groq planner</w:t>
            </w:r>
          </w:p>
        </w:tc>
        <w:tc>
          <w:tcPr>
            <w:tcW w:w="5976" w:type="dxa"/>
            <w:shd w:val="clear" w:color="auto" w:fill="FFFFFF"/>
            <w:tcMar>
              <w:top w:w="110" w:type="dxa"/>
              <w:left w:w="120" w:type="dxa"/>
              <w:bottom w:w="110" w:type="dxa"/>
              <w:right w:w="120" w:type="dxa"/>
            </w:tcMar>
            <w:vAlign w:val="center"/>
          </w:tcPr>
          <w:p w14:paraId="30DF77F3" w14:textId="77777777" w:rsidR="003B5F9A" w:rsidRDefault="00000000">
            <w:pPr>
              <w:spacing w:after="0"/>
              <w:rPr>
                <w:rFonts w:hint="eastAsia"/>
              </w:rPr>
            </w:pPr>
            <w:r>
              <w:rPr>
                <w:sz w:val="18"/>
              </w:rPr>
              <w:t>Experimental addition; not included in verified midterm evidence until tests and preflight are complete</w:t>
            </w:r>
          </w:p>
        </w:tc>
      </w:tr>
      <w:tr w:rsidR="003B5F9A" w14:paraId="62F79557" w14:textId="77777777">
        <w:trPr>
          <w:cantSplit/>
          <w:jc w:val="center"/>
        </w:trPr>
        <w:tc>
          <w:tcPr>
            <w:tcW w:w="3816" w:type="dxa"/>
            <w:tcMar>
              <w:top w:w="110" w:type="dxa"/>
              <w:left w:w="120" w:type="dxa"/>
              <w:bottom w:w="110" w:type="dxa"/>
              <w:right w:w="120" w:type="dxa"/>
            </w:tcMar>
            <w:vAlign w:val="center"/>
          </w:tcPr>
          <w:p w14:paraId="6AD527D1" w14:textId="77777777" w:rsidR="003B5F9A" w:rsidRDefault="00000000">
            <w:pPr>
              <w:spacing w:after="0"/>
              <w:rPr>
                <w:rFonts w:hint="eastAsia"/>
              </w:rPr>
            </w:pPr>
            <w:r>
              <w:rPr>
                <w:sz w:val="18"/>
              </w:rPr>
              <w:t>Provider dropdown</w:t>
            </w:r>
          </w:p>
        </w:tc>
        <w:tc>
          <w:tcPr>
            <w:tcW w:w="5976" w:type="dxa"/>
            <w:tcMar>
              <w:top w:w="110" w:type="dxa"/>
              <w:left w:w="120" w:type="dxa"/>
              <w:bottom w:w="110" w:type="dxa"/>
              <w:right w:w="120" w:type="dxa"/>
            </w:tcMar>
            <w:vAlign w:val="center"/>
          </w:tcPr>
          <w:p w14:paraId="0E65659B" w14:textId="77777777" w:rsidR="003B5F9A" w:rsidRDefault="00000000">
            <w:pPr>
              <w:spacing w:after="0"/>
              <w:rPr>
                <w:rFonts w:hint="eastAsia"/>
              </w:rPr>
            </w:pPr>
            <w:r>
              <w:rPr>
                <w:sz w:val="18"/>
              </w:rPr>
              <w:t>Implemented; provider and model are stored with each run</w:t>
            </w:r>
          </w:p>
        </w:tc>
      </w:tr>
      <w:tr w:rsidR="003B5F9A" w14:paraId="652BE3FA" w14:textId="77777777">
        <w:trPr>
          <w:cantSplit/>
          <w:jc w:val="center"/>
        </w:trPr>
        <w:tc>
          <w:tcPr>
            <w:tcW w:w="3816" w:type="dxa"/>
            <w:shd w:val="clear" w:color="auto" w:fill="FFFFFF"/>
            <w:tcMar>
              <w:top w:w="110" w:type="dxa"/>
              <w:left w:w="120" w:type="dxa"/>
              <w:bottom w:w="110" w:type="dxa"/>
              <w:right w:w="120" w:type="dxa"/>
            </w:tcMar>
            <w:vAlign w:val="center"/>
          </w:tcPr>
          <w:p w14:paraId="4F2926FC" w14:textId="77777777" w:rsidR="003B5F9A" w:rsidRDefault="00000000">
            <w:pPr>
              <w:spacing w:after="0"/>
              <w:rPr>
                <w:rFonts w:hint="eastAsia"/>
              </w:rPr>
            </w:pPr>
            <w:r>
              <w:rPr>
                <w:sz w:val="18"/>
              </w:rPr>
              <w:t>Documentation</w:t>
            </w:r>
          </w:p>
        </w:tc>
        <w:tc>
          <w:tcPr>
            <w:tcW w:w="5976" w:type="dxa"/>
            <w:shd w:val="clear" w:color="auto" w:fill="FFFFFF"/>
            <w:tcMar>
              <w:top w:w="110" w:type="dxa"/>
              <w:left w:w="120" w:type="dxa"/>
              <w:bottom w:w="110" w:type="dxa"/>
              <w:right w:w="120" w:type="dxa"/>
            </w:tcMar>
            <w:vAlign w:val="center"/>
          </w:tcPr>
          <w:p w14:paraId="78C97F77" w14:textId="77777777" w:rsidR="003B5F9A" w:rsidRDefault="00000000">
            <w:pPr>
              <w:spacing w:after="0"/>
              <w:rPr>
                <w:rFonts w:hint="eastAsia"/>
              </w:rPr>
            </w:pPr>
            <w:r>
              <w:rPr>
                <w:sz w:val="18"/>
              </w:rPr>
              <w:t>Architecture, handoff, demo runbook, and presentation outline prepared</w:t>
            </w:r>
          </w:p>
        </w:tc>
      </w:tr>
    </w:tbl>
    <w:p w14:paraId="5FD5CF73" w14:textId="77777777" w:rsidR="003B5F9A" w:rsidRDefault="003B5F9A">
      <w:pPr>
        <w:spacing w:after="0"/>
        <w:rPr>
          <w:rFonts w:hint="eastAsia"/>
        </w:rPr>
      </w:pPr>
    </w:p>
    <w:p w14:paraId="2884629E" w14:textId="77777777" w:rsidR="003B5F9A" w:rsidRDefault="00000000">
      <w:pPr>
        <w:pStyle w:val="Heading2"/>
      </w:pPr>
      <w:r>
        <w:t>6.1 Current Evidence</w:t>
      </w:r>
    </w:p>
    <w:p w14:paraId="79C81A31" w14:textId="77777777" w:rsidR="003B5F9A" w:rsidRDefault="00000000">
      <w:pPr>
        <w:spacing w:after="140" w:line="269" w:lineRule="auto"/>
        <w:rPr>
          <w:rFonts w:hint="eastAsia"/>
        </w:rPr>
      </w:pPr>
      <w:r>
        <w:t>Two persisted Gemini runs provide the clearest final individual midterm proofs. Run af03b14a-6700-4b91-a437-b8e3ada1de83 completed the accessible booking in 29 planner calls without fallback. Run cf0e9180-6cd1-4d08-a7f1-972eba776d56 classified the broken fixture as blocked in 13 calls without fallback, with terminal reason KEYBOARD_TARGET_NOT_REACHABLE. Historical live evidence also includes three accessible completions and five broken-control runs with zero false completions. However, the uninterrupted post-fix provider-pure 3+5 matrix remains pending and should not be presented as a completed final gate.</w:t>
      </w:r>
    </w:p>
    <w:p w14:paraId="0CA1BEFE" w14:textId="77777777" w:rsidR="003B5F9A" w:rsidRDefault="00000000">
      <w:pPr>
        <w:spacing w:after="140" w:line="269" w:lineRule="auto"/>
        <w:rPr>
          <w:rFonts w:hint="eastAsia"/>
        </w:rPr>
      </w:pPr>
      <w:r>
        <w:t>The latest documented quality check reports 48 automated tests passing together with Ruff, Pyright, Django system, and migration-drift checks. Headed-browser review also confirmed the provider dropdown and keyboard-accessible dashboard. Groq remains an experimental planner and is not included in the verified midterm evidence.</w:t>
      </w:r>
    </w:p>
    <w:p w14:paraId="3428CD0C" w14:textId="77777777" w:rsidR="003B5F9A" w:rsidRDefault="00000000">
      <w:pPr>
        <w:pStyle w:val="Heading1"/>
      </w:pPr>
      <w:r>
        <w:t>7 Expected Outcomes and Evaluation</w:t>
      </w:r>
    </w:p>
    <w:p w14:paraId="1C4F16BC" w14:textId="77777777" w:rsidR="003B5F9A" w:rsidRDefault="00000000">
      <w:pPr>
        <w:pStyle w:val="Heading2"/>
      </w:pPr>
      <w:r>
        <w:t>7.1 Outcome Classes</w:t>
      </w:r>
    </w:p>
    <w:p w14:paraId="2127E7D1" w14:textId="77777777" w:rsidR="003B5F9A" w:rsidRDefault="00000000">
      <w:pPr>
        <w:spacing w:after="80" w:line="259" w:lineRule="auto"/>
        <w:ind w:left="360" w:hanging="259"/>
        <w:rPr>
          <w:rFonts w:hint="eastAsia"/>
        </w:rPr>
      </w:pPr>
      <w:r>
        <w:t>•</w:t>
      </w:r>
      <w:r>
        <w:tab/>
        <w:t>Completed: the declared confirmation condition is observed.</w:t>
      </w:r>
    </w:p>
    <w:p w14:paraId="12F4F546" w14:textId="77777777" w:rsidR="003B5F9A" w:rsidRDefault="00000000">
      <w:pPr>
        <w:spacing w:after="80" w:line="259" w:lineRule="auto"/>
        <w:ind w:left="360" w:hanging="259"/>
        <w:rPr>
          <w:rFonts w:hint="eastAsia"/>
        </w:rPr>
      </w:pPr>
      <w:r>
        <w:t>•</w:t>
      </w:r>
      <w:r>
        <w:tab/>
        <w:t>Blocked: a defined keyboard barrier prevents progress and is supported by evidence.</w:t>
      </w:r>
    </w:p>
    <w:p w14:paraId="5A7248AF" w14:textId="77777777" w:rsidR="003B5F9A" w:rsidRDefault="00000000">
      <w:pPr>
        <w:spacing w:after="80" w:line="259" w:lineRule="auto"/>
        <w:ind w:left="360" w:hanging="259"/>
        <w:rPr>
          <w:rFonts w:hint="eastAsia"/>
        </w:rPr>
      </w:pPr>
      <w:r>
        <w:t>•</w:t>
      </w:r>
      <w:r>
        <w:tab/>
        <w:t>Inconclusive: the run ends without enough evidence for completion or a confirmed barrier.</w:t>
      </w:r>
    </w:p>
    <w:p w14:paraId="6D5B3BA3" w14:textId="77777777" w:rsidR="003B5F9A" w:rsidRDefault="00000000">
      <w:pPr>
        <w:spacing w:after="80" w:line="259" w:lineRule="auto"/>
        <w:ind w:left="360" w:hanging="259"/>
        <w:rPr>
          <w:rFonts w:hint="eastAsia"/>
        </w:rPr>
      </w:pPr>
      <w:r>
        <w:t>•</w:t>
      </w:r>
      <w:r>
        <w:tab/>
        <w:t>Safety stopped: a proposal or navigation condition violates policy.</w:t>
      </w:r>
    </w:p>
    <w:p w14:paraId="600BC2CA" w14:textId="77777777" w:rsidR="003B5F9A" w:rsidRDefault="00000000">
      <w:pPr>
        <w:spacing w:after="80" w:line="259" w:lineRule="auto"/>
        <w:ind w:left="360" w:hanging="259"/>
        <w:rPr>
          <w:rFonts w:hint="eastAsia"/>
        </w:rPr>
      </w:pPr>
      <w:r>
        <w:t>•</w:t>
      </w:r>
      <w:r>
        <w:tab/>
        <w:t>Provider or environment error: an external model or local service prevents evaluation.</w:t>
      </w:r>
    </w:p>
    <w:p w14:paraId="3E3CB2D9" w14:textId="77777777" w:rsidR="003B5F9A" w:rsidRDefault="00000000">
      <w:pPr>
        <w:pStyle w:val="Heading2"/>
      </w:pPr>
      <w:r>
        <w:t>7.2 Evaluation Measures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96"/>
        <w:gridCol w:w="6696"/>
      </w:tblGrid>
      <w:tr w:rsidR="003B5F9A" w14:paraId="42FEE70F" w14:textId="77777777">
        <w:trPr>
          <w:cantSplit/>
          <w:tblHeader/>
          <w:jc w:val="center"/>
        </w:trPr>
        <w:tc>
          <w:tcPr>
            <w:tcW w:w="3096" w:type="dxa"/>
            <w:shd w:val="clear" w:color="auto" w:fill="FFFFFF"/>
            <w:tcMar>
              <w:top w:w="110" w:type="dxa"/>
              <w:left w:w="120" w:type="dxa"/>
              <w:bottom w:w="110" w:type="dxa"/>
              <w:right w:w="120" w:type="dxa"/>
            </w:tcMar>
            <w:vAlign w:val="center"/>
          </w:tcPr>
          <w:p w14:paraId="39A60526" w14:textId="77777777" w:rsidR="003B5F9A" w:rsidRDefault="00000000">
            <w:pPr>
              <w:jc w:val="center"/>
              <w:rPr>
                <w:rFonts w:hint="eastAsia"/>
              </w:rPr>
            </w:pPr>
            <w:r>
              <w:rPr>
                <w:b/>
                <w:sz w:val="19"/>
              </w:rPr>
              <w:t>Measure</w:t>
            </w:r>
          </w:p>
        </w:tc>
        <w:tc>
          <w:tcPr>
            <w:tcW w:w="6696" w:type="dxa"/>
            <w:shd w:val="clear" w:color="auto" w:fill="FFFFFF"/>
            <w:tcMar>
              <w:top w:w="110" w:type="dxa"/>
              <w:left w:w="120" w:type="dxa"/>
              <w:bottom w:w="110" w:type="dxa"/>
              <w:right w:w="120" w:type="dxa"/>
            </w:tcMar>
            <w:vAlign w:val="center"/>
          </w:tcPr>
          <w:p w14:paraId="3120663C" w14:textId="77777777" w:rsidR="003B5F9A" w:rsidRDefault="00000000">
            <w:pPr>
              <w:jc w:val="center"/>
              <w:rPr>
                <w:rFonts w:hint="eastAsia"/>
              </w:rPr>
            </w:pPr>
            <w:r>
              <w:rPr>
                <w:b/>
                <w:sz w:val="19"/>
              </w:rPr>
              <w:t>Interpretation</w:t>
            </w:r>
          </w:p>
        </w:tc>
      </w:tr>
      <w:tr w:rsidR="003B5F9A" w14:paraId="709203A2" w14:textId="77777777">
        <w:trPr>
          <w:cantSplit/>
          <w:jc w:val="center"/>
        </w:trPr>
        <w:tc>
          <w:tcPr>
            <w:tcW w:w="3096" w:type="dxa"/>
            <w:tcMar>
              <w:top w:w="110" w:type="dxa"/>
              <w:left w:w="120" w:type="dxa"/>
              <w:bottom w:w="110" w:type="dxa"/>
              <w:right w:w="120" w:type="dxa"/>
            </w:tcMar>
            <w:vAlign w:val="center"/>
          </w:tcPr>
          <w:p w14:paraId="47F30D6E" w14:textId="77777777" w:rsidR="003B5F9A" w:rsidRDefault="00000000">
            <w:pPr>
              <w:spacing w:after="0"/>
              <w:rPr>
                <w:rFonts w:hint="eastAsia"/>
              </w:rPr>
            </w:pPr>
            <w:r>
              <w:rPr>
                <w:sz w:val="18"/>
              </w:rPr>
              <w:t>Task completion rate</w:t>
            </w:r>
          </w:p>
        </w:tc>
        <w:tc>
          <w:tcPr>
            <w:tcW w:w="6696" w:type="dxa"/>
            <w:tcMar>
              <w:top w:w="110" w:type="dxa"/>
              <w:left w:w="120" w:type="dxa"/>
              <w:bottom w:w="110" w:type="dxa"/>
              <w:right w:w="120" w:type="dxa"/>
            </w:tcMar>
            <w:vAlign w:val="center"/>
          </w:tcPr>
          <w:p w14:paraId="52570CC7" w14:textId="77777777" w:rsidR="003B5F9A" w:rsidRDefault="00000000">
            <w:pPr>
              <w:spacing w:after="0"/>
              <w:rPr>
                <w:rFonts w:hint="eastAsia"/>
              </w:rPr>
            </w:pPr>
            <w:r>
              <w:rPr>
                <w:sz w:val="18"/>
              </w:rPr>
              <w:t>Percentage of accessible runs that reach the declared completion state</w:t>
            </w:r>
          </w:p>
        </w:tc>
      </w:tr>
      <w:tr w:rsidR="003B5F9A" w14:paraId="258AE7D7" w14:textId="77777777">
        <w:trPr>
          <w:cantSplit/>
          <w:jc w:val="center"/>
        </w:trPr>
        <w:tc>
          <w:tcPr>
            <w:tcW w:w="3096" w:type="dxa"/>
            <w:shd w:val="clear" w:color="auto" w:fill="FFFFFF"/>
            <w:tcMar>
              <w:top w:w="110" w:type="dxa"/>
              <w:left w:w="120" w:type="dxa"/>
              <w:bottom w:w="110" w:type="dxa"/>
              <w:right w:w="120" w:type="dxa"/>
            </w:tcMar>
            <w:vAlign w:val="center"/>
          </w:tcPr>
          <w:p w14:paraId="2CA259C9" w14:textId="77777777" w:rsidR="003B5F9A" w:rsidRDefault="00000000">
            <w:pPr>
              <w:spacing w:after="0"/>
              <w:rPr>
                <w:rFonts w:hint="eastAsia"/>
              </w:rPr>
            </w:pPr>
            <w:r>
              <w:rPr>
                <w:sz w:val="18"/>
              </w:rPr>
              <w:t>Correct block rate</w:t>
            </w:r>
          </w:p>
        </w:tc>
        <w:tc>
          <w:tcPr>
            <w:tcW w:w="6696" w:type="dxa"/>
            <w:shd w:val="clear" w:color="auto" w:fill="FFFFFF"/>
            <w:tcMar>
              <w:top w:w="110" w:type="dxa"/>
              <w:left w:w="120" w:type="dxa"/>
              <w:bottom w:w="110" w:type="dxa"/>
              <w:right w:w="120" w:type="dxa"/>
            </w:tcMar>
            <w:vAlign w:val="center"/>
          </w:tcPr>
          <w:p w14:paraId="6B5B3847" w14:textId="77777777" w:rsidR="003B5F9A" w:rsidRDefault="00000000">
            <w:pPr>
              <w:spacing w:after="0"/>
              <w:rPr>
                <w:rFonts w:hint="eastAsia"/>
              </w:rPr>
            </w:pPr>
            <w:r>
              <w:rPr>
                <w:sz w:val="18"/>
              </w:rPr>
              <w:t>Percentage of broken runs correctly classified as blocked</w:t>
            </w:r>
          </w:p>
        </w:tc>
      </w:tr>
      <w:tr w:rsidR="003B5F9A" w14:paraId="334CECD2" w14:textId="77777777">
        <w:trPr>
          <w:cantSplit/>
          <w:jc w:val="center"/>
        </w:trPr>
        <w:tc>
          <w:tcPr>
            <w:tcW w:w="3096" w:type="dxa"/>
            <w:tcMar>
              <w:top w:w="110" w:type="dxa"/>
              <w:left w:w="120" w:type="dxa"/>
              <w:bottom w:w="110" w:type="dxa"/>
              <w:right w:w="120" w:type="dxa"/>
            </w:tcMar>
            <w:vAlign w:val="center"/>
          </w:tcPr>
          <w:p w14:paraId="5CECFA3F" w14:textId="77777777" w:rsidR="003B5F9A" w:rsidRDefault="00000000">
            <w:pPr>
              <w:spacing w:after="0"/>
              <w:rPr>
                <w:rFonts w:hint="eastAsia"/>
              </w:rPr>
            </w:pPr>
            <w:r>
              <w:rPr>
                <w:sz w:val="18"/>
              </w:rPr>
              <w:t>False completion rate</w:t>
            </w:r>
          </w:p>
        </w:tc>
        <w:tc>
          <w:tcPr>
            <w:tcW w:w="6696" w:type="dxa"/>
            <w:tcMar>
              <w:top w:w="110" w:type="dxa"/>
              <w:left w:w="120" w:type="dxa"/>
              <w:bottom w:w="110" w:type="dxa"/>
              <w:right w:w="120" w:type="dxa"/>
            </w:tcMar>
            <w:vAlign w:val="center"/>
          </w:tcPr>
          <w:p w14:paraId="0A49263F" w14:textId="77777777" w:rsidR="003B5F9A" w:rsidRDefault="00000000">
            <w:pPr>
              <w:spacing w:after="0"/>
              <w:rPr>
                <w:rFonts w:hint="eastAsia"/>
              </w:rPr>
            </w:pPr>
            <w:r>
              <w:rPr>
                <w:sz w:val="18"/>
              </w:rPr>
              <w:t>Broken runs incorrectly reported as completed; target is zero</w:t>
            </w:r>
          </w:p>
        </w:tc>
      </w:tr>
      <w:tr w:rsidR="003B5F9A" w14:paraId="1E9E706A" w14:textId="77777777">
        <w:trPr>
          <w:cantSplit/>
          <w:jc w:val="center"/>
        </w:trPr>
        <w:tc>
          <w:tcPr>
            <w:tcW w:w="3096" w:type="dxa"/>
            <w:shd w:val="clear" w:color="auto" w:fill="FFFFFF"/>
            <w:tcMar>
              <w:top w:w="110" w:type="dxa"/>
              <w:left w:w="120" w:type="dxa"/>
              <w:bottom w:w="110" w:type="dxa"/>
              <w:right w:w="120" w:type="dxa"/>
            </w:tcMar>
            <w:vAlign w:val="center"/>
          </w:tcPr>
          <w:p w14:paraId="2925F507" w14:textId="77777777" w:rsidR="003B5F9A" w:rsidRDefault="00000000">
            <w:pPr>
              <w:spacing w:after="0"/>
              <w:rPr>
                <w:rFonts w:hint="eastAsia"/>
              </w:rPr>
            </w:pPr>
            <w:r>
              <w:rPr>
                <w:sz w:val="18"/>
              </w:rPr>
              <w:t>False block rate</w:t>
            </w:r>
          </w:p>
        </w:tc>
        <w:tc>
          <w:tcPr>
            <w:tcW w:w="6696" w:type="dxa"/>
            <w:shd w:val="clear" w:color="auto" w:fill="FFFFFF"/>
            <w:tcMar>
              <w:top w:w="110" w:type="dxa"/>
              <w:left w:w="120" w:type="dxa"/>
              <w:bottom w:w="110" w:type="dxa"/>
              <w:right w:w="120" w:type="dxa"/>
            </w:tcMar>
            <w:vAlign w:val="center"/>
          </w:tcPr>
          <w:p w14:paraId="3035E4FC" w14:textId="77777777" w:rsidR="003B5F9A" w:rsidRDefault="00000000">
            <w:pPr>
              <w:spacing w:after="0"/>
              <w:rPr>
                <w:rFonts w:hint="eastAsia"/>
              </w:rPr>
            </w:pPr>
            <w:r>
              <w:rPr>
                <w:sz w:val="18"/>
              </w:rPr>
              <w:t>Accessible runs incorrectly reported as blocked</w:t>
            </w:r>
          </w:p>
        </w:tc>
      </w:tr>
      <w:tr w:rsidR="003B5F9A" w14:paraId="2593B7E6" w14:textId="77777777">
        <w:trPr>
          <w:cantSplit/>
          <w:jc w:val="center"/>
        </w:trPr>
        <w:tc>
          <w:tcPr>
            <w:tcW w:w="3096" w:type="dxa"/>
            <w:tcMar>
              <w:top w:w="110" w:type="dxa"/>
              <w:left w:w="120" w:type="dxa"/>
              <w:bottom w:w="110" w:type="dxa"/>
              <w:right w:w="120" w:type="dxa"/>
            </w:tcMar>
            <w:vAlign w:val="center"/>
          </w:tcPr>
          <w:p w14:paraId="3F4B5651" w14:textId="77777777" w:rsidR="003B5F9A" w:rsidRDefault="00000000">
            <w:pPr>
              <w:spacing w:after="0"/>
              <w:rPr>
                <w:rFonts w:hint="eastAsia"/>
              </w:rPr>
            </w:pPr>
            <w:r>
              <w:rPr>
                <w:sz w:val="18"/>
              </w:rPr>
              <w:lastRenderedPageBreak/>
              <w:t>Fallback rate</w:t>
            </w:r>
          </w:p>
        </w:tc>
        <w:tc>
          <w:tcPr>
            <w:tcW w:w="6696" w:type="dxa"/>
            <w:tcMar>
              <w:top w:w="110" w:type="dxa"/>
              <w:left w:w="120" w:type="dxa"/>
              <w:bottom w:w="110" w:type="dxa"/>
              <w:right w:w="120" w:type="dxa"/>
            </w:tcMar>
            <w:vAlign w:val="center"/>
          </w:tcPr>
          <w:p w14:paraId="483B4A07" w14:textId="77777777" w:rsidR="003B5F9A" w:rsidRDefault="00000000">
            <w:pPr>
              <w:spacing w:after="0"/>
              <w:rPr>
                <w:rFonts w:hint="eastAsia"/>
              </w:rPr>
            </w:pPr>
            <w:r>
              <w:rPr>
                <w:sz w:val="18"/>
              </w:rPr>
              <w:t>Runs in which live planning switches to deterministic contingency</w:t>
            </w:r>
          </w:p>
        </w:tc>
      </w:tr>
      <w:tr w:rsidR="003B5F9A" w14:paraId="71CDC8E7" w14:textId="77777777">
        <w:trPr>
          <w:cantSplit/>
          <w:jc w:val="center"/>
        </w:trPr>
        <w:tc>
          <w:tcPr>
            <w:tcW w:w="3096" w:type="dxa"/>
            <w:shd w:val="clear" w:color="auto" w:fill="FFFFFF"/>
            <w:tcMar>
              <w:top w:w="110" w:type="dxa"/>
              <w:left w:w="120" w:type="dxa"/>
              <w:bottom w:w="110" w:type="dxa"/>
              <w:right w:w="120" w:type="dxa"/>
            </w:tcMar>
            <w:vAlign w:val="center"/>
          </w:tcPr>
          <w:p w14:paraId="2F02C5BA" w14:textId="77777777" w:rsidR="003B5F9A" w:rsidRDefault="00000000">
            <w:pPr>
              <w:spacing w:after="0"/>
              <w:rPr>
                <w:rFonts w:hint="eastAsia"/>
              </w:rPr>
            </w:pPr>
            <w:r>
              <w:rPr>
                <w:sz w:val="18"/>
              </w:rPr>
              <w:t>Repeated-run agreement</w:t>
            </w:r>
          </w:p>
        </w:tc>
        <w:tc>
          <w:tcPr>
            <w:tcW w:w="6696" w:type="dxa"/>
            <w:shd w:val="clear" w:color="auto" w:fill="FFFFFF"/>
            <w:tcMar>
              <w:top w:w="110" w:type="dxa"/>
              <w:left w:w="120" w:type="dxa"/>
              <w:bottom w:w="110" w:type="dxa"/>
              <w:right w:w="120" w:type="dxa"/>
            </w:tcMar>
            <w:vAlign w:val="center"/>
          </w:tcPr>
          <w:p w14:paraId="18683BE0" w14:textId="77777777" w:rsidR="003B5F9A" w:rsidRDefault="00000000">
            <w:pPr>
              <w:spacing w:after="0"/>
              <w:rPr>
                <w:rFonts w:hint="eastAsia"/>
              </w:rPr>
            </w:pPr>
            <w:r>
              <w:rPr>
                <w:sz w:val="18"/>
              </w:rPr>
              <w:t>Consistency of outcomes across repeated runs</w:t>
            </w:r>
          </w:p>
        </w:tc>
      </w:tr>
      <w:tr w:rsidR="003B5F9A" w14:paraId="5728F7C8" w14:textId="77777777">
        <w:trPr>
          <w:cantSplit/>
          <w:jc w:val="center"/>
        </w:trPr>
        <w:tc>
          <w:tcPr>
            <w:tcW w:w="3096" w:type="dxa"/>
            <w:tcMar>
              <w:top w:w="110" w:type="dxa"/>
              <w:left w:w="120" w:type="dxa"/>
              <w:bottom w:w="110" w:type="dxa"/>
              <w:right w:w="120" w:type="dxa"/>
            </w:tcMar>
            <w:vAlign w:val="center"/>
          </w:tcPr>
          <w:p w14:paraId="7EA13F86" w14:textId="77777777" w:rsidR="003B5F9A" w:rsidRDefault="00000000">
            <w:pPr>
              <w:spacing w:after="0"/>
              <w:rPr>
                <w:rFonts w:hint="eastAsia"/>
              </w:rPr>
            </w:pPr>
            <w:r>
              <w:rPr>
                <w:sz w:val="18"/>
              </w:rPr>
              <w:t>Evidence completeness</w:t>
            </w:r>
          </w:p>
        </w:tc>
        <w:tc>
          <w:tcPr>
            <w:tcW w:w="6696" w:type="dxa"/>
            <w:tcMar>
              <w:top w:w="110" w:type="dxa"/>
              <w:left w:w="120" w:type="dxa"/>
              <w:bottom w:w="110" w:type="dxa"/>
              <w:right w:w="120" w:type="dxa"/>
            </w:tcMar>
            <w:vAlign w:val="center"/>
          </w:tcPr>
          <w:p w14:paraId="0B0EF065" w14:textId="77777777" w:rsidR="003B5F9A" w:rsidRDefault="00000000">
            <w:pPr>
              <w:spacing w:after="0"/>
              <w:rPr>
                <w:rFonts w:hint="eastAsia"/>
              </w:rPr>
            </w:pPr>
            <w:r>
              <w:rPr>
                <w:sz w:val="18"/>
              </w:rPr>
              <w:t>Availability of action, focus, result, screenshot, reason, and provider metadata</w:t>
            </w:r>
          </w:p>
        </w:tc>
      </w:tr>
      <w:tr w:rsidR="003B5F9A" w14:paraId="3700CB82" w14:textId="77777777">
        <w:trPr>
          <w:cantSplit/>
          <w:jc w:val="center"/>
        </w:trPr>
        <w:tc>
          <w:tcPr>
            <w:tcW w:w="3096" w:type="dxa"/>
            <w:shd w:val="clear" w:color="auto" w:fill="FFFFFF"/>
            <w:tcMar>
              <w:top w:w="110" w:type="dxa"/>
              <w:left w:w="120" w:type="dxa"/>
              <w:bottom w:w="110" w:type="dxa"/>
              <w:right w:w="120" w:type="dxa"/>
            </w:tcMar>
            <w:vAlign w:val="center"/>
          </w:tcPr>
          <w:p w14:paraId="59B68A1F" w14:textId="77777777" w:rsidR="003B5F9A" w:rsidRDefault="00000000">
            <w:pPr>
              <w:spacing w:after="0"/>
              <w:rPr>
                <w:rFonts w:hint="eastAsia"/>
              </w:rPr>
            </w:pPr>
            <w:r>
              <w:rPr>
                <w:sz w:val="18"/>
              </w:rPr>
              <w:t>Efficiency</w:t>
            </w:r>
          </w:p>
        </w:tc>
        <w:tc>
          <w:tcPr>
            <w:tcW w:w="6696" w:type="dxa"/>
            <w:shd w:val="clear" w:color="auto" w:fill="FFFFFF"/>
            <w:tcMar>
              <w:top w:w="110" w:type="dxa"/>
              <w:left w:w="120" w:type="dxa"/>
              <w:bottom w:w="110" w:type="dxa"/>
              <w:right w:w="120" w:type="dxa"/>
            </w:tcMar>
            <w:vAlign w:val="center"/>
          </w:tcPr>
          <w:p w14:paraId="4ADDB8A1" w14:textId="77777777" w:rsidR="003B5F9A" w:rsidRDefault="00000000">
            <w:pPr>
              <w:spacing w:after="0"/>
              <w:rPr>
                <w:rFonts w:hint="eastAsia"/>
              </w:rPr>
            </w:pPr>
            <w:r>
              <w:rPr>
                <w:sz w:val="18"/>
              </w:rPr>
              <w:t>Calls, executed steps, elapsed time, and provider failures</w:t>
            </w:r>
          </w:p>
        </w:tc>
      </w:tr>
    </w:tbl>
    <w:p w14:paraId="348C1DF5" w14:textId="77777777" w:rsidR="003B5F9A" w:rsidRDefault="003B5F9A">
      <w:pPr>
        <w:spacing w:after="0"/>
        <w:rPr>
          <w:rFonts w:hint="eastAsia"/>
        </w:rPr>
      </w:pPr>
    </w:p>
    <w:p w14:paraId="7E6610C6" w14:textId="77777777" w:rsidR="003B5F9A" w:rsidRDefault="00000000">
      <w:pPr>
        <w:spacing w:after="140" w:line="269" w:lineRule="auto"/>
      </w:pPr>
      <w:r>
        <w:t>The Phase 1 exit target is a provider-pure matrix of three accessible completions and five broken runs with zero false completions and no deterministic fallback counted as live-model evidence. Provider results must not be mixed. The team must first confirm whether the academic requirement specifically demands Gemini or accepts any fixed, preflight-verified live provider.</w:t>
      </w:r>
    </w:p>
    <w:p w14:paraId="43656130" w14:textId="77777777" w:rsidR="001D4386" w:rsidRDefault="001D4386">
      <w:pPr>
        <w:spacing w:after="140" w:line="269" w:lineRule="auto"/>
        <w:rPr>
          <w:rFonts w:hint="eastAsia"/>
        </w:rPr>
      </w:pPr>
    </w:p>
    <w:p w14:paraId="2C9E74CA" w14:textId="77777777" w:rsidR="003B5F9A" w:rsidRDefault="00000000">
      <w:pPr>
        <w:pStyle w:val="Heading1"/>
      </w:pPr>
      <w:r>
        <w:t>8 Limitations and Risk Management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6408"/>
      </w:tblGrid>
      <w:tr w:rsidR="003B5F9A" w14:paraId="1955EE49" w14:textId="77777777">
        <w:trPr>
          <w:cantSplit/>
          <w:tblHeader/>
          <w:jc w:val="center"/>
        </w:trPr>
        <w:tc>
          <w:tcPr>
            <w:tcW w:w="3384" w:type="dxa"/>
            <w:shd w:val="clear" w:color="auto" w:fill="FFFFFF"/>
            <w:tcMar>
              <w:top w:w="110" w:type="dxa"/>
              <w:left w:w="120" w:type="dxa"/>
              <w:bottom w:w="110" w:type="dxa"/>
              <w:right w:w="120" w:type="dxa"/>
            </w:tcMar>
            <w:vAlign w:val="center"/>
          </w:tcPr>
          <w:p w14:paraId="55F342C5" w14:textId="77777777" w:rsidR="003B5F9A" w:rsidRDefault="00000000">
            <w:pPr>
              <w:jc w:val="center"/>
              <w:rPr>
                <w:rFonts w:hint="eastAsia"/>
              </w:rPr>
            </w:pPr>
            <w:r>
              <w:rPr>
                <w:b/>
                <w:sz w:val="19"/>
              </w:rPr>
              <w:t>Limitation or risk</w:t>
            </w:r>
          </w:p>
        </w:tc>
        <w:tc>
          <w:tcPr>
            <w:tcW w:w="6408" w:type="dxa"/>
            <w:shd w:val="clear" w:color="auto" w:fill="FFFFFF"/>
            <w:tcMar>
              <w:top w:w="110" w:type="dxa"/>
              <w:left w:w="120" w:type="dxa"/>
              <w:bottom w:w="110" w:type="dxa"/>
              <w:right w:w="120" w:type="dxa"/>
            </w:tcMar>
            <w:vAlign w:val="center"/>
          </w:tcPr>
          <w:p w14:paraId="70557427" w14:textId="77777777" w:rsidR="003B5F9A" w:rsidRDefault="00000000">
            <w:pPr>
              <w:jc w:val="center"/>
              <w:rPr>
                <w:rFonts w:hint="eastAsia"/>
              </w:rPr>
            </w:pPr>
            <w:r>
              <w:rPr>
                <w:b/>
                <w:sz w:val="19"/>
              </w:rPr>
              <w:t>Mitigation</w:t>
            </w:r>
          </w:p>
        </w:tc>
      </w:tr>
      <w:tr w:rsidR="003B5F9A" w14:paraId="7A8DE539" w14:textId="77777777">
        <w:trPr>
          <w:cantSplit/>
          <w:jc w:val="center"/>
        </w:trPr>
        <w:tc>
          <w:tcPr>
            <w:tcW w:w="3384" w:type="dxa"/>
            <w:tcMar>
              <w:top w:w="110" w:type="dxa"/>
              <w:left w:w="120" w:type="dxa"/>
              <w:bottom w:w="110" w:type="dxa"/>
              <w:right w:w="120" w:type="dxa"/>
            </w:tcMar>
            <w:vAlign w:val="center"/>
          </w:tcPr>
          <w:p w14:paraId="10A33293" w14:textId="77777777" w:rsidR="003B5F9A" w:rsidRDefault="00000000">
            <w:pPr>
              <w:spacing w:after="0"/>
              <w:rPr>
                <w:rFonts w:hint="eastAsia"/>
              </w:rPr>
            </w:pPr>
            <w:r>
              <w:rPr>
                <w:sz w:val="18"/>
              </w:rPr>
              <w:t>Provider quota and temporary outages</w:t>
            </w:r>
          </w:p>
        </w:tc>
        <w:tc>
          <w:tcPr>
            <w:tcW w:w="6408" w:type="dxa"/>
            <w:tcMar>
              <w:top w:w="110" w:type="dxa"/>
              <w:left w:w="120" w:type="dxa"/>
              <w:bottom w:w="110" w:type="dxa"/>
              <w:right w:w="120" w:type="dxa"/>
            </w:tcMar>
            <w:vAlign w:val="center"/>
          </w:tcPr>
          <w:p w14:paraId="5FD7F2E3" w14:textId="77777777" w:rsidR="003B5F9A" w:rsidRDefault="00000000">
            <w:pPr>
              <w:spacing w:after="0"/>
              <w:rPr>
                <w:rFonts w:hint="eastAsia"/>
              </w:rPr>
            </w:pPr>
            <w:r>
              <w:rPr>
                <w:sz w:val="18"/>
              </w:rPr>
              <w:t>Persist successful evidence, use bounded retries and pacing, keep deterministic contingency clearly labelled</w:t>
            </w:r>
          </w:p>
        </w:tc>
      </w:tr>
      <w:tr w:rsidR="003B5F9A" w14:paraId="38CA0364" w14:textId="77777777">
        <w:trPr>
          <w:cantSplit/>
          <w:jc w:val="center"/>
        </w:trPr>
        <w:tc>
          <w:tcPr>
            <w:tcW w:w="3384" w:type="dxa"/>
            <w:shd w:val="clear" w:color="auto" w:fill="FFFFFF"/>
            <w:tcMar>
              <w:top w:w="110" w:type="dxa"/>
              <w:left w:w="120" w:type="dxa"/>
              <w:bottom w:w="110" w:type="dxa"/>
              <w:right w:w="120" w:type="dxa"/>
            </w:tcMar>
            <w:vAlign w:val="center"/>
          </w:tcPr>
          <w:p w14:paraId="309FB817" w14:textId="77777777" w:rsidR="003B5F9A" w:rsidRDefault="00000000">
            <w:pPr>
              <w:spacing w:after="0"/>
              <w:rPr>
                <w:rFonts w:hint="eastAsia"/>
              </w:rPr>
            </w:pPr>
            <w:r>
              <w:rPr>
                <w:sz w:val="18"/>
              </w:rPr>
              <w:t>Changing free-router models</w:t>
            </w:r>
          </w:p>
        </w:tc>
        <w:tc>
          <w:tcPr>
            <w:tcW w:w="6408" w:type="dxa"/>
            <w:shd w:val="clear" w:color="auto" w:fill="FFFFFF"/>
            <w:tcMar>
              <w:top w:w="110" w:type="dxa"/>
              <w:left w:w="120" w:type="dxa"/>
              <w:bottom w:w="110" w:type="dxa"/>
              <w:right w:w="120" w:type="dxa"/>
            </w:tcMar>
            <w:vAlign w:val="center"/>
          </w:tcPr>
          <w:p w14:paraId="7A6611E9" w14:textId="77777777" w:rsidR="003B5F9A" w:rsidRDefault="00000000">
            <w:pPr>
              <w:spacing w:after="0"/>
              <w:rPr>
                <w:rFonts w:hint="eastAsia"/>
              </w:rPr>
            </w:pPr>
            <w:r>
              <w:rPr>
                <w:sz w:val="18"/>
              </w:rPr>
              <w:t>Use a fixed preflight-verified model for final evidence</w:t>
            </w:r>
          </w:p>
        </w:tc>
      </w:tr>
      <w:tr w:rsidR="003B5F9A" w14:paraId="00C78745" w14:textId="77777777">
        <w:trPr>
          <w:cantSplit/>
          <w:jc w:val="center"/>
        </w:trPr>
        <w:tc>
          <w:tcPr>
            <w:tcW w:w="3384" w:type="dxa"/>
            <w:tcMar>
              <w:top w:w="110" w:type="dxa"/>
              <w:left w:w="120" w:type="dxa"/>
              <w:bottom w:w="110" w:type="dxa"/>
              <w:right w:w="120" w:type="dxa"/>
            </w:tcMar>
            <w:vAlign w:val="center"/>
          </w:tcPr>
          <w:p w14:paraId="38F0F4F6" w14:textId="77777777" w:rsidR="003B5F9A" w:rsidRDefault="00000000">
            <w:pPr>
              <w:spacing w:after="0"/>
              <w:rPr>
                <w:rFonts w:hint="eastAsia"/>
              </w:rPr>
            </w:pPr>
            <w:r>
              <w:rPr>
                <w:sz w:val="18"/>
              </w:rPr>
              <w:t>LLM invalid or unsafe actions</w:t>
            </w:r>
          </w:p>
        </w:tc>
        <w:tc>
          <w:tcPr>
            <w:tcW w:w="6408" w:type="dxa"/>
            <w:tcMar>
              <w:top w:w="110" w:type="dxa"/>
              <w:left w:w="120" w:type="dxa"/>
              <w:bottom w:w="110" w:type="dxa"/>
              <w:right w:w="120" w:type="dxa"/>
            </w:tcMar>
            <w:vAlign w:val="center"/>
          </w:tcPr>
          <w:p w14:paraId="0EF24ED9" w14:textId="77777777" w:rsidR="003B5F9A" w:rsidRDefault="00000000">
            <w:pPr>
              <w:spacing w:after="0"/>
              <w:rPr>
                <w:rFonts w:hint="eastAsia"/>
              </w:rPr>
            </w:pPr>
            <w:r>
              <w:rPr>
                <w:sz w:val="18"/>
              </w:rPr>
              <w:t>Strict action schema, server validation, deterministic policy, and bounded budgets</w:t>
            </w:r>
          </w:p>
        </w:tc>
      </w:tr>
      <w:tr w:rsidR="003B5F9A" w14:paraId="0A585396" w14:textId="77777777">
        <w:trPr>
          <w:cantSplit/>
          <w:jc w:val="center"/>
        </w:trPr>
        <w:tc>
          <w:tcPr>
            <w:tcW w:w="3384" w:type="dxa"/>
            <w:shd w:val="clear" w:color="auto" w:fill="FFFFFF"/>
            <w:tcMar>
              <w:top w:w="110" w:type="dxa"/>
              <w:left w:w="120" w:type="dxa"/>
              <w:bottom w:w="110" w:type="dxa"/>
              <w:right w:w="120" w:type="dxa"/>
            </w:tcMar>
            <w:vAlign w:val="center"/>
          </w:tcPr>
          <w:p w14:paraId="019D0A88" w14:textId="77777777" w:rsidR="003B5F9A" w:rsidRDefault="00000000">
            <w:pPr>
              <w:spacing w:after="0"/>
              <w:rPr>
                <w:rFonts w:hint="eastAsia"/>
              </w:rPr>
            </w:pPr>
            <w:r>
              <w:rPr>
                <w:sz w:val="18"/>
              </w:rPr>
              <w:t>Overstating accessibility coverage</w:t>
            </w:r>
          </w:p>
        </w:tc>
        <w:tc>
          <w:tcPr>
            <w:tcW w:w="6408" w:type="dxa"/>
            <w:shd w:val="clear" w:color="auto" w:fill="FFFFFF"/>
            <w:tcMar>
              <w:top w:w="110" w:type="dxa"/>
              <w:left w:w="120" w:type="dxa"/>
              <w:bottom w:w="110" w:type="dxa"/>
              <w:right w:w="120" w:type="dxa"/>
            </w:tcMar>
            <w:vAlign w:val="center"/>
          </w:tcPr>
          <w:p w14:paraId="00A9BA2F" w14:textId="77777777" w:rsidR="003B5F9A" w:rsidRDefault="00000000">
            <w:pPr>
              <w:spacing w:after="0"/>
              <w:rPr>
                <w:rFonts w:hint="eastAsia"/>
              </w:rPr>
            </w:pPr>
            <w:r>
              <w:rPr>
                <w:sz w:val="18"/>
              </w:rPr>
              <w:t>Report a keyboard-profile result, not full WCAG or legal conformance</w:t>
            </w:r>
          </w:p>
        </w:tc>
      </w:tr>
      <w:tr w:rsidR="003B5F9A" w14:paraId="1C3D3B5D" w14:textId="77777777">
        <w:trPr>
          <w:cantSplit/>
          <w:jc w:val="center"/>
        </w:trPr>
        <w:tc>
          <w:tcPr>
            <w:tcW w:w="3384" w:type="dxa"/>
            <w:tcMar>
              <w:top w:w="110" w:type="dxa"/>
              <w:left w:w="120" w:type="dxa"/>
              <w:bottom w:w="110" w:type="dxa"/>
              <w:right w:w="120" w:type="dxa"/>
            </w:tcMar>
            <w:vAlign w:val="center"/>
          </w:tcPr>
          <w:p w14:paraId="798B56A9" w14:textId="77777777" w:rsidR="003B5F9A" w:rsidRDefault="00000000">
            <w:pPr>
              <w:spacing w:after="0"/>
              <w:rPr>
                <w:rFonts w:hint="eastAsia"/>
              </w:rPr>
            </w:pPr>
            <w:r>
              <w:rPr>
                <w:sz w:val="18"/>
              </w:rPr>
              <w:t>Limited benchmark</w:t>
            </w:r>
          </w:p>
        </w:tc>
        <w:tc>
          <w:tcPr>
            <w:tcW w:w="6408" w:type="dxa"/>
            <w:tcMar>
              <w:top w:w="110" w:type="dxa"/>
              <w:left w:w="120" w:type="dxa"/>
              <w:bottom w:w="110" w:type="dxa"/>
              <w:right w:w="120" w:type="dxa"/>
            </w:tcMar>
            <w:vAlign w:val="center"/>
          </w:tcPr>
          <w:p w14:paraId="71887D56" w14:textId="77777777" w:rsidR="003B5F9A" w:rsidRDefault="00000000">
            <w:pPr>
              <w:spacing w:after="0"/>
              <w:rPr>
                <w:rFonts w:hint="eastAsia"/>
              </w:rPr>
            </w:pPr>
            <w:r>
              <w:rPr>
                <w:sz w:val="18"/>
              </w:rPr>
              <w:t>Use controlled ground truth now; expand journey families and barriers later</w:t>
            </w:r>
          </w:p>
        </w:tc>
      </w:tr>
      <w:tr w:rsidR="003B5F9A" w14:paraId="1F5DC5A4" w14:textId="77777777">
        <w:trPr>
          <w:cantSplit/>
          <w:jc w:val="center"/>
        </w:trPr>
        <w:tc>
          <w:tcPr>
            <w:tcW w:w="3384" w:type="dxa"/>
            <w:shd w:val="clear" w:color="auto" w:fill="FFFFFF"/>
            <w:tcMar>
              <w:top w:w="110" w:type="dxa"/>
              <w:left w:w="120" w:type="dxa"/>
              <w:bottom w:w="110" w:type="dxa"/>
              <w:right w:w="120" w:type="dxa"/>
            </w:tcMar>
            <w:vAlign w:val="center"/>
          </w:tcPr>
          <w:p w14:paraId="741B20A5" w14:textId="77777777" w:rsidR="003B5F9A" w:rsidRDefault="00000000">
            <w:pPr>
              <w:spacing w:after="0"/>
              <w:rPr>
                <w:rFonts w:hint="eastAsia"/>
              </w:rPr>
            </w:pPr>
            <w:r>
              <w:rPr>
                <w:sz w:val="18"/>
              </w:rPr>
              <w:t>No user study yet</w:t>
            </w:r>
          </w:p>
        </w:tc>
        <w:tc>
          <w:tcPr>
            <w:tcW w:w="6408" w:type="dxa"/>
            <w:shd w:val="clear" w:color="auto" w:fill="FFFFFF"/>
            <w:tcMar>
              <w:top w:w="110" w:type="dxa"/>
              <w:left w:w="120" w:type="dxa"/>
              <w:bottom w:w="110" w:type="dxa"/>
              <w:right w:w="120" w:type="dxa"/>
            </w:tcMar>
            <w:vAlign w:val="center"/>
          </w:tcPr>
          <w:p w14:paraId="4FC04D2E" w14:textId="77777777" w:rsidR="003B5F9A" w:rsidRDefault="00000000">
            <w:pPr>
              <w:spacing w:after="0"/>
              <w:rPr>
                <w:rFonts w:hint="eastAsia"/>
              </w:rPr>
            </w:pPr>
            <w:r>
              <w:rPr>
                <w:sz w:val="18"/>
              </w:rPr>
              <w:t>Treat the prototype as engineering evidence and add reviewers and participants in later evaluation</w:t>
            </w:r>
          </w:p>
        </w:tc>
      </w:tr>
      <w:tr w:rsidR="003B5F9A" w14:paraId="7BA9DF8C" w14:textId="77777777">
        <w:trPr>
          <w:cantSplit/>
          <w:jc w:val="center"/>
        </w:trPr>
        <w:tc>
          <w:tcPr>
            <w:tcW w:w="3384" w:type="dxa"/>
            <w:tcMar>
              <w:top w:w="110" w:type="dxa"/>
              <w:left w:w="120" w:type="dxa"/>
              <w:bottom w:w="110" w:type="dxa"/>
              <w:right w:w="120" w:type="dxa"/>
            </w:tcMar>
            <w:vAlign w:val="center"/>
          </w:tcPr>
          <w:p w14:paraId="6B73D594" w14:textId="77777777" w:rsidR="003B5F9A" w:rsidRDefault="00000000">
            <w:pPr>
              <w:spacing w:after="0"/>
              <w:rPr>
                <w:rFonts w:hint="eastAsia"/>
              </w:rPr>
            </w:pPr>
            <w:r>
              <w:rPr>
                <w:sz w:val="18"/>
              </w:rPr>
              <w:t>Local single-user deployment</w:t>
            </w:r>
          </w:p>
        </w:tc>
        <w:tc>
          <w:tcPr>
            <w:tcW w:w="6408" w:type="dxa"/>
            <w:tcMar>
              <w:top w:w="110" w:type="dxa"/>
              <w:left w:w="120" w:type="dxa"/>
              <w:bottom w:w="110" w:type="dxa"/>
              <w:right w:w="120" w:type="dxa"/>
            </w:tcMar>
            <w:vAlign w:val="center"/>
          </w:tcPr>
          <w:p w14:paraId="55D58706" w14:textId="77777777" w:rsidR="003B5F9A" w:rsidRDefault="00000000">
            <w:pPr>
              <w:spacing w:after="0"/>
              <w:rPr>
                <w:rFonts w:hint="eastAsia"/>
              </w:rPr>
            </w:pPr>
            <w:r>
              <w:rPr>
                <w:sz w:val="18"/>
              </w:rPr>
              <w:t>Defer authentication, authorization, cloud storage, CI/CD, and production hardening</w:t>
            </w:r>
          </w:p>
        </w:tc>
      </w:tr>
    </w:tbl>
    <w:p w14:paraId="3EF1ED0E" w14:textId="77777777" w:rsidR="003B5F9A" w:rsidRDefault="003B5F9A">
      <w:pPr>
        <w:spacing w:after="0"/>
        <w:rPr>
          <w:rFonts w:hint="eastAsia"/>
        </w:rPr>
      </w:pPr>
    </w:p>
    <w:p w14:paraId="621FFAD7" w14:textId="77777777" w:rsidR="003B5F9A" w:rsidRDefault="00000000">
      <w:pPr>
        <w:pStyle w:val="Heading1"/>
      </w:pPr>
      <w:r>
        <w:t>9 Work Plan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5112"/>
        <w:gridCol w:w="3024"/>
      </w:tblGrid>
      <w:tr w:rsidR="003B5F9A" w14:paraId="662D75EC" w14:textId="77777777">
        <w:trPr>
          <w:cantSplit/>
          <w:tblHeader/>
          <w:jc w:val="center"/>
        </w:trPr>
        <w:tc>
          <w:tcPr>
            <w:tcW w:w="1656" w:type="dxa"/>
            <w:shd w:val="clear" w:color="auto" w:fill="FFFFFF"/>
            <w:tcMar>
              <w:top w:w="110" w:type="dxa"/>
              <w:left w:w="120" w:type="dxa"/>
              <w:bottom w:w="110" w:type="dxa"/>
              <w:right w:w="120" w:type="dxa"/>
            </w:tcMar>
            <w:vAlign w:val="center"/>
          </w:tcPr>
          <w:p w14:paraId="7FE6F241" w14:textId="77777777" w:rsidR="003B5F9A" w:rsidRDefault="00000000">
            <w:pPr>
              <w:jc w:val="center"/>
              <w:rPr>
                <w:rFonts w:hint="eastAsia"/>
              </w:rPr>
            </w:pPr>
            <w:r>
              <w:rPr>
                <w:b/>
                <w:sz w:val="19"/>
              </w:rPr>
              <w:t>Stage</w:t>
            </w:r>
          </w:p>
        </w:tc>
        <w:tc>
          <w:tcPr>
            <w:tcW w:w="5112" w:type="dxa"/>
            <w:shd w:val="clear" w:color="auto" w:fill="FFFFFF"/>
            <w:tcMar>
              <w:top w:w="110" w:type="dxa"/>
              <w:left w:w="120" w:type="dxa"/>
              <w:bottom w:w="110" w:type="dxa"/>
              <w:right w:w="120" w:type="dxa"/>
            </w:tcMar>
            <w:vAlign w:val="center"/>
          </w:tcPr>
          <w:p w14:paraId="59E893E2" w14:textId="77777777" w:rsidR="003B5F9A" w:rsidRDefault="00000000">
            <w:pPr>
              <w:jc w:val="center"/>
              <w:rPr>
                <w:rFonts w:hint="eastAsia"/>
              </w:rPr>
            </w:pPr>
            <w:r>
              <w:rPr>
                <w:b/>
                <w:sz w:val="19"/>
              </w:rPr>
              <w:t>Planned work</w:t>
            </w:r>
          </w:p>
        </w:tc>
        <w:tc>
          <w:tcPr>
            <w:tcW w:w="3024" w:type="dxa"/>
            <w:shd w:val="clear" w:color="auto" w:fill="FFFFFF"/>
            <w:tcMar>
              <w:top w:w="110" w:type="dxa"/>
              <w:left w:w="120" w:type="dxa"/>
              <w:bottom w:w="110" w:type="dxa"/>
              <w:right w:w="120" w:type="dxa"/>
            </w:tcMar>
            <w:vAlign w:val="center"/>
          </w:tcPr>
          <w:p w14:paraId="4A7E3113" w14:textId="77777777" w:rsidR="003B5F9A" w:rsidRDefault="00000000">
            <w:pPr>
              <w:jc w:val="center"/>
              <w:rPr>
                <w:rFonts w:hint="eastAsia"/>
              </w:rPr>
            </w:pPr>
            <w:r>
              <w:rPr>
                <w:b/>
                <w:sz w:val="19"/>
              </w:rPr>
              <w:t>Expected output</w:t>
            </w:r>
          </w:p>
        </w:tc>
      </w:tr>
      <w:tr w:rsidR="003B5F9A" w14:paraId="1C569538" w14:textId="77777777">
        <w:trPr>
          <w:cantSplit/>
          <w:jc w:val="center"/>
        </w:trPr>
        <w:tc>
          <w:tcPr>
            <w:tcW w:w="1656" w:type="dxa"/>
            <w:tcMar>
              <w:top w:w="110" w:type="dxa"/>
              <w:left w:w="120" w:type="dxa"/>
              <w:bottom w:w="110" w:type="dxa"/>
              <w:right w:w="120" w:type="dxa"/>
            </w:tcMar>
            <w:vAlign w:val="center"/>
          </w:tcPr>
          <w:p w14:paraId="7911DEA2" w14:textId="77777777" w:rsidR="003B5F9A" w:rsidRDefault="00000000">
            <w:pPr>
              <w:spacing w:after="0"/>
              <w:rPr>
                <w:rFonts w:hint="eastAsia"/>
              </w:rPr>
            </w:pPr>
            <w:r>
              <w:rPr>
                <w:sz w:val="18"/>
              </w:rPr>
              <w:t>Before midterm</w:t>
            </w:r>
          </w:p>
        </w:tc>
        <w:tc>
          <w:tcPr>
            <w:tcW w:w="5112" w:type="dxa"/>
            <w:tcMar>
              <w:top w:w="110" w:type="dxa"/>
              <w:left w:w="120" w:type="dxa"/>
              <w:bottom w:w="110" w:type="dxa"/>
              <w:right w:w="120" w:type="dxa"/>
            </w:tcMar>
            <w:vAlign w:val="center"/>
          </w:tcPr>
          <w:p w14:paraId="3D96EF61" w14:textId="77777777" w:rsidR="003B5F9A" w:rsidRDefault="00000000">
            <w:pPr>
              <w:spacing w:after="0"/>
              <w:rPr>
                <w:rFonts w:hint="eastAsia"/>
              </w:rPr>
            </w:pPr>
            <w:r>
              <w:rPr>
                <w:sz w:val="18"/>
              </w:rPr>
              <w:t>Stabilize or exclude experimental Groq path; confirm provider evidence rule; final verification and rehearsal</w:t>
            </w:r>
          </w:p>
        </w:tc>
        <w:tc>
          <w:tcPr>
            <w:tcW w:w="3024" w:type="dxa"/>
            <w:tcMar>
              <w:top w:w="110" w:type="dxa"/>
              <w:left w:w="120" w:type="dxa"/>
              <w:bottom w:w="110" w:type="dxa"/>
              <w:right w:w="120" w:type="dxa"/>
            </w:tcMar>
            <w:vAlign w:val="center"/>
          </w:tcPr>
          <w:p w14:paraId="626A1FE6" w14:textId="77777777" w:rsidR="003B5F9A" w:rsidRDefault="00000000">
            <w:pPr>
              <w:spacing w:after="0"/>
              <w:rPr>
                <w:rFonts w:hint="eastAsia"/>
              </w:rPr>
            </w:pPr>
            <w:r>
              <w:rPr>
                <w:sz w:val="18"/>
              </w:rPr>
              <w:t>Clean demo revision and honest limitations</w:t>
            </w:r>
          </w:p>
        </w:tc>
      </w:tr>
      <w:tr w:rsidR="003B5F9A" w14:paraId="18C1594B" w14:textId="77777777">
        <w:trPr>
          <w:cantSplit/>
          <w:jc w:val="center"/>
        </w:trPr>
        <w:tc>
          <w:tcPr>
            <w:tcW w:w="1656" w:type="dxa"/>
            <w:shd w:val="clear" w:color="auto" w:fill="FFFFFF"/>
            <w:tcMar>
              <w:top w:w="110" w:type="dxa"/>
              <w:left w:w="120" w:type="dxa"/>
              <w:bottom w:w="110" w:type="dxa"/>
              <w:right w:w="120" w:type="dxa"/>
            </w:tcMar>
            <w:vAlign w:val="center"/>
          </w:tcPr>
          <w:p w14:paraId="40A756F1" w14:textId="77777777" w:rsidR="003B5F9A" w:rsidRDefault="00000000">
            <w:pPr>
              <w:spacing w:after="0"/>
              <w:rPr>
                <w:rFonts w:hint="eastAsia"/>
              </w:rPr>
            </w:pPr>
            <w:r>
              <w:rPr>
                <w:sz w:val="18"/>
              </w:rPr>
              <w:lastRenderedPageBreak/>
              <w:t>Phase 2</w:t>
            </w:r>
          </w:p>
        </w:tc>
        <w:tc>
          <w:tcPr>
            <w:tcW w:w="5112" w:type="dxa"/>
            <w:shd w:val="clear" w:color="auto" w:fill="FFFFFF"/>
            <w:tcMar>
              <w:top w:w="110" w:type="dxa"/>
              <w:left w:w="120" w:type="dxa"/>
              <w:bottom w:w="110" w:type="dxa"/>
              <w:right w:w="120" w:type="dxa"/>
            </w:tcMar>
            <w:vAlign w:val="center"/>
          </w:tcPr>
          <w:p w14:paraId="6EBF2DF8" w14:textId="77777777" w:rsidR="003B5F9A" w:rsidRDefault="00000000">
            <w:pPr>
              <w:spacing w:after="0"/>
              <w:rPr>
                <w:rFonts w:hint="eastAsia"/>
              </w:rPr>
            </w:pPr>
            <w:r>
              <w:rPr>
                <w:sz w:val="18"/>
              </w:rPr>
              <w:t>Authentication, projects, authorization, durable jobs, cloud-compatible artifacts, security controls</w:t>
            </w:r>
          </w:p>
        </w:tc>
        <w:tc>
          <w:tcPr>
            <w:tcW w:w="3024" w:type="dxa"/>
            <w:shd w:val="clear" w:color="auto" w:fill="FFFFFF"/>
            <w:tcMar>
              <w:top w:w="110" w:type="dxa"/>
              <w:left w:w="120" w:type="dxa"/>
              <w:bottom w:w="110" w:type="dxa"/>
              <w:right w:w="120" w:type="dxa"/>
            </w:tcMar>
            <w:vAlign w:val="center"/>
          </w:tcPr>
          <w:p w14:paraId="37537BCE" w14:textId="77777777" w:rsidR="003B5F9A" w:rsidRDefault="00000000">
            <w:pPr>
              <w:spacing w:after="0"/>
              <w:rPr>
                <w:rFonts w:hint="eastAsia"/>
              </w:rPr>
            </w:pPr>
            <w:r>
              <w:rPr>
                <w:sz w:val="18"/>
              </w:rPr>
              <w:t>Reliable multi-user platform foundation</w:t>
            </w:r>
          </w:p>
        </w:tc>
      </w:tr>
      <w:tr w:rsidR="003B5F9A" w14:paraId="326F0717" w14:textId="77777777">
        <w:trPr>
          <w:cantSplit/>
          <w:jc w:val="center"/>
        </w:trPr>
        <w:tc>
          <w:tcPr>
            <w:tcW w:w="1656" w:type="dxa"/>
            <w:tcMar>
              <w:top w:w="110" w:type="dxa"/>
              <w:left w:w="120" w:type="dxa"/>
              <w:bottom w:w="110" w:type="dxa"/>
              <w:right w:w="120" w:type="dxa"/>
            </w:tcMar>
            <w:vAlign w:val="center"/>
          </w:tcPr>
          <w:p w14:paraId="4C8B425A" w14:textId="77777777" w:rsidR="003B5F9A" w:rsidRDefault="00000000">
            <w:pPr>
              <w:spacing w:after="0"/>
              <w:rPr>
                <w:rFonts w:hint="eastAsia"/>
              </w:rPr>
            </w:pPr>
            <w:r>
              <w:rPr>
                <w:sz w:val="18"/>
              </w:rPr>
              <w:t>Phase 3</w:t>
            </w:r>
          </w:p>
        </w:tc>
        <w:tc>
          <w:tcPr>
            <w:tcW w:w="5112" w:type="dxa"/>
            <w:tcMar>
              <w:top w:w="110" w:type="dxa"/>
              <w:left w:w="120" w:type="dxa"/>
              <w:bottom w:w="110" w:type="dxa"/>
              <w:right w:w="120" w:type="dxa"/>
            </w:tcMar>
            <w:vAlign w:val="center"/>
          </w:tcPr>
          <w:p w14:paraId="157D41B4" w14:textId="77777777" w:rsidR="003B5F9A" w:rsidRDefault="00000000">
            <w:pPr>
              <w:spacing w:after="0"/>
              <w:rPr>
                <w:rFonts w:hint="eastAsia"/>
              </w:rPr>
            </w:pPr>
            <w:r>
              <w:rPr>
                <w:sz w:val="18"/>
              </w:rPr>
              <w:t>More keyboard barriers, journey families, replay, comparison, and benchmark measurements</w:t>
            </w:r>
          </w:p>
        </w:tc>
        <w:tc>
          <w:tcPr>
            <w:tcW w:w="3024" w:type="dxa"/>
            <w:tcMar>
              <w:top w:w="110" w:type="dxa"/>
              <w:left w:w="120" w:type="dxa"/>
              <w:bottom w:w="110" w:type="dxa"/>
              <w:right w:w="120" w:type="dxa"/>
            </w:tcMar>
            <w:vAlign w:val="center"/>
          </w:tcPr>
          <w:p w14:paraId="014E430D" w14:textId="77777777" w:rsidR="003B5F9A" w:rsidRDefault="00000000">
            <w:pPr>
              <w:spacing w:after="0"/>
              <w:rPr>
                <w:rFonts w:hint="eastAsia"/>
              </w:rPr>
            </w:pPr>
            <w:r>
              <w:rPr>
                <w:sz w:val="18"/>
              </w:rPr>
              <w:t>Broader keyboard evaluation coverage</w:t>
            </w:r>
          </w:p>
        </w:tc>
      </w:tr>
      <w:tr w:rsidR="003B5F9A" w14:paraId="06D98533" w14:textId="77777777">
        <w:trPr>
          <w:cantSplit/>
          <w:jc w:val="center"/>
        </w:trPr>
        <w:tc>
          <w:tcPr>
            <w:tcW w:w="1656" w:type="dxa"/>
            <w:shd w:val="clear" w:color="auto" w:fill="FFFFFF"/>
            <w:tcMar>
              <w:top w:w="110" w:type="dxa"/>
              <w:left w:w="120" w:type="dxa"/>
              <w:bottom w:w="110" w:type="dxa"/>
              <w:right w:w="120" w:type="dxa"/>
            </w:tcMar>
            <w:vAlign w:val="center"/>
          </w:tcPr>
          <w:p w14:paraId="686FCE21" w14:textId="77777777" w:rsidR="003B5F9A" w:rsidRDefault="00000000">
            <w:pPr>
              <w:spacing w:after="0"/>
              <w:rPr>
                <w:rFonts w:hint="eastAsia"/>
              </w:rPr>
            </w:pPr>
            <w:r>
              <w:rPr>
                <w:sz w:val="18"/>
              </w:rPr>
              <w:t>Phase 4</w:t>
            </w:r>
          </w:p>
        </w:tc>
        <w:tc>
          <w:tcPr>
            <w:tcW w:w="5112" w:type="dxa"/>
            <w:shd w:val="clear" w:color="auto" w:fill="FFFFFF"/>
            <w:tcMar>
              <w:top w:w="110" w:type="dxa"/>
              <w:left w:w="120" w:type="dxa"/>
              <w:bottom w:w="110" w:type="dxa"/>
              <w:right w:w="120" w:type="dxa"/>
            </w:tcMar>
            <w:vAlign w:val="center"/>
          </w:tcPr>
          <w:p w14:paraId="2443A5FD" w14:textId="77777777" w:rsidR="003B5F9A" w:rsidRDefault="00000000">
            <w:pPr>
              <w:spacing w:after="0"/>
              <w:rPr>
                <w:rFonts w:hint="eastAsia"/>
              </w:rPr>
            </w:pPr>
            <w:r>
              <w:rPr>
                <w:sz w:val="18"/>
              </w:rPr>
              <w:t>Safe sandbox transactions, report export, secret references, cleanup verification</w:t>
            </w:r>
          </w:p>
        </w:tc>
        <w:tc>
          <w:tcPr>
            <w:tcW w:w="3024" w:type="dxa"/>
            <w:shd w:val="clear" w:color="auto" w:fill="FFFFFF"/>
            <w:tcMar>
              <w:top w:w="110" w:type="dxa"/>
              <w:left w:w="120" w:type="dxa"/>
              <w:bottom w:w="110" w:type="dxa"/>
              <w:right w:w="120" w:type="dxa"/>
            </w:tcMar>
            <w:vAlign w:val="center"/>
          </w:tcPr>
          <w:p w14:paraId="52439C8C" w14:textId="77777777" w:rsidR="003B5F9A" w:rsidRDefault="00000000">
            <w:pPr>
              <w:spacing w:after="0"/>
              <w:rPr>
                <w:rFonts w:hint="eastAsia"/>
              </w:rPr>
            </w:pPr>
            <w:r>
              <w:rPr>
                <w:sz w:val="18"/>
              </w:rPr>
              <w:t>Controlled complete-journey workflows</w:t>
            </w:r>
          </w:p>
        </w:tc>
      </w:tr>
      <w:tr w:rsidR="003B5F9A" w14:paraId="0040DFFA" w14:textId="77777777">
        <w:trPr>
          <w:cantSplit/>
          <w:jc w:val="center"/>
        </w:trPr>
        <w:tc>
          <w:tcPr>
            <w:tcW w:w="1656" w:type="dxa"/>
            <w:tcMar>
              <w:top w:w="110" w:type="dxa"/>
              <w:left w:w="120" w:type="dxa"/>
              <w:bottom w:w="110" w:type="dxa"/>
              <w:right w:w="120" w:type="dxa"/>
            </w:tcMar>
            <w:vAlign w:val="center"/>
          </w:tcPr>
          <w:p w14:paraId="61D79CF0" w14:textId="77777777" w:rsidR="003B5F9A" w:rsidRDefault="00000000">
            <w:pPr>
              <w:spacing w:after="0"/>
              <w:rPr>
                <w:rFonts w:hint="eastAsia"/>
              </w:rPr>
            </w:pPr>
            <w:r>
              <w:rPr>
                <w:sz w:val="18"/>
              </w:rPr>
              <w:t>Phase 5</w:t>
            </w:r>
          </w:p>
        </w:tc>
        <w:tc>
          <w:tcPr>
            <w:tcW w:w="5112" w:type="dxa"/>
            <w:tcMar>
              <w:top w:w="110" w:type="dxa"/>
              <w:left w:w="120" w:type="dxa"/>
              <w:bottom w:w="110" w:type="dxa"/>
              <w:right w:w="120" w:type="dxa"/>
            </w:tcMar>
            <w:vAlign w:val="center"/>
          </w:tcPr>
          <w:p w14:paraId="27AC91DC" w14:textId="77777777" w:rsidR="003B5F9A" w:rsidRDefault="00000000">
            <w:pPr>
              <w:spacing w:after="0"/>
              <w:rPr>
                <w:rFonts w:hint="eastAsia"/>
              </w:rPr>
            </w:pPr>
            <w:r>
              <w:rPr>
                <w:sz w:val="18"/>
              </w:rPr>
              <w:t>Reviewed benchmark, precision and recall analysis, WCAG coverage register, user involvement</w:t>
            </w:r>
          </w:p>
        </w:tc>
        <w:tc>
          <w:tcPr>
            <w:tcW w:w="3024" w:type="dxa"/>
            <w:tcMar>
              <w:top w:w="110" w:type="dxa"/>
              <w:left w:w="120" w:type="dxa"/>
              <w:bottom w:w="110" w:type="dxa"/>
              <w:right w:w="120" w:type="dxa"/>
            </w:tcMar>
            <w:vAlign w:val="center"/>
          </w:tcPr>
          <w:p w14:paraId="22646344" w14:textId="77777777" w:rsidR="003B5F9A" w:rsidRDefault="00000000">
            <w:pPr>
              <w:spacing w:after="0"/>
              <w:rPr>
                <w:rFonts w:hint="eastAsia"/>
              </w:rPr>
            </w:pPr>
            <w:r>
              <w:rPr>
                <w:sz w:val="18"/>
              </w:rPr>
              <w:t>Academic evaluation and compliance traceability</w:t>
            </w:r>
          </w:p>
        </w:tc>
      </w:tr>
      <w:tr w:rsidR="003B5F9A" w14:paraId="64948009" w14:textId="77777777">
        <w:trPr>
          <w:cantSplit/>
          <w:jc w:val="center"/>
        </w:trPr>
        <w:tc>
          <w:tcPr>
            <w:tcW w:w="1656" w:type="dxa"/>
            <w:shd w:val="clear" w:color="auto" w:fill="FFFFFF"/>
            <w:tcMar>
              <w:top w:w="110" w:type="dxa"/>
              <w:left w:w="120" w:type="dxa"/>
              <w:bottom w:w="110" w:type="dxa"/>
              <w:right w:w="120" w:type="dxa"/>
            </w:tcMar>
            <w:vAlign w:val="center"/>
          </w:tcPr>
          <w:p w14:paraId="53DD3D1B" w14:textId="77777777" w:rsidR="003B5F9A" w:rsidRDefault="00000000">
            <w:pPr>
              <w:spacing w:after="0"/>
              <w:rPr>
                <w:rFonts w:hint="eastAsia"/>
              </w:rPr>
            </w:pPr>
            <w:r>
              <w:rPr>
                <w:sz w:val="18"/>
              </w:rPr>
              <w:t>Phase 6</w:t>
            </w:r>
          </w:p>
        </w:tc>
        <w:tc>
          <w:tcPr>
            <w:tcW w:w="5112" w:type="dxa"/>
            <w:shd w:val="clear" w:color="auto" w:fill="FFFFFF"/>
            <w:tcMar>
              <w:top w:w="110" w:type="dxa"/>
              <w:left w:w="120" w:type="dxa"/>
              <w:bottom w:w="110" w:type="dxa"/>
              <w:right w:w="120" w:type="dxa"/>
            </w:tcMar>
            <w:vAlign w:val="center"/>
          </w:tcPr>
          <w:p w14:paraId="697E12FE" w14:textId="77777777" w:rsidR="003B5F9A" w:rsidRDefault="00000000">
            <w:pPr>
              <w:spacing w:after="0"/>
              <w:rPr>
                <w:rFonts w:hint="eastAsia"/>
              </w:rPr>
            </w:pPr>
            <w:r>
              <w:rPr>
                <w:sz w:val="18"/>
              </w:rPr>
              <w:t>Staging deployment, CI/CD, observability, threat model, backup and recovery</w:t>
            </w:r>
          </w:p>
        </w:tc>
        <w:tc>
          <w:tcPr>
            <w:tcW w:w="3024" w:type="dxa"/>
            <w:shd w:val="clear" w:color="auto" w:fill="FFFFFF"/>
            <w:tcMar>
              <w:top w:w="110" w:type="dxa"/>
              <w:left w:w="120" w:type="dxa"/>
              <w:bottom w:w="110" w:type="dxa"/>
              <w:right w:w="120" w:type="dxa"/>
            </w:tcMar>
            <w:vAlign w:val="center"/>
          </w:tcPr>
          <w:p w14:paraId="24AB8EDD" w14:textId="77777777" w:rsidR="003B5F9A" w:rsidRDefault="00000000">
            <w:pPr>
              <w:spacing w:after="0"/>
              <w:rPr>
                <w:rFonts w:hint="eastAsia"/>
              </w:rPr>
            </w:pPr>
            <w:r>
              <w:rPr>
                <w:sz w:val="18"/>
              </w:rPr>
              <w:t>Final hardened demonstration</w:t>
            </w:r>
          </w:p>
        </w:tc>
      </w:tr>
    </w:tbl>
    <w:p w14:paraId="3000CB9D" w14:textId="77777777" w:rsidR="003B5F9A" w:rsidRDefault="003B5F9A">
      <w:pPr>
        <w:spacing w:after="0"/>
        <w:rPr>
          <w:rFonts w:hint="eastAsia"/>
        </w:rPr>
      </w:pPr>
    </w:p>
    <w:p w14:paraId="2990008E" w14:textId="77777777" w:rsidR="003B5F9A" w:rsidRDefault="00000000">
      <w:pPr>
        <w:pStyle w:val="Heading1"/>
        <w:pageBreakBefore/>
      </w:pPr>
      <w:r>
        <w:lastRenderedPageBreak/>
        <w:t>10 Conclusion</w:t>
      </w:r>
    </w:p>
    <w:p w14:paraId="14721C1C" w14:textId="77777777" w:rsidR="003B5F9A" w:rsidRDefault="00000000">
      <w:pPr>
        <w:spacing w:after="140" w:line="269" w:lineRule="auto"/>
        <w:rPr>
          <w:rFonts w:hint="eastAsia"/>
        </w:rPr>
      </w:pPr>
      <w:r>
        <w:t>AccessPath AI addresses a clear gap between page-level accessibility findings and evidence that a user can complete a multi-step task. The proposed approach combines the flexibility of AI planning with deterministic control over browser actions, completion decisions, and evidence. The midterm prototype demonstrates the approach for keyboard-only appointment booking using accessible and deliberately broken fixtures. Its contribution is not a claim that AI can certify accessibility. It is a practical, auditable method for studying journey completion, barriers, safety, and reproducibility. The next stages will broaden the benchmark, improve platform reliability, include human review, and measure accuracy across more journeys and accessibility profiles.</w:t>
      </w:r>
    </w:p>
    <w:p w14:paraId="78AD0D73" w14:textId="77777777" w:rsidR="003B5F9A" w:rsidRDefault="00000000">
      <w:pPr>
        <w:pStyle w:val="Heading1"/>
        <w:pageBreakBefore/>
      </w:pPr>
      <w:r>
        <w:lastRenderedPageBreak/>
        <w:t>References</w:t>
      </w:r>
    </w:p>
    <w:tbl>
      <w:tblPr>
        <w:tblW w:w="0" w:type="auto"/>
        <w:jc w:val="center"/>
        <w:tblLayout w:type="fixed"/>
        <w:tblLook w:val="04A0" w:firstRow="1" w:lastRow="0" w:firstColumn="1" w:lastColumn="0" w:noHBand="0" w:noVBand="1"/>
      </w:tblPr>
      <w:tblGrid>
        <w:gridCol w:w="504"/>
        <w:gridCol w:w="9288"/>
      </w:tblGrid>
      <w:tr w:rsidR="003B5F9A" w14:paraId="027E783C" w14:textId="77777777">
        <w:trPr>
          <w:cantSplit/>
          <w:jc w:val="center"/>
        </w:trPr>
        <w:tc>
          <w:tcPr>
            <w:tcW w:w="504" w:type="dxa"/>
            <w:tcMar>
              <w:top w:w="30" w:type="dxa"/>
              <w:left w:w="0" w:type="dxa"/>
              <w:bottom w:w="50" w:type="dxa"/>
              <w:right w:w="40" w:type="dxa"/>
            </w:tcMar>
          </w:tcPr>
          <w:p w14:paraId="21E9E639" w14:textId="77777777" w:rsidR="003B5F9A" w:rsidRDefault="00000000">
            <w:pPr>
              <w:spacing w:after="0"/>
              <w:rPr>
                <w:rFonts w:hint="eastAsia"/>
              </w:rPr>
            </w:pPr>
            <w:r>
              <w:rPr>
                <w:sz w:val="18"/>
              </w:rPr>
              <w:t>[1]</w:t>
            </w:r>
          </w:p>
        </w:tc>
        <w:tc>
          <w:tcPr>
            <w:tcW w:w="9288" w:type="dxa"/>
            <w:tcMar>
              <w:top w:w="30" w:type="dxa"/>
              <w:left w:w="0" w:type="dxa"/>
              <w:bottom w:w="50" w:type="dxa"/>
              <w:right w:w="0" w:type="dxa"/>
            </w:tcMar>
          </w:tcPr>
          <w:p w14:paraId="2531CC7C" w14:textId="77777777" w:rsidR="003B5F9A" w:rsidRDefault="00000000">
            <w:pPr>
              <w:spacing w:after="0" w:line="245" w:lineRule="auto"/>
              <w:rPr>
                <w:rFonts w:hint="eastAsia"/>
              </w:rPr>
            </w:pPr>
            <w:r>
              <w:rPr>
                <w:sz w:val="18"/>
              </w:rPr>
              <w:t>World Wide Web Consortium. (2024). Web Content Accessibility Guidelines (WCAG) 2.2. https://www.w3.org/TR/WCAG22/</w:t>
            </w:r>
          </w:p>
        </w:tc>
      </w:tr>
      <w:tr w:rsidR="003B5F9A" w14:paraId="27065E8D" w14:textId="77777777">
        <w:trPr>
          <w:cantSplit/>
          <w:jc w:val="center"/>
        </w:trPr>
        <w:tc>
          <w:tcPr>
            <w:tcW w:w="504" w:type="dxa"/>
            <w:tcMar>
              <w:top w:w="30" w:type="dxa"/>
              <w:left w:w="0" w:type="dxa"/>
              <w:bottom w:w="50" w:type="dxa"/>
              <w:right w:w="40" w:type="dxa"/>
            </w:tcMar>
          </w:tcPr>
          <w:p w14:paraId="48D73857" w14:textId="77777777" w:rsidR="003B5F9A" w:rsidRDefault="00000000">
            <w:pPr>
              <w:spacing w:after="0"/>
              <w:rPr>
                <w:rFonts w:hint="eastAsia"/>
              </w:rPr>
            </w:pPr>
            <w:r>
              <w:rPr>
                <w:sz w:val="18"/>
              </w:rPr>
              <w:t>[2]</w:t>
            </w:r>
          </w:p>
        </w:tc>
        <w:tc>
          <w:tcPr>
            <w:tcW w:w="9288" w:type="dxa"/>
            <w:tcMar>
              <w:top w:w="30" w:type="dxa"/>
              <w:left w:w="0" w:type="dxa"/>
              <w:bottom w:w="50" w:type="dxa"/>
              <w:right w:w="0" w:type="dxa"/>
            </w:tcMar>
          </w:tcPr>
          <w:p w14:paraId="03993156" w14:textId="77777777" w:rsidR="003B5F9A" w:rsidRDefault="00000000">
            <w:pPr>
              <w:spacing w:after="0" w:line="245" w:lineRule="auto"/>
              <w:rPr>
                <w:rFonts w:hint="eastAsia"/>
              </w:rPr>
            </w:pPr>
            <w:r>
              <w:rPr>
                <w:sz w:val="18"/>
              </w:rPr>
              <w:t>World Wide Web Consortium. (2026). WCAG Evaluation Methodology (WCAG-EM) 2.0. https://www.w3.org/TR/WCAG-EM/</w:t>
            </w:r>
          </w:p>
        </w:tc>
      </w:tr>
      <w:tr w:rsidR="003B5F9A" w14:paraId="044B5035" w14:textId="77777777">
        <w:trPr>
          <w:cantSplit/>
          <w:jc w:val="center"/>
        </w:trPr>
        <w:tc>
          <w:tcPr>
            <w:tcW w:w="504" w:type="dxa"/>
            <w:tcMar>
              <w:top w:w="30" w:type="dxa"/>
              <w:left w:w="0" w:type="dxa"/>
              <w:bottom w:w="50" w:type="dxa"/>
              <w:right w:w="40" w:type="dxa"/>
            </w:tcMar>
          </w:tcPr>
          <w:p w14:paraId="3A660471" w14:textId="77777777" w:rsidR="003B5F9A" w:rsidRDefault="00000000">
            <w:pPr>
              <w:spacing w:after="0"/>
              <w:rPr>
                <w:rFonts w:hint="eastAsia"/>
              </w:rPr>
            </w:pPr>
            <w:r>
              <w:rPr>
                <w:sz w:val="18"/>
              </w:rPr>
              <w:t>[3]</w:t>
            </w:r>
          </w:p>
        </w:tc>
        <w:tc>
          <w:tcPr>
            <w:tcW w:w="9288" w:type="dxa"/>
            <w:tcMar>
              <w:top w:w="30" w:type="dxa"/>
              <w:left w:w="0" w:type="dxa"/>
              <w:bottom w:w="50" w:type="dxa"/>
              <w:right w:w="0" w:type="dxa"/>
            </w:tcMar>
          </w:tcPr>
          <w:p w14:paraId="76C525E2" w14:textId="77777777" w:rsidR="003B5F9A" w:rsidRDefault="00000000">
            <w:pPr>
              <w:spacing w:after="0" w:line="245" w:lineRule="auto"/>
              <w:rPr>
                <w:rFonts w:hint="eastAsia"/>
              </w:rPr>
            </w:pPr>
            <w:r>
              <w:rPr>
                <w:sz w:val="18"/>
              </w:rPr>
              <w:t>Deque Systems. (2026). axe-core: Accessibility engine for automated Web UI testing. https://github.com/dequelabs/axe-core</w:t>
            </w:r>
          </w:p>
        </w:tc>
      </w:tr>
      <w:tr w:rsidR="003B5F9A" w14:paraId="5CBEE472" w14:textId="77777777">
        <w:trPr>
          <w:cantSplit/>
          <w:jc w:val="center"/>
        </w:trPr>
        <w:tc>
          <w:tcPr>
            <w:tcW w:w="504" w:type="dxa"/>
            <w:tcMar>
              <w:top w:w="30" w:type="dxa"/>
              <w:left w:w="0" w:type="dxa"/>
              <w:bottom w:w="50" w:type="dxa"/>
              <w:right w:w="40" w:type="dxa"/>
            </w:tcMar>
          </w:tcPr>
          <w:p w14:paraId="5850B388" w14:textId="77777777" w:rsidR="003B5F9A" w:rsidRDefault="00000000">
            <w:pPr>
              <w:spacing w:after="0"/>
              <w:rPr>
                <w:rFonts w:hint="eastAsia"/>
              </w:rPr>
            </w:pPr>
            <w:r>
              <w:rPr>
                <w:sz w:val="18"/>
              </w:rPr>
              <w:t>[4]</w:t>
            </w:r>
          </w:p>
        </w:tc>
        <w:tc>
          <w:tcPr>
            <w:tcW w:w="9288" w:type="dxa"/>
            <w:tcMar>
              <w:top w:w="30" w:type="dxa"/>
              <w:left w:w="0" w:type="dxa"/>
              <w:bottom w:w="50" w:type="dxa"/>
              <w:right w:w="0" w:type="dxa"/>
            </w:tcMar>
          </w:tcPr>
          <w:p w14:paraId="2B043DAD" w14:textId="77777777" w:rsidR="003B5F9A" w:rsidRDefault="00000000">
            <w:pPr>
              <w:spacing w:after="0" w:line="245" w:lineRule="auto"/>
              <w:rPr>
                <w:rFonts w:hint="eastAsia"/>
              </w:rPr>
            </w:pPr>
            <w:r>
              <w:rPr>
                <w:sz w:val="18"/>
              </w:rPr>
              <w:t>Microsoft. (2026). Accessibility testing with Playwright. https://playwright.dev/docs/accessibility-testing</w:t>
            </w:r>
          </w:p>
        </w:tc>
      </w:tr>
      <w:tr w:rsidR="003B5F9A" w14:paraId="30826BA0" w14:textId="77777777">
        <w:trPr>
          <w:cantSplit/>
          <w:jc w:val="center"/>
        </w:trPr>
        <w:tc>
          <w:tcPr>
            <w:tcW w:w="504" w:type="dxa"/>
            <w:tcMar>
              <w:top w:w="30" w:type="dxa"/>
              <w:left w:w="0" w:type="dxa"/>
              <w:bottom w:w="50" w:type="dxa"/>
              <w:right w:w="40" w:type="dxa"/>
            </w:tcMar>
          </w:tcPr>
          <w:p w14:paraId="224ED803" w14:textId="77777777" w:rsidR="003B5F9A" w:rsidRDefault="00000000">
            <w:pPr>
              <w:spacing w:after="0"/>
              <w:rPr>
                <w:rFonts w:hint="eastAsia"/>
              </w:rPr>
            </w:pPr>
            <w:r>
              <w:rPr>
                <w:sz w:val="18"/>
              </w:rPr>
              <w:t>[5]</w:t>
            </w:r>
          </w:p>
        </w:tc>
        <w:tc>
          <w:tcPr>
            <w:tcW w:w="9288" w:type="dxa"/>
            <w:tcMar>
              <w:top w:w="30" w:type="dxa"/>
              <w:left w:w="0" w:type="dxa"/>
              <w:bottom w:w="50" w:type="dxa"/>
              <w:right w:w="0" w:type="dxa"/>
            </w:tcMar>
          </w:tcPr>
          <w:p w14:paraId="45C1A276" w14:textId="77777777" w:rsidR="003B5F9A" w:rsidRDefault="00000000">
            <w:pPr>
              <w:spacing w:after="0" w:line="245" w:lineRule="auto"/>
              <w:rPr>
                <w:rFonts w:hint="eastAsia"/>
              </w:rPr>
            </w:pPr>
            <w:r>
              <w:rPr>
                <w:sz w:val="18"/>
              </w:rPr>
              <w:t>Vigo, M., Brown, J., &amp; Conway, V. (2013). Benchmarking web accessibility evaluation tools: Measuring the harm of sole reliance on automated tests. W4A 2013. https://doi.org/10.1145/2461121.2461124</w:t>
            </w:r>
          </w:p>
        </w:tc>
      </w:tr>
      <w:tr w:rsidR="003B5F9A" w14:paraId="057ED945" w14:textId="77777777">
        <w:trPr>
          <w:cantSplit/>
          <w:jc w:val="center"/>
        </w:trPr>
        <w:tc>
          <w:tcPr>
            <w:tcW w:w="504" w:type="dxa"/>
            <w:tcMar>
              <w:top w:w="30" w:type="dxa"/>
              <w:left w:w="0" w:type="dxa"/>
              <w:bottom w:w="50" w:type="dxa"/>
              <w:right w:w="40" w:type="dxa"/>
            </w:tcMar>
          </w:tcPr>
          <w:p w14:paraId="16679C0A" w14:textId="77777777" w:rsidR="003B5F9A" w:rsidRDefault="00000000">
            <w:pPr>
              <w:spacing w:after="0"/>
              <w:rPr>
                <w:rFonts w:hint="eastAsia"/>
              </w:rPr>
            </w:pPr>
            <w:r>
              <w:rPr>
                <w:sz w:val="18"/>
              </w:rPr>
              <w:t>[6]</w:t>
            </w:r>
          </w:p>
        </w:tc>
        <w:tc>
          <w:tcPr>
            <w:tcW w:w="9288" w:type="dxa"/>
            <w:tcMar>
              <w:top w:w="30" w:type="dxa"/>
              <w:left w:w="0" w:type="dxa"/>
              <w:bottom w:w="50" w:type="dxa"/>
              <w:right w:w="0" w:type="dxa"/>
            </w:tcMar>
          </w:tcPr>
          <w:p w14:paraId="1FD9E6FA" w14:textId="77777777" w:rsidR="003B5F9A" w:rsidRDefault="00000000">
            <w:pPr>
              <w:spacing w:after="0" w:line="245" w:lineRule="auto"/>
              <w:rPr>
                <w:rFonts w:hint="eastAsia"/>
              </w:rPr>
            </w:pPr>
            <w:r>
              <w:rPr>
                <w:sz w:val="18"/>
              </w:rPr>
              <w:t>Ara, J., Sik-Lanyi, C., &amp; Kelemen, A. (2024). Accessibility engineering in web evaluation process: A systematic literature review. Universal Access in the Information Society, 23, 653-686. https://doi.org/10.1007/s10209-023-00967-2</w:t>
            </w:r>
          </w:p>
        </w:tc>
      </w:tr>
      <w:tr w:rsidR="003B5F9A" w14:paraId="13700E61" w14:textId="77777777">
        <w:trPr>
          <w:cantSplit/>
          <w:jc w:val="center"/>
        </w:trPr>
        <w:tc>
          <w:tcPr>
            <w:tcW w:w="504" w:type="dxa"/>
            <w:tcMar>
              <w:top w:w="30" w:type="dxa"/>
              <w:left w:w="0" w:type="dxa"/>
              <w:bottom w:w="50" w:type="dxa"/>
              <w:right w:w="40" w:type="dxa"/>
            </w:tcMar>
          </w:tcPr>
          <w:p w14:paraId="6E61D460" w14:textId="77777777" w:rsidR="003B5F9A" w:rsidRDefault="00000000">
            <w:pPr>
              <w:spacing w:after="0"/>
              <w:rPr>
                <w:rFonts w:hint="eastAsia"/>
              </w:rPr>
            </w:pPr>
            <w:r>
              <w:rPr>
                <w:sz w:val="18"/>
              </w:rPr>
              <w:t>[7]</w:t>
            </w:r>
          </w:p>
        </w:tc>
        <w:tc>
          <w:tcPr>
            <w:tcW w:w="9288" w:type="dxa"/>
            <w:tcMar>
              <w:top w:w="30" w:type="dxa"/>
              <w:left w:w="0" w:type="dxa"/>
              <w:bottom w:w="50" w:type="dxa"/>
              <w:right w:w="0" w:type="dxa"/>
            </w:tcMar>
          </w:tcPr>
          <w:p w14:paraId="3A1D5C70" w14:textId="77777777" w:rsidR="003B5F9A" w:rsidRDefault="00000000">
            <w:pPr>
              <w:spacing w:after="0" w:line="245" w:lineRule="auto"/>
              <w:rPr>
                <w:rFonts w:hint="eastAsia"/>
              </w:rPr>
            </w:pPr>
            <w:r>
              <w:rPr>
                <w:sz w:val="18"/>
              </w:rPr>
              <w:t>Pool, J. R. (2023). Accessibility Metatesting: Comparing Nine Testing Tools. W4A 2023. https://doi.org/10.1145/3587281.3587282</w:t>
            </w:r>
          </w:p>
        </w:tc>
      </w:tr>
      <w:tr w:rsidR="003B5F9A" w14:paraId="09635BD6" w14:textId="77777777">
        <w:trPr>
          <w:cantSplit/>
          <w:jc w:val="center"/>
        </w:trPr>
        <w:tc>
          <w:tcPr>
            <w:tcW w:w="504" w:type="dxa"/>
            <w:tcMar>
              <w:top w:w="30" w:type="dxa"/>
              <w:left w:w="0" w:type="dxa"/>
              <w:bottom w:w="50" w:type="dxa"/>
              <w:right w:w="40" w:type="dxa"/>
            </w:tcMar>
          </w:tcPr>
          <w:p w14:paraId="4CE462F9" w14:textId="77777777" w:rsidR="003B5F9A" w:rsidRDefault="00000000">
            <w:pPr>
              <w:spacing w:after="0"/>
              <w:rPr>
                <w:rFonts w:hint="eastAsia"/>
              </w:rPr>
            </w:pPr>
            <w:r>
              <w:rPr>
                <w:sz w:val="18"/>
              </w:rPr>
              <w:t>[8]</w:t>
            </w:r>
          </w:p>
        </w:tc>
        <w:tc>
          <w:tcPr>
            <w:tcW w:w="9288" w:type="dxa"/>
            <w:tcMar>
              <w:top w:w="30" w:type="dxa"/>
              <w:left w:w="0" w:type="dxa"/>
              <w:bottom w:w="50" w:type="dxa"/>
              <w:right w:w="0" w:type="dxa"/>
            </w:tcMar>
          </w:tcPr>
          <w:p w14:paraId="70B5CC16" w14:textId="77777777" w:rsidR="003B5F9A" w:rsidRDefault="00000000">
            <w:pPr>
              <w:spacing w:after="0" w:line="245" w:lineRule="auto"/>
              <w:rPr>
                <w:rFonts w:hint="eastAsia"/>
              </w:rPr>
            </w:pPr>
            <w:r>
              <w:rPr>
                <w:sz w:val="18"/>
              </w:rPr>
              <w:t>Vera-Amaro, G., &amp; Rojano-Caceres, J. R. (2025). Towards accessible website design through artificial intelligence: A systematic literature review. Information and Software Technology, 186, 107821. https://doi.org/10.1016/j.infsof.2025.107821</w:t>
            </w:r>
          </w:p>
        </w:tc>
      </w:tr>
      <w:tr w:rsidR="003B5F9A" w14:paraId="241876E7" w14:textId="77777777">
        <w:trPr>
          <w:cantSplit/>
          <w:jc w:val="center"/>
        </w:trPr>
        <w:tc>
          <w:tcPr>
            <w:tcW w:w="504" w:type="dxa"/>
            <w:tcMar>
              <w:top w:w="30" w:type="dxa"/>
              <w:left w:w="0" w:type="dxa"/>
              <w:bottom w:w="50" w:type="dxa"/>
              <w:right w:w="40" w:type="dxa"/>
            </w:tcMar>
          </w:tcPr>
          <w:p w14:paraId="43C6CD53" w14:textId="77777777" w:rsidR="003B5F9A" w:rsidRDefault="00000000">
            <w:pPr>
              <w:spacing w:after="0"/>
              <w:rPr>
                <w:rFonts w:hint="eastAsia"/>
              </w:rPr>
            </w:pPr>
            <w:r>
              <w:rPr>
                <w:sz w:val="18"/>
              </w:rPr>
              <w:t>[9]</w:t>
            </w:r>
          </w:p>
        </w:tc>
        <w:tc>
          <w:tcPr>
            <w:tcW w:w="9288" w:type="dxa"/>
            <w:tcMar>
              <w:top w:w="30" w:type="dxa"/>
              <w:left w:w="0" w:type="dxa"/>
              <w:bottom w:w="50" w:type="dxa"/>
              <w:right w:w="0" w:type="dxa"/>
            </w:tcMar>
          </w:tcPr>
          <w:p w14:paraId="3CBFC5EA" w14:textId="77777777" w:rsidR="003B5F9A" w:rsidRDefault="00000000">
            <w:pPr>
              <w:spacing w:after="0" w:line="245" w:lineRule="auto"/>
              <w:rPr>
                <w:rFonts w:hint="eastAsia"/>
              </w:rPr>
            </w:pPr>
            <w:r>
              <w:rPr>
                <w:sz w:val="18"/>
              </w:rPr>
              <w:t>Lopez-Gil, J. M., &amp; Pereira, J. (2025). Turning manual web accessibility success criteria into automatic: An LLM-based approach. Universal Access in the Information Society, 24, 837-852. https://doi.org/10.1007/s10209-024-01108-z</w:t>
            </w:r>
          </w:p>
        </w:tc>
      </w:tr>
      <w:tr w:rsidR="003B5F9A" w14:paraId="11978176" w14:textId="77777777">
        <w:trPr>
          <w:cantSplit/>
          <w:jc w:val="center"/>
        </w:trPr>
        <w:tc>
          <w:tcPr>
            <w:tcW w:w="504" w:type="dxa"/>
            <w:tcMar>
              <w:top w:w="30" w:type="dxa"/>
              <w:left w:w="0" w:type="dxa"/>
              <w:bottom w:w="50" w:type="dxa"/>
              <w:right w:w="40" w:type="dxa"/>
            </w:tcMar>
          </w:tcPr>
          <w:p w14:paraId="59964E0A" w14:textId="77777777" w:rsidR="003B5F9A" w:rsidRDefault="00000000">
            <w:pPr>
              <w:spacing w:after="0"/>
              <w:rPr>
                <w:rFonts w:hint="eastAsia"/>
              </w:rPr>
            </w:pPr>
            <w:r>
              <w:rPr>
                <w:sz w:val="18"/>
              </w:rPr>
              <w:t>[10]</w:t>
            </w:r>
          </w:p>
        </w:tc>
        <w:tc>
          <w:tcPr>
            <w:tcW w:w="9288" w:type="dxa"/>
            <w:tcMar>
              <w:top w:w="30" w:type="dxa"/>
              <w:left w:w="0" w:type="dxa"/>
              <w:bottom w:w="50" w:type="dxa"/>
              <w:right w:w="0" w:type="dxa"/>
            </w:tcMar>
          </w:tcPr>
          <w:p w14:paraId="763CB277" w14:textId="77777777" w:rsidR="003B5F9A" w:rsidRDefault="00000000">
            <w:pPr>
              <w:spacing w:after="0" w:line="245" w:lineRule="auto"/>
              <w:rPr>
                <w:rFonts w:hint="eastAsia"/>
              </w:rPr>
            </w:pPr>
            <w:r>
              <w:rPr>
                <w:sz w:val="18"/>
              </w:rPr>
              <w:t>Aljedaani, W., &amp; Mollik, R. H. (2026). Large Language Models for Web Accessibility: A Systematic Literature Review. W4A 2026. https://doi.org/10.1145/3800424.3800452</w:t>
            </w:r>
          </w:p>
        </w:tc>
      </w:tr>
      <w:tr w:rsidR="003B5F9A" w14:paraId="7BC7BA2C" w14:textId="77777777">
        <w:trPr>
          <w:cantSplit/>
          <w:jc w:val="center"/>
        </w:trPr>
        <w:tc>
          <w:tcPr>
            <w:tcW w:w="504" w:type="dxa"/>
            <w:tcMar>
              <w:top w:w="30" w:type="dxa"/>
              <w:left w:w="0" w:type="dxa"/>
              <w:bottom w:w="50" w:type="dxa"/>
              <w:right w:w="40" w:type="dxa"/>
            </w:tcMar>
          </w:tcPr>
          <w:p w14:paraId="7C4E33A7" w14:textId="77777777" w:rsidR="003B5F9A" w:rsidRDefault="00000000">
            <w:pPr>
              <w:spacing w:after="0"/>
              <w:rPr>
                <w:rFonts w:hint="eastAsia"/>
              </w:rPr>
            </w:pPr>
            <w:r>
              <w:rPr>
                <w:sz w:val="18"/>
              </w:rPr>
              <w:t>[11]</w:t>
            </w:r>
          </w:p>
        </w:tc>
        <w:tc>
          <w:tcPr>
            <w:tcW w:w="9288" w:type="dxa"/>
            <w:tcMar>
              <w:top w:w="30" w:type="dxa"/>
              <w:left w:w="0" w:type="dxa"/>
              <w:bottom w:w="50" w:type="dxa"/>
              <w:right w:w="0" w:type="dxa"/>
            </w:tcMar>
          </w:tcPr>
          <w:p w14:paraId="5F2078D0" w14:textId="77777777" w:rsidR="003B5F9A" w:rsidRDefault="00000000">
            <w:pPr>
              <w:spacing w:after="0" w:line="245" w:lineRule="auto"/>
              <w:rPr>
                <w:rFonts w:hint="eastAsia"/>
              </w:rPr>
            </w:pPr>
            <w:r>
              <w:rPr>
                <w:sz w:val="18"/>
              </w:rPr>
              <w:t>Yepes-Parra, J. D., &amp; Escobar-Velasquez, C. (2025). Autonomous Agents for Accessibility: Simulating Visual Impairments in Web Interfaces. ASE 2025, 3953-3957. https://doi.org/10.1109/ASE63991.2025.00349</w:t>
            </w:r>
          </w:p>
        </w:tc>
      </w:tr>
      <w:tr w:rsidR="003B5F9A" w14:paraId="366ED437" w14:textId="77777777">
        <w:trPr>
          <w:cantSplit/>
          <w:jc w:val="center"/>
        </w:trPr>
        <w:tc>
          <w:tcPr>
            <w:tcW w:w="504" w:type="dxa"/>
            <w:tcMar>
              <w:top w:w="30" w:type="dxa"/>
              <w:left w:w="0" w:type="dxa"/>
              <w:bottom w:w="50" w:type="dxa"/>
              <w:right w:w="40" w:type="dxa"/>
            </w:tcMar>
          </w:tcPr>
          <w:p w14:paraId="383E186E" w14:textId="77777777" w:rsidR="003B5F9A" w:rsidRDefault="00000000">
            <w:pPr>
              <w:spacing w:after="0"/>
              <w:rPr>
                <w:rFonts w:hint="eastAsia"/>
              </w:rPr>
            </w:pPr>
            <w:r>
              <w:rPr>
                <w:sz w:val="18"/>
              </w:rPr>
              <w:t>[12]</w:t>
            </w:r>
          </w:p>
        </w:tc>
        <w:tc>
          <w:tcPr>
            <w:tcW w:w="9288" w:type="dxa"/>
            <w:tcMar>
              <w:top w:w="30" w:type="dxa"/>
              <w:left w:w="0" w:type="dxa"/>
              <w:bottom w:w="50" w:type="dxa"/>
              <w:right w:w="0" w:type="dxa"/>
            </w:tcMar>
          </w:tcPr>
          <w:p w14:paraId="413C03E9" w14:textId="77777777" w:rsidR="003B5F9A" w:rsidRDefault="00000000">
            <w:pPr>
              <w:spacing w:after="0" w:line="245" w:lineRule="auto"/>
              <w:rPr>
                <w:rFonts w:hint="eastAsia"/>
              </w:rPr>
            </w:pPr>
            <w:r>
              <w:rPr>
                <w:sz w:val="18"/>
              </w:rPr>
              <w:t>Microsoft. (2026). Keyboard API. Playwright documentation. https://playwright.dev/docs/api/class-keyboard</w:t>
            </w:r>
          </w:p>
        </w:tc>
      </w:tr>
    </w:tbl>
    <w:p w14:paraId="54D02243" w14:textId="77777777" w:rsidR="001D18A0" w:rsidRDefault="001D18A0"/>
    <w:sectPr w:rsidR="001D18A0"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72EC" w14:textId="77777777" w:rsidR="001D18A0" w:rsidRDefault="001D18A0">
      <w:pPr>
        <w:spacing w:after="0" w:line="240" w:lineRule="auto"/>
        <w:rPr>
          <w:rFonts w:hint="eastAsia"/>
        </w:rPr>
      </w:pPr>
      <w:r>
        <w:separator/>
      </w:r>
    </w:p>
  </w:endnote>
  <w:endnote w:type="continuationSeparator" w:id="0">
    <w:p w14:paraId="41D134CC" w14:textId="77777777" w:rsidR="001D18A0" w:rsidRDefault="001D18A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B3B7" w14:textId="77777777" w:rsidR="003B5F9A" w:rsidRDefault="00000000">
    <w:pPr>
      <w:pStyle w:val="Footer"/>
      <w:jc w:val="center"/>
      <w:rPr>
        <w:rFonts w:hint="eastAsia"/>
      </w:rPr>
    </w:pPr>
    <w:r>
      <w:fldChar w:fldCharType="begin"/>
    </w:r>
    <w:r>
      <w:instrText xml:space="preserve"> PAGE </w:instrText>
    </w:r>
    <w:r w:rsidR="00BA4E70">
      <w:fldChar w:fldCharType="separate"/>
    </w:r>
    <w:r w:rsidR="00BA4E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0656" w14:textId="77777777" w:rsidR="001D18A0" w:rsidRDefault="001D18A0">
      <w:pPr>
        <w:spacing w:after="0" w:line="240" w:lineRule="auto"/>
        <w:rPr>
          <w:rFonts w:hint="eastAsia"/>
        </w:rPr>
      </w:pPr>
      <w:r>
        <w:separator/>
      </w:r>
    </w:p>
  </w:footnote>
  <w:footnote w:type="continuationSeparator" w:id="0">
    <w:p w14:paraId="34757142" w14:textId="77777777" w:rsidR="001D18A0" w:rsidRDefault="001D18A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942723">
    <w:abstractNumId w:val="8"/>
  </w:num>
  <w:num w:numId="2" w16cid:durableId="2079009716">
    <w:abstractNumId w:val="6"/>
  </w:num>
  <w:num w:numId="3" w16cid:durableId="1962565312">
    <w:abstractNumId w:val="5"/>
  </w:num>
  <w:num w:numId="4" w16cid:durableId="1701321087">
    <w:abstractNumId w:val="4"/>
  </w:num>
  <w:num w:numId="5" w16cid:durableId="925923370">
    <w:abstractNumId w:val="7"/>
  </w:num>
  <w:num w:numId="6" w16cid:durableId="161628402">
    <w:abstractNumId w:val="3"/>
  </w:num>
  <w:num w:numId="7" w16cid:durableId="1583874411">
    <w:abstractNumId w:val="2"/>
  </w:num>
  <w:num w:numId="8" w16cid:durableId="212040024">
    <w:abstractNumId w:val="1"/>
  </w:num>
  <w:num w:numId="9" w16cid:durableId="25128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8A0"/>
    <w:rsid w:val="001D4386"/>
    <w:rsid w:val="0029639D"/>
    <w:rsid w:val="00326F90"/>
    <w:rsid w:val="003B5F9A"/>
    <w:rsid w:val="005A23DE"/>
    <w:rsid w:val="007A23AA"/>
    <w:rsid w:val="00AA1D8D"/>
    <w:rsid w:val="00B47730"/>
    <w:rsid w:val="00BA4E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D540F"/>
  <w14:defaultImageDpi w14:val="300"/>
  <w15:docId w15:val="{C23B8693-F769-4ED5-8058-734FC671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Mishra</cp:lastModifiedBy>
  <cp:revision>2</cp:revision>
  <dcterms:created xsi:type="dcterms:W3CDTF">2013-12-23T23:15:00Z</dcterms:created>
  <dcterms:modified xsi:type="dcterms:W3CDTF">2026-09-28T17:03:00Z</dcterms:modified>
  <cp:category/>
</cp:coreProperties>
</file>