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1B67D3" w:rsidRPr="00075A54" w:rsidP="00075A54">
      <w:pPr>
        <w:jc w:val="both"/>
        <w:rPr>
          <w:rFonts w:ascii="Courier New" w:hAnsi="Courier New" w:cs="Courier New"/>
          <w:b/>
          <w:sz w:val="22"/>
          <w:u w:val="single"/>
        </w:rPr>
      </w:pPr>
      <w:r w:rsidRPr="00075A54">
        <w:rPr>
          <w:rFonts w:ascii="Courier New" w:hAnsi="Courier New" w:cs="Courier New"/>
          <w:b/>
          <w:sz w:val="22"/>
          <w:u w:val="single"/>
        </w:rPr>
        <w:t xml:space="preserve">Trade </w:t>
      </w:r>
      <w:r w:rsidR="00FD0E0D">
        <w:rPr>
          <w:rFonts w:ascii="Courier New" w:hAnsi="Courier New" w:cs="Courier New"/>
          <w:b/>
          <w:sz w:val="22"/>
          <w:u w:val="single"/>
        </w:rPr>
        <w:t>Due Diligence Review Form C</w:t>
      </w:r>
      <w:r w:rsidRPr="00075A54">
        <w:rPr>
          <w:rFonts w:ascii="Courier New" w:hAnsi="Courier New" w:cs="Courier New"/>
          <w:b/>
          <w:sz w:val="22"/>
          <w:u w:val="single"/>
        </w:rPr>
        <w:t xml:space="preserve">ompletion </w:t>
      </w:r>
      <w:r w:rsidR="000D7028">
        <w:rPr>
          <w:rFonts w:ascii="Courier New" w:hAnsi="Courier New" w:cs="Courier New"/>
          <w:b/>
          <w:sz w:val="22"/>
          <w:u w:val="single"/>
        </w:rPr>
        <w:t>Tips</w:t>
      </w:r>
      <w:r w:rsidRPr="00075A54">
        <w:rPr>
          <w:rFonts w:ascii="Courier New" w:hAnsi="Courier New" w:cs="Courier New"/>
          <w:b/>
          <w:sz w:val="22"/>
          <w:u w:val="single"/>
        </w:rPr>
        <w:t xml:space="preserve"> and FAQ</w:t>
      </w:r>
      <w:r w:rsidRPr="00075A54">
        <w:rPr>
          <w:rFonts w:ascii="Courier New" w:hAnsi="Courier New" w:cs="Courier New"/>
          <w:b/>
          <w:sz w:val="22"/>
        </w:rPr>
        <w:tab/>
      </w:r>
      <w:r w:rsidRPr="00075A54">
        <w:rPr>
          <w:rFonts w:ascii="Courier New" w:hAnsi="Courier New" w:cs="Courier New"/>
          <w:b/>
          <w:sz w:val="22"/>
        </w:rPr>
        <w:tab/>
      </w:r>
      <w:r w:rsidR="00FD0E0D">
        <w:rPr>
          <w:rFonts w:ascii="Courier New" w:hAnsi="Courier New" w:cs="Courier New"/>
          <w:b/>
          <w:sz w:val="22"/>
        </w:rPr>
        <w:t xml:space="preserve">      </w:t>
      </w:r>
      <w:r w:rsidRPr="00075A54" w:rsidR="00FD0E0D">
        <w:rPr>
          <w:rFonts w:ascii="Courier New" w:hAnsi="Courier New" w:cs="Courier New"/>
          <w:sz w:val="20"/>
          <w:szCs w:val="20"/>
        </w:rPr>
        <w:t xml:space="preserve"> </w:t>
      </w:r>
      <w:r w:rsidRPr="00075A54">
        <w:rPr>
          <w:rFonts w:ascii="Courier New" w:hAnsi="Courier New" w:cs="Courier New"/>
          <w:sz w:val="20"/>
          <w:szCs w:val="20"/>
        </w:rPr>
        <w:t xml:space="preserve">(last updated: </w:t>
      </w:r>
      <w:r w:rsidR="00FD0E0D">
        <w:rPr>
          <w:rFonts w:ascii="Courier New" w:hAnsi="Courier New" w:cs="Courier New"/>
          <w:sz w:val="20"/>
          <w:szCs w:val="20"/>
        </w:rPr>
        <w:t>13</w:t>
      </w:r>
      <w:r w:rsidRPr="00075A54">
        <w:rPr>
          <w:rFonts w:ascii="Courier New" w:hAnsi="Courier New" w:cs="Courier New"/>
          <w:sz w:val="20"/>
          <w:szCs w:val="20"/>
        </w:rPr>
        <w:t xml:space="preserve"> A</w:t>
      </w:r>
      <w:r w:rsidR="00FD0E0D">
        <w:rPr>
          <w:rFonts w:ascii="Courier New" w:hAnsi="Courier New" w:cs="Courier New"/>
          <w:sz w:val="20"/>
          <w:szCs w:val="20"/>
        </w:rPr>
        <w:t>pr</w:t>
      </w:r>
      <w:r w:rsidRPr="00075A54">
        <w:rPr>
          <w:rFonts w:ascii="Courier New" w:hAnsi="Courier New" w:cs="Courier New"/>
          <w:sz w:val="20"/>
          <w:szCs w:val="20"/>
        </w:rPr>
        <w:t xml:space="preserve"> 201</w:t>
      </w:r>
      <w:r w:rsidR="00FD0E0D">
        <w:rPr>
          <w:rFonts w:ascii="Courier New" w:hAnsi="Courier New" w:cs="Courier New"/>
          <w:sz w:val="20"/>
          <w:szCs w:val="20"/>
        </w:rPr>
        <w:t>6</w:t>
      </w:r>
      <w:r w:rsidRPr="00075A54">
        <w:rPr>
          <w:rFonts w:ascii="Courier New" w:hAnsi="Courier New" w:cs="Courier New"/>
          <w:sz w:val="20"/>
          <w:szCs w:val="20"/>
        </w:rPr>
        <w:t>)</w:t>
      </w:r>
    </w:p>
    <w:p w:rsidR="00D21FCB" w:rsidRPr="00075A54" w:rsidP="00075A54">
      <w:pPr>
        <w:pStyle w:val="ListParagraph"/>
        <w:numPr>
          <w:ilvl w:val="0"/>
          <w:numId w:val="0"/>
        </w:numPr>
        <w:jc w:val="both"/>
        <w:rPr>
          <w:rFonts w:ascii="Courier New" w:hAnsi="Courier New" w:cs="Courier New"/>
          <w:b/>
          <w:sz w:val="22"/>
          <w:u w:val="single"/>
        </w:rPr>
      </w:pPr>
      <w:r w:rsidR="000D7028">
        <w:rPr>
          <w:rFonts w:ascii="Courier New" w:hAnsi="Courier New" w:cs="Courier New"/>
          <w:b/>
          <w:sz w:val="22"/>
          <w:u w:val="single"/>
        </w:rPr>
        <w:t>&lt;header&gt;1. Completion Tips&lt;header&gt;</w:t>
      </w:r>
    </w:p>
    <w:p w:rsidR="00ED0D15" w:rsidP="00075A54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Trade Due Diligence Review Form comprise</w:t>
      </w:r>
      <w:r w:rsidR="007C58B2">
        <w:rPr>
          <w:rFonts w:ascii="Courier New" w:hAnsi="Courier New" w:cs="Courier New"/>
          <w:sz w:val="20"/>
        </w:rPr>
        <w:t>s</w:t>
      </w:r>
      <w:r>
        <w:rPr>
          <w:rFonts w:ascii="Courier New" w:hAnsi="Courier New" w:cs="Courier New"/>
          <w:sz w:val="20"/>
        </w:rPr>
        <w:t xml:space="preserve"> of two parts: Part 1 Trade Summary Sheet, and Part 2 Trade Annex.</w:t>
      </w:r>
      <w:r w:rsidR="00D331D1">
        <w:rPr>
          <w:rFonts w:ascii="Courier New" w:hAnsi="Courier New" w:cs="Courier New"/>
          <w:sz w:val="20"/>
        </w:rPr>
        <w:t xml:space="preserve"> It should be attached to CARM Remarks section for approval.</w:t>
      </w:r>
    </w:p>
    <w:p w:rsidR="00ED0D15" w:rsidP="00ED0D15">
      <w:pPr>
        <w:pStyle w:val="ListParagraph"/>
        <w:ind w:left="360"/>
        <w:jc w:val="both"/>
        <w:rPr>
          <w:rFonts w:ascii="Courier New" w:hAnsi="Courier New" w:cs="Courier New"/>
          <w:sz w:val="20"/>
        </w:rPr>
      </w:pPr>
    </w:p>
    <w:p w:rsidR="00ED0D15" w:rsidP="00D331D1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Trade Summary Sheet completion is mandatory for all RM-managed trade customers with or without trade facility, excluding portfolio-managed (DSD segment) and sole Receivables Finance customers.</w:t>
      </w:r>
      <w:r w:rsidR="00D331D1">
        <w:rPr>
          <w:rFonts w:ascii="Courier New" w:hAnsi="Courier New" w:cs="Courier New"/>
          <w:sz w:val="20"/>
        </w:rPr>
        <w:t xml:space="preserve"> I</w:t>
      </w:r>
      <w:r w:rsidR="00371729">
        <w:rPr>
          <w:rFonts w:ascii="Courier New" w:hAnsi="Courier New" w:cs="Courier New"/>
          <w:sz w:val="20"/>
        </w:rPr>
        <w:t>t</w:t>
      </w:r>
      <w:r w:rsidR="00D331D1">
        <w:rPr>
          <w:rFonts w:ascii="Courier New" w:hAnsi="Courier New" w:cs="Courier New"/>
          <w:sz w:val="20"/>
        </w:rPr>
        <w:t xml:space="preserve"> </w:t>
      </w:r>
      <w:r w:rsidR="00371729">
        <w:rPr>
          <w:rFonts w:ascii="Courier New" w:hAnsi="Courier New" w:cs="Courier New"/>
          <w:sz w:val="20"/>
        </w:rPr>
        <w:t>is</w:t>
      </w:r>
      <w:r w:rsidR="00D331D1">
        <w:rPr>
          <w:rFonts w:ascii="Courier New" w:hAnsi="Courier New" w:cs="Courier New"/>
          <w:sz w:val="20"/>
        </w:rPr>
        <w:t xml:space="preserve"> </w:t>
      </w:r>
      <w:r w:rsidRPr="00D331D1" w:rsidR="00D331D1">
        <w:rPr>
          <w:rFonts w:ascii="Courier New" w:hAnsi="Courier New" w:cs="Courier New"/>
          <w:sz w:val="20"/>
        </w:rPr>
        <w:t>for info</w:t>
      </w:r>
      <w:r w:rsidR="00371729">
        <w:rPr>
          <w:rFonts w:ascii="Courier New" w:hAnsi="Courier New" w:cs="Courier New"/>
          <w:sz w:val="20"/>
        </w:rPr>
        <w:t>rmation</w:t>
      </w:r>
      <w:r w:rsidRPr="00D331D1" w:rsidR="00D331D1">
        <w:rPr>
          <w:rFonts w:ascii="Courier New" w:hAnsi="Courier New" w:cs="Courier New"/>
          <w:sz w:val="20"/>
        </w:rPr>
        <w:t xml:space="preserve"> sharing between RM and GTRF on customer’s trade partners, business pattern, tariff and S.I. to effectively assess transactions for AML, sanction &amp; fraud risks</w:t>
      </w:r>
      <w:r w:rsidR="00371729">
        <w:rPr>
          <w:rFonts w:ascii="Courier New" w:hAnsi="Courier New" w:cs="Courier New"/>
          <w:sz w:val="20"/>
        </w:rPr>
        <w:t>.</w:t>
      </w:r>
    </w:p>
    <w:p w:rsidR="00ED0D15" w:rsidP="00ED0D15">
      <w:pPr>
        <w:pStyle w:val="ListParagraph"/>
        <w:ind w:left="360"/>
        <w:jc w:val="both"/>
        <w:rPr>
          <w:rFonts w:ascii="Courier New" w:hAnsi="Courier New" w:cs="Courier New"/>
          <w:sz w:val="20"/>
        </w:rPr>
      </w:pPr>
    </w:p>
    <w:p w:rsidR="005F4465" w:rsidP="00075A54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 xml:space="preserve">Trade Annex completion is mandatory for all new </w:t>
      </w:r>
      <w:r w:rsidR="00D331D1">
        <w:rPr>
          <w:rFonts w:ascii="Courier New" w:hAnsi="Courier New" w:cs="Courier New"/>
          <w:sz w:val="20"/>
        </w:rPr>
        <w:t>/</w:t>
      </w:r>
      <w:r w:rsidRPr="00075A54">
        <w:rPr>
          <w:rFonts w:ascii="Courier New" w:hAnsi="Courier New" w:cs="Courier New"/>
          <w:sz w:val="20"/>
        </w:rPr>
        <w:t xml:space="preserve"> annual CARM renewal (excluding interim review) for all trade customers</w:t>
      </w:r>
      <w:r w:rsidRPr="00075A54" w:rsidR="00E52791">
        <w:rPr>
          <w:rFonts w:ascii="Courier New" w:hAnsi="Courier New" w:cs="Courier New"/>
          <w:sz w:val="20"/>
        </w:rPr>
        <w:t xml:space="preserve"> with </w:t>
      </w:r>
      <w:r w:rsidR="00ED0D15">
        <w:rPr>
          <w:rFonts w:ascii="Courier New" w:hAnsi="Courier New" w:cs="Courier New"/>
          <w:sz w:val="20"/>
        </w:rPr>
        <w:t>trade or factoring</w:t>
      </w:r>
      <w:r w:rsidRPr="00075A54" w:rsidR="0060748F">
        <w:rPr>
          <w:rFonts w:ascii="Courier New" w:hAnsi="Courier New" w:cs="Courier New"/>
          <w:sz w:val="20"/>
        </w:rPr>
        <w:t xml:space="preserve"> limit</w:t>
      </w:r>
      <w:r w:rsidRPr="00075A54" w:rsidR="00E52791">
        <w:rPr>
          <w:rFonts w:ascii="Courier New" w:hAnsi="Courier New" w:cs="Courier New"/>
          <w:sz w:val="20"/>
        </w:rPr>
        <w:t>.</w:t>
      </w:r>
      <w:r w:rsidRPr="00075A54">
        <w:rPr>
          <w:rFonts w:ascii="Courier New" w:hAnsi="Courier New" w:cs="Courier New"/>
          <w:sz w:val="20"/>
        </w:rPr>
        <w:t xml:space="preserve">  </w:t>
      </w:r>
    </w:p>
    <w:p w:rsidR="00E568F6" w:rsidRPr="007C58B2" w:rsidP="00E568F6">
      <w:pPr>
        <w:pStyle w:val="ListParagraph"/>
        <w:rPr>
          <w:rFonts w:ascii="Courier New" w:hAnsi="Courier New" w:cs="Courier New"/>
          <w:sz w:val="20"/>
        </w:rPr>
      </w:pPr>
    </w:p>
    <w:p w:rsidR="00E568F6" w:rsidRPr="008B3A90" w:rsidP="00E568F6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CARM for customer group with different entities engaging in </w:t>
      </w:r>
      <w:r w:rsidRPr="00B853C0">
        <w:rPr>
          <w:rFonts w:ascii="Courier New" w:hAnsi="Courier New" w:cs="Courier New"/>
          <w:sz w:val="20"/>
          <w:u w:val="single"/>
        </w:rPr>
        <w:t>same</w:t>
      </w:r>
      <w:r>
        <w:rPr>
          <w:rFonts w:ascii="Courier New" w:hAnsi="Courier New" w:cs="Courier New"/>
          <w:sz w:val="20"/>
        </w:rPr>
        <w:t xml:space="preserve"> industry segment can be handled collectively under same Trade Due Diligence Review Form. Otherwise, different Forms should be used for entities in </w:t>
      </w:r>
      <w:r w:rsidRPr="00B853C0">
        <w:rPr>
          <w:rFonts w:ascii="Courier New" w:hAnsi="Courier New" w:cs="Courier New"/>
          <w:sz w:val="20"/>
          <w:u w:val="single"/>
        </w:rPr>
        <w:t>different</w:t>
      </w:r>
      <w:r>
        <w:rPr>
          <w:rFonts w:ascii="Courier New" w:hAnsi="Courier New" w:cs="Courier New"/>
          <w:sz w:val="20"/>
        </w:rPr>
        <w:t xml:space="preserve"> industry segment.</w:t>
      </w:r>
    </w:p>
    <w:p w:rsidR="00B853C0" w:rsidP="00B853C0">
      <w:pPr>
        <w:pStyle w:val="ListParagraph"/>
        <w:ind w:left="360"/>
        <w:jc w:val="both"/>
        <w:rPr>
          <w:rFonts w:ascii="Courier New" w:hAnsi="Courier New" w:cs="Courier New"/>
          <w:sz w:val="20"/>
        </w:rPr>
      </w:pPr>
    </w:p>
    <w:p w:rsidR="001479B1" w:rsidP="008B3A90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Control checking:</w:t>
      </w:r>
    </w:p>
    <w:p w:rsidR="001479B1" w:rsidRPr="00E568F6" w:rsidP="001479B1">
      <w:pPr>
        <w:rPr>
          <w:rFonts w:ascii="Courier New" w:hAnsi="Courier New" w:cs="Courier New"/>
          <w:sz w:val="20"/>
          <w:u w:val="single"/>
        </w:rPr>
      </w:pPr>
      <w:r w:rsidRPr="00E568F6">
        <w:rPr>
          <w:rFonts w:ascii="Courier New" w:hAnsi="Courier New" w:cs="Courier New"/>
          <w:sz w:val="20"/>
          <w:u w:val="single"/>
        </w:rPr>
        <w:t>Trade Summary Sheet:</w:t>
      </w:r>
    </w:p>
    <w:p w:rsidR="001479B1" w:rsidP="008B3A90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Trade Summary Sheet will be prepared by GTRF Sales Manager and reviewed by GTRF BDM Team Head before seeking RLM approval.</w:t>
      </w:r>
    </w:p>
    <w:p w:rsidR="001479B1" w:rsidP="001479B1">
      <w:pPr>
        <w:pStyle w:val="ListParagraph"/>
        <w:ind w:left="360"/>
        <w:jc w:val="both"/>
        <w:rPr>
          <w:rFonts w:ascii="Courier New" w:hAnsi="Courier New" w:cs="Courier New"/>
          <w:sz w:val="20"/>
        </w:rPr>
      </w:pPr>
    </w:p>
    <w:p w:rsidR="001479B1" w:rsidP="008B3A90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On rece</w:t>
      </w:r>
      <w:r w:rsidR="00975F44">
        <w:rPr>
          <w:rFonts w:ascii="Courier New" w:hAnsi="Courier New" w:cs="Courier New"/>
          <w:sz w:val="20"/>
        </w:rPr>
        <w:t>ipt of approved CARM or stand-a</w:t>
      </w:r>
      <w:r>
        <w:rPr>
          <w:rFonts w:ascii="Courier New" w:hAnsi="Courier New" w:cs="Courier New"/>
          <w:sz w:val="20"/>
        </w:rPr>
        <w:t xml:space="preserve">lone Trade Summary Sheet (for non-borrowing </w:t>
      </w:r>
      <w:r w:rsidR="00A80D7D">
        <w:rPr>
          <w:rFonts w:ascii="Courier New" w:hAnsi="Courier New" w:cs="Courier New"/>
          <w:sz w:val="20"/>
        </w:rPr>
        <w:t xml:space="preserve">customers), GTRF BSS will check to ensure </w:t>
      </w:r>
      <w:r>
        <w:rPr>
          <w:rFonts w:ascii="Courier New" w:hAnsi="Courier New" w:cs="Courier New"/>
          <w:sz w:val="20"/>
        </w:rPr>
        <w:t>Trade Summary Sheet</w:t>
      </w:r>
      <w:r w:rsidR="00A80D7D">
        <w:rPr>
          <w:rFonts w:ascii="Courier New" w:hAnsi="Courier New" w:cs="Courier New"/>
          <w:sz w:val="20"/>
        </w:rPr>
        <w:t xml:space="preserve"> is attached</w:t>
      </w:r>
      <w:r>
        <w:rPr>
          <w:rFonts w:ascii="Courier New" w:hAnsi="Courier New" w:cs="Courier New"/>
          <w:sz w:val="20"/>
        </w:rPr>
        <w:t xml:space="preserve">, and inform </w:t>
      </w:r>
      <w:r w:rsidR="00A80D7D">
        <w:rPr>
          <w:rFonts w:ascii="Courier New" w:hAnsi="Courier New" w:cs="Courier New"/>
          <w:sz w:val="20"/>
        </w:rPr>
        <w:t>respective RM and GTRF BDM for correction if no TSS is attached</w:t>
      </w:r>
      <w:r>
        <w:rPr>
          <w:rFonts w:ascii="Courier New" w:hAnsi="Courier New" w:cs="Courier New"/>
          <w:sz w:val="20"/>
        </w:rPr>
        <w:t xml:space="preserve">. </w:t>
      </w:r>
      <w:bookmarkStart w:id="0" w:name="_GoBack"/>
      <w:bookmarkEnd w:id="0"/>
    </w:p>
    <w:p w:rsidR="00327196" w:rsidRPr="00E568F6" w:rsidP="00E568F6">
      <w:pPr>
        <w:jc w:val="both"/>
        <w:rPr>
          <w:rFonts w:ascii="Courier New" w:hAnsi="Courier New" w:cs="Courier New"/>
          <w:sz w:val="20"/>
          <w:u w:val="single"/>
        </w:rPr>
      </w:pPr>
      <w:r w:rsidRPr="00E568F6">
        <w:rPr>
          <w:rFonts w:ascii="Courier New" w:hAnsi="Courier New" w:cs="Courier New"/>
          <w:sz w:val="20"/>
          <w:u w:val="single"/>
        </w:rPr>
        <w:t>Trade Annex:</w:t>
      </w:r>
    </w:p>
    <w:p w:rsidR="001B67D3" w:rsidRPr="00075A54" w:rsidP="00075A54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 xml:space="preserve">CMB RSO will assist with the first level of checking </w:t>
      </w:r>
      <w:r w:rsidR="00D331D1">
        <w:rPr>
          <w:rFonts w:ascii="Courier New" w:hAnsi="Courier New" w:cs="Courier New"/>
          <w:sz w:val="20"/>
        </w:rPr>
        <w:t xml:space="preserve">on Trade Annex </w:t>
      </w:r>
      <w:r w:rsidRPr="00075A54">
        <w:rPr>
          <w:rFonts w:ascii="Courier New" w:hAnsi="Courier New" w:cs="Courier New"/>
          <w:sz w:val="20"/>
        </w:rPr>
        <w:t xml:space="preserve">before </w:t>
      </w:r>
      <w:r w:rsidRPr="00075A54" w:rsidR="00327196">
        <w:rPr>
          <w:rFonts w:ascii="Courier New" w:hAnsi="Courier New" w:cs="Courier New"/>
          <w:sz w:val="20"/>
        </w:rPr>
        <w:t xml:space="preserve">informing respective RM to </w:t>
      </w:r>
      <w:r w:rsidR="008B3A90">
        <w:rPr>
          <w:rFonts w:ascii="Courier New" w:hAnsi="Courier New" w:cs="Courier New"/>
          <w:sz w:val="20"/>
        </w:rPr>
        <w:t xml:space="preserve">arrange for </w:t>
      </w:r>
      <w:r w:rsidRPr="00075A54">
        <w:rPr>
          <w:rFonts w:ascii="Courier New" w:hAnsi="Courier New" w:cs="Courier New"/>
          <w:sz w:val="20"/>
        </w:rPr>
        <w:t xml:space="preserve">CARM approval. </w:t>
      </w:r>
    </w:p>
    <w:p w:rsidR="00327196" w:rsidRPr="00075A54" w:rsidP="00075A54">
      <w:pPr>
        <w:pStyle w:val="ListParagraph"/>
        <w:ind w:left="360"/>
        <w:jc w:val="both"/>
        <w:rPr>
          <w:rFonts w:ascii="Courier New" w:hAnsi="Courier New" w:cs="Courier New"/>
          <w:sz w:val="20"/>
        </w:rPr>
      </w:pPr>
    </w:p>
    <w:p w:rsidR="00E40EA6" w:rsidRPr="00075A54" w:rsidP="00075A54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>On receipt of approved</w:t>
      </w:r>
      <w:r w:rsidR="000D7028">
        <w:rPr>
          <w:rFonts w:ascii="Courier New" w:hAnsi="Courier New" w:cs="Courier New"/>
          <w:sz w:val="20"/>
        </w:rPr>
        <w:t xml:space="preserve"> CARM</w:t>
      </w:r>
      <w:r w:rsidRPr="00075A54">
        <w:rPr>
          <w:rFonts w:ascii="Courier New" w:hAnsi="Courier New" w:cs="Courier New"/>
          <w:sz w:val="20"/>
        </w:rPr>
        <w:t xml:space="preserve">, GTRF BSS will check the completeness of Trade Annex and inform RLM of any missing part for correction. </w:t>
      </w:r>
      <w:r w:rsidRPr="00075A54" w:rsidR="00327196">
        <w:rPr>
          <w:rFonts w:ascii="Courier New" w:hAnsi="Courier New" w:cs="Courier New"/>
          <w:sz w:val="20"/>
        </w:rPr>
        <w:t xml:space="preserve"> No action will be taken by GTRF </w:t>
      </w:r>
      <w:r w:rsidR="000D7028">
        <w:rPr>
          <w:rFonts w:ascii="Courier New" w:hAnsi="Courier New" w:cs="Courier New"/>
          <w:sz w:val="20"/>
        </w:rPr>
        <w:t xml:space="preserve">BSS </w:t>
      </w:r>
      <w:r w:rsidRPr="00075A54" w:rsidR="00327196">
        <w:rPr>
          <w:rFonts w:ascii="Courier New" w:hAnsi="Courier New" w:cs="Courier New"/>
          <w:sz w:val="20"/>
        </w:rPr>
        <w:t xml:space="preserve">for any CARM </w:t>
      </w:r>
      <w:r w:rsidR="000D7028">
        <w:rPr>
          <w:rFonts w:ascii="Courier New" w:hAnsi="Courier New" w:cs="Courier New"/>
          <w:sz w:val="20"/>
        </w:rPr>
        <w:t xml:space="preserve">received </w:t>
      </w:r>
      <w:r w:rsidRPr="00075A54" w:rsidR="00327196">
        <w:rPr>
          <w:rFonts w:ascii="Courier New" w:hAnsi="Courier New" w:cs="Courier New"/>
          <w:sz w:val="20"/>
        </w:rPr>
        <w:t xml:space="preserve">with </w:t>
      </w:r>
      <w:r w:rsidRPr="00075A54" w:rsidR="009D5F9D">
        <w:rPr>
          <w:rFonts w:ascii="Courier New" w:hAnsi="Courier New" w:cs="Courier New"/>
          <w:sz w:val="20"/>
        </w:rPr>
        <w:t>incomplete</w:t>
      </w:r>
      <w:r w:rsidRPr="00075A54" w:rsidR="00327196">
        <w:rPr>
          <w:rFonts w:ascii="Courier New" w:hAnsi="Courier New" w:cs="Courier New"/>
          <w:sz w:val="20"/>
        </w:rPr>
        <w:t xml:space="preserve"> T</w:t>
      </w:r>
      <w:r w:rsidRPr="00075A54" w:rsidR="009D5F9D">
        <w:rPr>
          <w:rFonts w:ascii="Courier New" w:hAnsi="Courier New" w:cs="Courier New"/>
          <w:sz w:val="20"/>
        </w:rPr>
        <w:t>rade Annex</w:t>
      </w:r>
      <w:r w:rsidR="000D7028">
        <w:rPr>
          <w:rFonts w:ascii="Courier New" w:hAnsi="Courier New" w:cs="Courier New"/>
          <w:sz w:val="20"/>
        </w:rPr>
        <w:t xml:space="preserve"> (except removal of pre-approved counterpart</w:t>
      </w:r>
      <w:r w:rsidR="00975F44">
        <w:rPr>
          <w:rFonts w:ascii="Courier New" w:hAnsi="Courier New" w:cs="Courier New"/>
          <w:sz w:val="20"/>
        </w:rPr>
        <w:t>ie</w:t>
      </w:r>
      <w:r w:rsidR="000D7028">
        <w:rPr>
          <w:rFonts w:ascii="Courier New" w:hAnsi="Courier New" w:cs="Courier New"/>
          <w:sz w:val="20"/>
        </w:rPr>
        <w:t>s)</w:t>
      </w:r>
      <w:r w:rsidRPr="00075A54" w:rsidR="009D5F9D">
        <w:rPr>
          <w:rFonts w:ascii="Courier New" w:hAnsi="Courier New" w:cs="Courier New"/>
          <w:sz w:val="20"/>
        </w:rPr>
        <w:t xml:space="preserve">. </w:t>
      </w:r>
      <w:r w:rsidRPr="00075A54">
        <w:rPr>
          <w:rFonts w:ascii="Courier New" w:hAnsi="Courier New" w:cs="Courier New"/>
          <w:sz w:val="20"/>
        </w:rPr>
        <w:t xml:space="preserve"> </w:t>
      </w:r>
    </w:p>
    <w:p w:rsidR="009D5F9D" w:rsidRPr="00075A54" w:rsidP="00075A54">
      <w:pPr>
        <w:pStyle w:val="ListParagraph"/>
        <w:jc w:val="both"/>
        <w:rPr>
          <w:rFonts w:ascii="Courier New" w:hAnsi="Courier New" w:cs="Courier New"/>
          <w:sz w:val="20"/>
        </w:rPr>
      </w:pPr>
    </w:p>
    <w:p w:rsidR="009D5F9D" w:rsidP="00075A54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 xml:space="preserve">Team Head when endorsing / approving related CARM with Trade Annex must also review the completeness and quality of Trade Annex. GTRF will report to CMB BRCC meeting on the result of Trade Annex checking.  </w:t>
      </w:r>
    </w:p>
    <w:p w:rsidR="00E568F6" w:rsidRPr="00E568F6" w:rsidP="00E568F6">
      <w:pPr>
        <w:pStyle w:val="ListParagraph"/>
        <w:rPr>
          <w:rFonts w:ascii="Courier New" w:hAnsi="Courier New" w:cs="Courier New"/>
          <w:sz w:val="20"/>
        </w:rPr>
      </w:pPr>
    </w:p>
    <w:p w:rsidR="00E568F6" w:rsidRPr="00E568F6" w:rsidP="00E568F6">
      <w:pPr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Trade Annex completion tips:</w:t>
      </w:r>
    </w:p>
    <w:tbl>
      <w:tblPr>
        <w:tblStyle w:val="TableGrid"/>
        <w:tblW w:w="5000" w:type="pct"/>
        <w:tblInd w:w="108" w:type="dxa"/>
        <w:tblLook w:val="04A0"/>
      </w:tblPr>
      <w:tblGrid>
        <w:gridCol w:w="9990"/>
      </w:tblGrid>
      <w:tr>
        <w:tc>
          <w:p>
            <w:r>
              <w:t>*|1.1 Pre-approved ITL/ETL Trade Counterparties List Review/Updates:
*|Must be completed by RMs unless either one of the ‘N/A’ boxes is checked
*|All check steps must be checked to evidence due diligence checking on trade counterparties.
*|If there is any special ITL/ETL disbursement arrangement, RM should verify against that as documented in section 1.6 &amp; 1.7 in Part 1 Trade Summary Sheet, and notify GTRF BDM to update TSS if there is any inconsistency. 
*|1.2 Post Disbursement Controls on ETL (for CARM renewal only)
*|Must be completed by RMs unless either one of the ‘N/A’ boxes is checked
*|At least 1 existing ETL buyer should be provided. This will be cross checked with section 1.7 (Pre-Approved Buyers) in Part 1 by RSO.
*|Check step (i), (ii) &amp; (iii) must be checked.  For significant difference in step (iii), the “Explanatory and justification stated in CARM buyer/seller section for significant discrepancy” box must be checked.  
*|2   Due Diligence Review and Trade Turnover Analysis on Top Buyers/Suppliers financed by HASE
*|Must be completed by RMs unless either one of the ‘N/A’ boxes is checked
*|Check step i ,ii &amp; iii must be checked; Check step iv could be blank but justification must be provided in “Remarks” field|</w:t>
            </w:r>
          </w:p>
        </w:tc>
      </w:tr>
    </w:tbl>
    <w:p w:rsidR="00E950F4" w:rsidRPr="00075A54" w:rsidP="00075A54">
      <w:pPr>
        <w:pStyle w:val="ListParagraph"/>
        <w:numPr>
          <w:ilvl w:val="0"/>
          <w:numId w:val="0"/>
        </w:numPr>
        <w:jc w:val="both"/>
        <w:rPr>
          <w:rFonts w:ascii="Courier New" w:eastAsia="MS Mincho" w:hAnsi="Courier New" w:cs="Courier New"/>
          <w:b/>
          <w:sz w:val="22"/>
          <w:u w:val="single"/>
          <w:lang w:eastAsia="ja-JP"/>
        </w:rPr>
      </w:pPr>
      <w:r w:rsidRPr="00075A54" w:rsidR="00B606BF">
        <w:rPr>
          <w:rFonts w:ascii="Courier New" w:hAnsi="Courier New" w:cs="Courier New"/>
          <w:b/>
          <w:sz w:val="22"/>
          <w:u w:val="single"/>
        </w:rPr>
        <w:t>&lt;header&gt;2. FAQ&lt;header&gt;</w:t>
      </w:r>
    </w:p>
    <w:p w:rsidR="00033285" w:rsidRPr="00075A54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 xml:space="preserve">Q1. Who are required to complete Trade </w:t>
      </w:r>
      <w:r w:rsidR="00120154">
        <w:rPr>
          <w:rFonts w:ascii="Courier New" w:hAnsi="Courier New" w:cs="Courier New"/>
          <w:sz w:val="20"/>
        </w:rPr>
        <w:t>Due Diligence Review Form</w:t>
      </w:r>
      <w:r w:rsidRPr="00075A54">
        <w:rPr>
          <w:rFonts w:ascii="Courier New" w:hAnsi="Courier New" w:cs="Courier New"/>
          <w:sz w:val="20"/>
        </w:rPr>
        <w:t>?</w:t>
      </w:r>
    </w:p>
    <w:p w:rsidR="00B853C0" w:rsidP="001201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ab/>
        <w:t xml:space="preserve">Answer </w:t>
      </w:r>
      <w:r w:rsidRPr="00075A54" w:rsidR="009D5F9D">
        <w:rPr>
          <w:rFonts w:ascii="Courier New" w:hAnsi="Courier New" w:cs="Courier New"/>
          <w:sz w:val="20"/>
        </w:rPr>
        <w:t>–</w:t>
      </w:r>
      <w:r w:rsidRPr="00075A54">
        <w:rPr>
          <w:rFonts w:ascii="Courier New" w:hAnsi="Courier New" w:cs="Courier New"/>
          <w:sz w:val="20"/>
        </w:rPr>
        <w:t xml:space="preserve"> </w:t>
      </w:r>
      <w:r w:rsidR="00120154">
        <w:rPr>
          <w:rFonts w:ascii="Courier New" w:hAnsi="Courier New" w:cs="Courier New"/>
          <w:sz w:val="20"/>
        </w:rPr>
        <w:t xml:space="preserve">For Trade Summary Sheet, completion </w:t>
      </w:r>
      <w:r w:rsidR="00D00D00">
        <w:rPr>
          <w:rFonts w:ascii="Courier New" w:hAnsi="Courier New" w:cs="Courier New"/>
          <w:sz w:val="20"/>
        </w:rPr>
        <w:t xml:space="preserve">by GTRF BDM </w:t>
      </w:r>
      <w:r w:rsidR="00120154">
        <w:rPr>
          <w:rFonts w:ascii="Courier New" w:hAnsi="Courier New" w:cs="Courier New"/>
          <w:sz w:val="20"/>
        </w:rPr>
        <w:t>is mandatory for all RM-managed trade customers with or without trade facility, excluding portfolio-managed (DSD segment) and sole Receivables Finance customers. For Trade Annex, a</w:t>
      </w:r>
      <w:r w:rsidRPr="00075A54" w:rsidR="009D5F9D">
        <w:rPr>
          <w:rFonts w:ascii="Courier New" w:hAnsi="Courier New" w:cs="Courier New"/>
          <w:sz w:val="20"/>
        </w:rPr>
        <w:t xml:space="preserve">ll </w:t>
      </w:r>
      <w:r w:rsidRPr="00075A54">
        <w:rPr>
          <w:rFonts w:ascii="Courier New" w:hAnsi="Courier New" w:cs="Courier New"/>
          <w:sz w:val="20"/>
        </w:rPr>
        <w:t>CMB RMs should complete Trade Annex upon annual CARM revie</w:t>
      </w:r>
      <w:r w:rsidRPr="00075A54" w:rsidR="00007C8D">
        <w:rPr>
          <w:rFonts w:ascii="Courier New" w:hAnsi="Courier New" w:cs="Courier New"/>
          <w:sz w:val="20"/>
        </w:rPr>
        <w:t>w and new CARM approval</w:t>
      </w:r>
      <w:r w:rsidRPr="00075A54" w:rsidR="003C4974">
        <w:rPr>
          <w:rFonts w:ascii="Courier New" w:hAnsi="Courier New" w:cs="Courier New"/>
          <w:sz w:val="20"/>
        </w:rPr>
        <w:t xml:space="preserve"> for customers with </w:t>
      </w:r>
      <w:r>
        <w:rPr>
          <w:rFonts w:ascii="Courier New" w:hAnsi="Courier New" w:cs="Courier New"/>
          <w:sz w:val="20"/>
        </w:rPr>
        <w:t xml:space="preserve">trade and factoring </w:t>
      </w:r>
      <w:r w:rsidRPr="00075A54" w:rsidR="003C4974">
        <w:rPr>
          <w:rFonts w:ascii="Courier New" w:hAnsi="Courier New" w:cs="Courier New"/>
          <w:sz w:val="20"/>
        </w:rPr>
        <w:t>limit granted</w:t>
      </w:r>
      <w:r>
        <w:rPr>
          <w:rFonts w:ascii="Courier New" w:hAnsi="Courier New" w:cs="Courier New"/>
          <w:sz w:val="20"/>
        </w:rPr>
        <w:t xml:space="preserve"> (for </w:t>
      </w:r>
      <w:r w:rsidRPr="00075A54">
        <w:rPr>
          <w:rFonts w:ascii="Courier New" w:hAnsi="Courier New" w:cs="Courier New"/>
          <w:sz w:val="20"/>
        </w:rPr>
        <w:t>GTRF BSS reference only – Trade Annex is not applicable to GBS trade customer</w:t>
      </w:r>
      <w:r w:rsidR="00D00D00">
        <w:rPr>
          <w:rFonts w:ascii="Courier New" w:hAnsi="Courier New" w:cs="Courier New"/>
          <w:sz w:val="20"/>
        </w:rPr>
        <w:t>s.</w:t>
      </w:r>
      <w:r w:rsidRPr="00075A54">
        <w:rPr>
          <w:rFonts w:ascii="Courier New" w:hAnsi="Courier New" w:cs="Courier New"/>
          <w:sz w:val="20"/>
        </w:rPr>
        <w:t>)</w:t>
      </w:r>
    </w:p>
    <w:p w:rsidR="00FA755D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For clarity, trade </w:t>
      </w:r>
      <w:r w:rsidR="00FA40CB">
        <w:rPr>
          <w:rFonts w:ascii="Courier New" w:hAnsi="Courier New" w:cs="Courier New"/>
          <w:sz w:val="20"/>
        </w:rPr>
        <w:t xml:space="preserve">relationship with guarantee or SBDC limit </w:t>
      </w:r>
      <w:r w:rsidRPr="00FA755D" w:rsidR="00FA40CB">
        <w:rPr>
          <w:rFonts w:ascii="Courier New" w:hAnsi="Courier New" w:cs="Courier New"/>
          <w:sz w:val="20"/>
          <w:u w:val="single"/>
        </w:rPr>
        <w:t>only</w:t>
      </w:r>
      <w:r w:rsidR="00FA40CB">
        <w:rPr>
          <w:rFonts w:ascii="Courier New" w:hAnsi="Courier New" w:cs="Courier New"/>
          <w:sz w:val="20"/>
        </w:rPr>
        <w:t xml:space="preserve"> does</w:t>
      </w:r>
      <w:r>
        <w:rPr>
          <w:rFonts w:ascii="Courier New" w:hAnsi="Courier New" w:cs="Courier New"/>
          <w:sz w:val="20"/>
        </w:rPr>
        <w:t xml:space="preserve"> not require the use of Trade Annex. </w:t>
      </w:r>
    </w:p>
    <w:p w:rsidR="00033285" w:rsidRPr="00075A54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Trade Annex is also not required for interim review. </w:t>
      </w:r>
    </w:p>
    <w:p w:rsidR="00FB3197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</w:p>
    <w:p w:rsidR="00ED68E1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Q2. What is the difference between Trade Summary Sheet and Trade Annex?</w:t>
      </w:r>
    </w:p>
    <w:p w:rsidR="00ED68E1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Answer – Trade Summary Sheet is </w:t>
      </w:r>
      <w:r w:rsidRPr="00ED68E1">
        <w:rPr>
          <w:rFonts w:ascii="Courier New" w:hAnsi="Courier New" w:cs="Courier New"/>
          <w:sz w:val="20"/>
        </w:rPr>
        <w:t>for info</w:t>
      </w:r>
      <w:r>
        <w:rPr>
          <w:rFonts w:ascii="Courier New" w:hAnsi="Courier New" w:cs="Courier New"/>
          <w:sz w:val="20"/>
        </w:rPr>
        <w:t>rmation</w:t>
      </w:r>
      <w:r w:rsidRPr="00ED68E1">
        <w:rPr>
          <w:rFonts w:ascii="Courier New" w:hAnsi="Courier New" w:cs="Courier New"/>
          <w:sz w:val="20"/>
        </w:rPr>
        <w:t xml:space="preserve"> sharing between RM and GTRF on customer’s trade partners, business pattern, tariff and S.I. to effectively assess transactions for AML, sanction &amp; fraud risks (to be prepared by GTRF BDM and approved by R</w:t>
      </w:r>
      <w:r>
        <w:rPr>
          <w:rFonts w:ascii="Courier New" w:hAnsi="Courier New" w:cs="Courier New"/>
          <w:sz w:val="20"/>
        </w:rPr>
        <w:t>L</w:t>
      </w:r>
      <w:r w:rsidRPr="00ED68E1">
        <w:rPr>
          <w:rFonts w:ascii="Courier New" w:hAnsi="Courier New" w:cs="Courier New"/>
          <w:sz w:val="20"/>
        </w:rPr>
        <w:t>M, mandatory for all trade customers with / without trade facility)</w:t>
      </w:r>
      <w:r>
        <w:rPr>
          <w:rFonts w:ascii="Courier New" w:hAnsi="Courier New" w:cs="Courier New"/>
          <w:sz w:val="20"/>
        </w:rPr>
        <w:t xml:space="preserve">. Trade Annex is for RM to evidence due diligence check on </w:t>
      </w:r>
      <w:r w:rsidRPr="00ED68E1">
        <w:rPr>
          <w:rFonts w:ascii="Courier New" w:hAnsi="Courier New" w:cs="Courier New"/>
          <w:sz w:val="20"/>
        </w:rPr>
        <w:t xml:space="preserve">customer’s trade counterparties (to be completed by </w:t>
      </w:r>
      <w:r w:rsidRPr="00ED68E1">
        <w:rPr>
          <w:rFonts w:ascii="Courier New" w:hAnsi="Courier New" w:cs="Courier New"/>
          <w:sz w:val="20"/>
        </w:rPr>
        <w:t>RM,</w:t>
      </w:r>
      <w:r w:rsidRPr="00ED68E1">
        <w:rPr>
          <w:rFonts w:ascii="Courier New" w:hAnsi="Courier New" w:cs="Courier New"/>
          <w:sz w:val="20"/>
        </w:rPr>
        <w:t xml:space="preserve"> and mandatory for all customers with trade facility)</w:t>
      </w:r>
      <w:r>
        <w:rPr>
          <w:rFonts w:ascii="Courier New" w:hAnsi="Courier New" w:cs="Courier New"/>
          <w:sz w:val="20"/>
        </w:rPr>
        <w:t>.</w:t>
      </w:r>
    </w:p>
    <w:p w:rsidR="00ED68E1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</w:p>
    <w:p w:rsidR="00EC3617" w:rsidP="00EC3617">
      <w:pPr>
        <w:spacing w:after="140" w:line="240" w:lineRule="exact"/>
        <w:ind w:left="495" w:hanging="495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Q3. When will GTRF BDM prepare the Trade Summary Sheet for RM to approve and attach in CARM?</w:t>
      </w:r>
    </w:p>
    <w:p w:rsidR="00EC3617" w:rsidP="00EC3617">
      <w:pPr>
        <w:spacing w:after="140" w:line="240" w:lineRule="exact"/>
        <w:ind w:left="495" w:hanging="495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Answer – Based on the CARM annual review list sent by CAN 2 months in advance, GTRF BDM will complete Trade Summary Sheet 1 month in advance for RM.</w:t>
      </w:r>
    </w:p>
    <w:p w:rsidR="00EC3617" w:rsidP="00EC3617">
      <w:pPr>
        <w:spacing w:after="140" w:line="240" w:lineRule="exact"/>
        <w:ind w:left="495" w:hanging="495"/>
        <w:jc w:val="both"/>
        <w:rPr>
          <w:rFonts w:ascii="Courier New" w:hAnsi="Courier New" w:cs="Courier New"/>
          <w:sz w:val="20"/>
        </w:rPr>
      </w:pPr>
    </w:p>
    <w:p w:rsidR="00EC3617" w:rsidP="00EC3617">
      <w:pPr>
        <w:spacing w:after="140" w:line="240" w:lineRule="exact"/>
        <w:ind w:left="495" w:hanging="495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Q4. For multi borrowers under the same group, should I list the pre-approved buyers/suppliers separately for each borrower?</w:t>
      </w:r>
    </w:p>
    <w:p w:rsidR="00EC3617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 xml:space="preserve">Answer – Yes. GTRF BDM should list pre-approved suppliers/buyers for each </w:t>
      </w:r>
      <w:r w:rsidR="00D14E0A">
        <w:rPr>
          <w:rFonts w:ascii="Courier New" w:hAnsi="Courier New" w:cs="Courier New"/>
          <w:sz w:val="20"/>
        </w:rPr>
        <w:t>borrower</w:t>
      </w:r>
      <w:r>
        <w:rPr>
          <w:rFonts w:ascii="Courier New" w:hAnsi="Courier New" w:cs="Courier New"/>
          <w:sz w:val="20"/>
        </w:rPr>
        <w:t xml:space="preserve"> separately in section 1.6 &amp; 1.7 of Part 1 Trade Summary Sheet. It will replace the Annex 1 “Counterparties of Local LC/Trade Loan/Order Packing Loan” </w:t>
      </w:r>
      <w:r w:rsidR="00D00D00">
        <w:rPr>
          <w:rFonts w:ascii="Courier New" w:hAnsi="Courier New" w:cs="Courier New"/>
          <w:sz w:val="20"/>
        </w:rPr>
        <w:t xml:space="preserve">section in Annex 1 </w:t>
      </w:r>
      <w:r>
        <w:rPr>
          <w:rFonts w:ascii="Courier New" w:hAnsi="Courier New" w:cs="Courier New"/>
          <w:sz w:val="20"/>
        </w:rPr>
        <w:t>in CARM Remarks.</w:t>
      </w:r>
    </w:p>
    <w:p w:rsidR="00EC3617" w:rsidRPr="00075A54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</w:p>
    <w:p w:rsidR="00B606BF" w:rsidRPr="00075A54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>Q</w:t>
      </w:r>
      <w:r w:rsidR="00EC3617">
        <w:rPr>
          <w:rFonts w:ascii="Courier New" w:eastAsia="MS Mincho" w:hAnsi="Courier New" w:cs="Courier New"/>
          <w:sz w:val="20"/>
          <w:lang w:eastAsia="ja-JP"/>
        </w:rPr>
        <w:t>5</w:t>
      </w:r>
      <w:r w:rsidRPr="00075A54">
        <w:rPr>
          <w:rFonts w:ascii="Courier New" w:hAnsi="Courier New" w:cs="Courier New"/>
          <w:sz w:val="20"/>
        </w:rPr>
        <w:t xml:space="preserve">. </w:t>
      </w:r>
      <w:r w:rsidRPr="00075A54">
        <w:rPr>
          <w:rFonts w:ascii="Courier New" w:hAnsi="Courier New" w:cs="Courier New"/>
          <w:sz w:val="20"/>
        </w:rPr>
        <w:t xml:space="preserve">What </w:t>
      </w:r>
      <w:r w:rsidRPr="00075A54" w:rsidR="00A375D3">
        <w:rPr>
          <w:rFonts w:ascii="Courier New" w:hAnsi="Courier New" w:cs="Courier New"/>
          <w:sz w:val="20"/>
        </w:rPr>
        <w:t>does</w:t>
      </w:r>
      <w:r w:rsidRPr="00075A54">
        <w:rPr>
          <w:rFonts w:ascii="Courier New" w:hAnsi="Courier New" w:cs="Courier New"/>
          <w:sz w:val="20"/>
        </w:rPr>
        <w:t xml:space="preserve"> ‘GTRF trade analysis report</w:t>
      </w:r>
      <w:r w:rsidRPr="00075A54" w:rsidR="00B33973">
        <w:rPr>
          <w:rFonts w:ascii="Courier New" w:hAnsi="Courier New" w:cs="Courier New"/>
          <w:sz w:val="20"/>
        </w:rPr>
        <w:t>(</w:t>
      </w:r>
      <w:r w:rsidRPr="00075A54">
        <w:rPr>
          <w:rFonts w:ascii="Courier New" w:hAnsi="Courier New" w:cs="Courier New"/>
          <w:sz w:val="20"/>
        </w:rPr>
        <w:t>s</w:t>
      </w:r>
      <w:r w:rsidRPr="00075A54" w:rsidR="00B33973">
        <w:rPr>
          <w:rFonts w:ascii="Courier New" w:hAnsi="Courier New" w:cs="Courier New"/>
          <w:sz w:val="20"/>
        </w:rPr>
        <w:t>)</w:t>
      </w:r>
      <w:r w:rsidRPr="00075A54">
        <w:rPr>
          <w:rFonts w:ascii="Courier New" w:hAnsi="Courier New" w:cs="Courier New"/>
          <w:sz w:val="20"/>
        </w:rPr>
        <w:t xml:space="preserve">’ mentioned in check step </w:t>
      </w:r>
      <w:r w:rsidRPr="00075A54">
        <w:rPr>
          <w:rFonts w:ascii="Courier New" w:hAnsi="Courier New" w:cs="Courier New"/>
          <w:sz w:val="20"/>
        </w:rPr>
        <w:t>i</w:t>
      </w:r>
      <w:r w:rsidRPr="00075A54">
        <w:rPr>
          <w:rFonts w:ascii="Courier New" w:hAnsi="Courier New" w:cs="Courier New"/>
          <w:sz w:val="20"/>
        </w:rPr>
        <w:t xml:space="preserve"> (section 1.1) and check step iii (section 2)</w:t>
      </w:r>
      <w:r w:rsidRPr="00075A54" w:rsidR="00A375D3">
        <w:rPr>
          <w:rFonts w:ascii="Courier New" w:hAnsi="Courier New" w:cs="Courier New"/>
          <w:sz w:val="20"/>
        </w:rPr>
        <w:t xml:space="preserve"> refers to</w:t>
      </w:r>
      <w:r w:rsidRPr="00075A54">
        <w:rPr>
          <w:rFonts w:ascii="Courier New" w:hAnsi="Courier New" w:cs="Courier New"/>
          <w:sz w:val="20"/>
        </w:rPr>
        <w:t>?</w:t>
      </w:r>
    </w:p>
    <w:p w:rsidR="00B606BF" w:rsidRPr="00075A54" w:rsidP="00075A54">
      <w:pPr>
        <w:spacing w:after="140" w:line="240" w:lineRule="exact"/>
        <w:ind w:left="450"/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 xml:space="preserve">Answer </w:t>
      </w:r>
      <w:r w:rsidRPr="00075A54" w:rsidR="00821EDF">
        <w:rPr>
          <w:rFonts w:ascii="Courier New" w:hAnsi="Courier New" w:cs="Courier New"/>
          <w:sz w:val="20"/>
        </w:rPr>
        <w:t>–</w:t>
      </w:r>
      <w:r w:rsidRPr="00075A54">
        <w:rPr>
          <w:rFonts w:ascii="Courier New" w:hAnsi="Courier New" w:cs="Courier New"/>
          <w:sz w:val="20"/>
        </w:rPr>
        <w:t xml:space="preserve"> </w:t>
      </w:r>
      <w:r w:rsidRPr="00075A54" w:rsidR="005F7D33">
        <w:rPr>
          <w:rFonts w:ascii="Courier New" w:hAnsi="Courier New" w:cs="Courier New"/>
          <w:sz w:val="20"/>
        </w:rPr>
        <w:t>GTRF’s analysis reports include: Beneficiary/</w:t>
      </w:r>
      <w:r w:rsidRPr="00075A54" w:rsidR="005F7D33">
        <w:rPr>
          <w:rFonts w:ascii="Courier New" w:hAnsi="Courier New" w:cs="Courier New"/>
          <w:sz w:val="20"/>
        </w:rPr>
        <w:t>Drawee</w:t>
      </w:r>
      <w:r w:rsidRPr="00075A54" w:rsidR="005F7D33">
        <w:rPr>
          <w:rFonts w:ascii="Courier New" w:hAnsi="Courier New" w:cs="Courier New"/>
          <w:sz w:val="20"/>
        </w:rPr>
        <w:t xml:space="preserve"> Statistics Report</w:t>
      </w:r>
      <w:r w:rsidRPr="00075A54" w:rsidR="00DE6972">
        <w:rPr>
          <w:rFonts w:ascii="Courier New" w:eastAsia="MS Mincho" w:hAnsi="Courier New" w:cs="Courier New" w:hint="eastAsia"/>
          <w:sz w:val="20"/>
          <w:lang w:eastAsia="ja-JP"/>
        </w:rPr>
        <w:t xml:space="preserve"> as provided by </w:t>
      </w:r>
      <w:r w:rsidRPr="00075A54" w:rsidR="002859B7">
        <w:rPr>
          <w:rFonts w:ascii="Courier New" w:eastAsia="MS Mincho" w:hAnsi="Courier New" w:cs="Courier New"/>
          <w:sz w:val="20"/>
          <w:lang w:eastAsia="ja-JP"/>
        </w:rPr>
        <w:t xml:space="preserve">CAN / </w:t>
      </w:r>
      <w:r w:rsidRPr="00075A54" w:rsidR="00DE6972">
        <w:rPr>
          <w:rFonts w:ascii="Courier New" w:eastAsia="MS Mincho" w:hAnsi="Courier New" w:cs="Courier New" w:hint="eastAsia"/>
          <w:sz w:val="20"/>
          <w:lang w:eastAsia="ja-JP"/>
        </w:rPr>
        <w:t xml:space="preserve">GTRF </w:t>
      </w:r>
      <w:r w:rsidR="00AF518E">
        <w:rPr>
          <w:rFonts w:ascii="Courier New" w:eastAsia="MS Mincho" w:hAnsi="Courier New" w:cs="Courier New"/>
          <w:sz w:val="20"/>
          <w:lang w:eastAsia="ja-JP"/>
        </w:rPr>
        <w:t xml:space="preserve">SMG or </w:t>
      </w:r>
      <w:r w:rsidRPr="00075A54" w:rsidR="00DE6972">
        <w:rPr>
          <w:rFonts w:ascii="Courier New" w:eastAsia="MS Mincho" w:hAnsi="Courier New" w:cs="Courier New" w:hint="eastAsia"/>
          <w:sz w:val="20"/>
          <w:lang w:eastAsia="ja-JP"/>
        </w:rPr>
        <w:t>CNS</w:t>
      </w:r>
      <w:r w:rsidRPr="00075A54" w:rsidR="009D5F9D">
        <w:rPr>
          <w:rFonts w:ascii="Courier New" w:eastAsia="MS Mincho" w:hAnsi="Courier New" w:cs="Courier New"/>
          <w:sz w:val="20"/>
          <w:lang w:eastAsia="ja-JP"/>
        </w:rPr>
        <w:t>)</w:t>
      </w:r>
      <w:r w:rsidRPr="00075A54" w:rsidR="005F7D33">
        <w:rPr>
          <w:rFonts w:ascii="Courier New" w:hAnsi="Courier New" w:cs="Courier New"/>
          <w:sz w:val="20"/>
        </w:rPr>
        <w:t xml:space="preserve">, </w:t>
      </w:r>
      <w:r w:rsidRPr="00075A54" w:rsidR="00FA7302">
        <w:rPr>
          <w:rFonts w:ascii="Courier New" w:hAnsi="Courier New" w:cs="Courier New"/>
          <w:sz w:val="20"/>
        </w:rPr>
        <w:t xml:space="preserve">IRTT transactions </w:t>
      </w:r>
      <w:r w:rsidRPr="00075A54" w:rsidR="005F6D0E">
        <w:rPr>
          <w:rFonts w:ascii="Courier New" w:eastAsia="MS Mincho" w:hAnsi="Courier New" w:cs="Courier New" w:hint="eastAsia"/>
          <w:sz w:val="20"/>
          <w:lang w:eastAsia="ja-JP"/>
        </w:rPr>
        <w:t xml:space="preserve">report </w:t>
      </w:r>
      <w:r w:rsidRPr="00075A54" w:rsidR="00FA7302">
        <w:rPr>
          <w:rFonts w:ascii="Courier New" w:hAnsi="Courier New" w:cs="Courier New"/>
          <w:sz w:val="20"/>
        </w:rPr>
        <w:t>of ETL customers</w:t>
      </w:r>
      <w:r w:rsidRPr="00075A54" w:rsidR="009D5F9D">
        <w:rPr>
          <w:rFonts w:ascii="Courier New" w:hAnsi="Courier New" w:cs="Courier New"/>
          <w:sz w:val="20"/>
        </w:rPr>
        <w:t xml:space="preserve"> provided by GTRF BMO</w:t>
      </w:r>
      <w:r w:rsidRPr="00075A54" w:rsidR="00FA7302">
        <w:rPr>
          <w:rFonts w:ascii="Courier New" w:hAnsi="Courier New" w:cs="Courier New"/>
          <w:sz w:val="20"/>
        </w:rPr>
        <w:t>, etc.</w:t>
      </w:r>
    </w:p>
    <w:p w:rsidR="00EB4EC3" w:rsidRPr="00075A54" w:rsidP="00075A54">
      <w:pPr>
        <w:spacing w:after="140" w:line="240" w:lineRule="exact"/>
        <w:ind w:left="450"/>
        <w:jc w:val="both"/>
        <w:rPr>
          <w:rFonts w:ascii="Courier New" w:hAnsi="Courier New" w:cs="Courier New"/>
          <w:sz w:val="20"/>
        </w:rPr>
      </w:pPr>
    </w:p>
    <w:p w:rsidR="00566C3C" w:rsidRPr="00075A54" w:rsidP="00975F4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>Q</w:t>
      </w:r>
      <w:r w:rsidR="00EC3617">
        <w:rPr>
          <w:rFonts w:ascii="Courier New" w:eastAsia="MS Mincho" w:hAnsi="Courier New" w:cs="Courier New"/>
          <w:sz w:val="20"/>
          <w:lang w:eastAsia="ja-JP"/>
        </w:rPr>
        <w:t>6</w:t>
      </w:r>
      <w:r w:rsidRPr="00075A54">
        <w:rPr>
          <w:rFonts w:ascii="Courier New" w:hAnsi="Courier New" w:cs="Courier New"/>
          <w:sz w:val="20"/>
        </w:rPr>
        <w:t xml:space="preserve">. </w:t>
      </w:r>
      <w:r w:rsidR="00AF518E">
        <w:rPr>
          <w:rFonts w:ascii="Courier New" w:hAnsi="Courier New" w:cs="Courier New"/>
          <w:sz w:val="20"/>
        </w:rPr>
        <w:t xml:space="preserve">When is </w:t>
      </w:r>
      <w:r w:rsidR="009352F7">
        <w:rPr>
          <w:rFonts w:ascii="Courier New" w:hAnsi="Courier New" w:cs="Courier New"/>
          <w:sz w:val="20"/>
        </w:rPr>
        <w:t xml:space="preserve">the commencement date </w:t>
      </w:r>
      <w:r w:rsidRPr="00075A54" w:rsidR="008F35DC">
        <w:rPr>
          <w:rFonts w:ascii="Courier New" w:hAnsi="Courier New" w:cs="Courier New"/>
          <w:sz w:val="20"/>
        </w:rPr>
        <w:t xml:space="preserve">to </w:t>
      </w:r>
      <w:r w:rsidR="009352F7">
        <w:rPr>
          <w:rFonts w:ascii="Courier New" w:hAnsi="Courier New" w:cs="Courier New"/>
          <w:sz w:val="20"/>
        </w:rPr>
        <w:t xml:space="preserve">use </w:t>
      </w:r>
      <w:r w:rsidR="00975F44">
        <w:rPr>
          <w:rFonts w:ascii="Courier New" w:hAnsi="Courier New" w:cs="Courier New"/>
          <w:sz w:val="20"/>
        </w:rPr>
        <w:t>Trade Due Diligence Review Form</w:t>
      </w:r>
      <w:r w:rsidRPr="00075A54">
        <w:rPr>
          <w:rFonts w:ascii="Courier New" w:hAnsi="Courier New" w:cs="Courier New"/>
          <w:sz w:val="20"/>
        </w:rPr>
        <w:t xml:space="preserve"> in CARM proposal?</w:t>
      </w:r>
    </w:p>
    <w:p w:rsidR="00975F44" w:rsidP="00075A54">
      <w:pPr>
        <w:spacing w:after="140" w:line="240" w:lineRule="exact"/>
        <w:ind w:left="450"/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 xml:space="preserve">Answer </w:t>
      </w:r>
      <w:r w:rsidRPr="00075A54" w:rsidR="00BA4688">
        <w:rPr>
          <w:rFonts w:ascii="Courier New" w:hAnsi="Courier New" w:cs="Courier New"/>
          <w:sz w:val="20"/>
        </w:rPr>
        <w:t>–</w:t>
      </w:r>
      <w:r w:rsidRPr="00075A54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It is mandatory to use Trade Due Diligence Review Form for all new CARM proposal / annual review of CARM with new application date / CARM annual review date on or after 18 Apr 2016.</w:t>
      </w:r>
    </w:p>
    <w:p w:rsidR="00821EDF" w:rsidRPr="00075A54" w:rsidP="00075A54">
      <w:pPr>
        <w:spacing w:after="140" w:line="240" w:lineRule="exact"/>
        <w:ind w:left="450"/>
        <w:jc w:val="both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For information – Trade Annex has been solely implemented on 1 Jun 2015 which is required for all </w:t>
      </w:r>
      <w:r w:rsidR="009352F7">
        <w:rPr>
          <w:rFonts w:ascii="Courier New" w:hAnsi="Courier New" w:cs="Courier New"/>
          <w:sz w:val="20"/>
        </w:rPr>
        <w:t>new CARM proposal/a</w:t>
      </w:r>
      <w:r w:rsidRPr="00075A54" w:rsidR="00BA4688">
        <w:rPr>
          <w:rFonts w:ascii="Courier New" w:hAnsi="Courier New" w:cs="Courier New"/>
          <w:sz w:val="20"/>
        </w:rPr>
        <w:t>nnual review</w:t>
      </w:r>
      <w:r w:rsidR="009352F7">
        <w:rPr>
          <w:rFonts w:ascii="Courier New" w:hAnsi="Courier New" w:cs="Courier New"/>
          <w:sz w:val="20"/>
        </w:rPr>
        <w:t xml:space="preserve"> of CARM </w:t>
      </w:r>
      <w:r>
        <w:rPr>
          <w:rFonts w:ascii="Courier New" w:hAnsi="Courier New" w:cs="Courier New"/>
          <w:sz w:val="20"/>
        </w:rPr>
        <w:t>thereafter</w:t>
      </w:r>
      <w:r w:rsidRPr="00075A54" w:rsidR="00BA4688">
        <w:rPr>
          <w:rFonts w:ascii="Courier New" w:hAnsi="Courier New" w:cs="Courier New"/>
          <w:sz w:val="20"/>
        </w:rPr>
        <w:t>.</w:t>
      </w:r>
    </w:p>
    <w:p w:rsidR="00FB3197" w:rsidRPr="00075A54" w:rsidP="00075A54">
      <w:pPr>
        <w:spacing w:after="140" w:line="240" w:lineRule="exact"/>
        <w:ind w:left="450"/>
        <w:jc w:val="both"/>
        <w:rPr>
          <w:rFonts w:ascii="Courier New" w:hAnsi="Courier New" w:cs="Courier New"/>
          <w:sz w:val="20"/>
        </w:rPr>
      </w:pPr>
    </w:p>
    <w:p w:rsidR="00EB4EC3" w:rsidRPr="00075A54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>Q</w:t>
      </w:r>
      <w:r w:rsidR="00EC3617">
        <w:rPr>
          <w:rFonts w:ascii="Courier New" w:eastAsia="MS Mincho" w:hAnsi="Courier New" w:cs="Courier New"/>
          <w:sz w:val="20"/>
          <w:lang w:eastAsia="ja-JP"/>
        </w:rPr>
        <w:t>7</w:t>
      </w:r>
      <w:r w:rsidRPr="00075A54">
        <w:rPr>
          <w:rFonts w:ascii="Courier New" w:hAnsi="Courier New" w:cs="Courier New"/>
          <w:sz w:val="20"/>
        </w:rPr>
        <w:t xml:space="preserve">. Is Trade Annex </w:t>
      </w:r>
      <w:r w:rsidRPr="00075A54" w:rsidR="00A15F2E">
        <w:rPr>
          <w:rFonts w:ascii="Courier New" w:hAnsi="Courier New" w:cs="Courier New"/>
          <w:sz w:val="20"/>
        </w:rPr>
        <w:t>required</w:t>
      </w:r>
      <w:r w:rsidRPr="00075A54">
        <w:rPr>
          <w:rFonts w:ascii="Courier New" w:hAnsi="Courier New" w:cs="Courier New"/>
          <w:sz w:val="20"/>
        </w:rPr>
        <w:t xml:space="preserve"> if the trade </w:t>
      </w:r>
      <w:r w:rsidRPr="00075A54" w:rsidR="00A375D3">
        <w:rPr>
          <w:rFonts w:ascii="Courier New" w:hAnsi="Courier New" w:cs="Courier New"/>
          <w:sz w:val="20"/>
        </w:rPr>
        <w:t xml:space="preserve">facility has </w:t>
      </w:r>
      <w:r w:rsidRPr="00075A54" w:rsidR="00622A0B">
        <w:rPr>
          <w:rFonts w:ascii="Courier New" w:hAnsi="Courier New" w:cs="Courier New"/>
          <w:sz w:val="20"/>
        </w:rPr>
        <w:t>zero</w:t>
      </w:r>
      <w:r w:rsidRPr="00075A54">
        <w:rPr>
          <w:rFonts w:ascii="Courier New" w:hAnsi="Courier New" w:cs="Courier New"/>
          <w:sz w:val="20"/>
        </w:rPr>
        <w:t xml:space="preserve"> utilization?</w:t>
      </w:r>
    </w:p>
    <w:p w:rsidR="005F6D0E" w:rsidRPr="00075A54" w:rsidP="00075A54">
      <w:pPr>
        <w:spacing w:after="140" w:line="240" w:lineRule="exact"/>
        <w:ind w:left="450"/>
        <w:jc w:val="both"/>
        <w:rPr>
          <w:rFonts w:ascii="Courier New" w:eastAsia="MS Mincho" w:hAnsi="Courier New" w:cs="Courier New"/>
          <w:sz w:val="20"/>
          <w:lang w:eastAsia="ja-JP"/>
        </w:rPr>
      </w:pPr>
      <w:r w:rsidRPr="00075A54">
        <w:rPr>
          <w:rFonts w:ascii="Courier New" w:hAnsi="Courier New" w:cs="Courier New"/>
          <w:sz w:val="20"/>
        </w:rPr>
        <w:t xml:space="preserve">Answer – </w:t>
      </w:r>
      <w:r w:rsidRPr="00075A54">
        <w:rPr>
          <w:rFonts w:ascii="Courier New" w:eastAsia="MS Mincho" w:hAnsi="Courier New" w:cs="Courier New" w:hint="eastAsia"/>
          <w:sz w:val="20"/>
          <w:lang w:eastAsia="ja-JP"/>
        </w:rPr>
        <w:t>If zero ITL/ETL utilization for the past 12 months, RMs can skip section 1.1 and 1.2</w:t>
      </w:r>
      <w:r w:rsidRPr="00075A54" w:rsidR="004C345A">
        <w:rPr>
          <w:rFonts w:ascii="Courier New" w:eastAsia="MS Mincho" w:hAnsi="Courier New" w:cs="Courier New" w:hint="eastAsia"/>
          <w:sz w:val="20"/>
          <w:lang w:eastAsia="ja-JP"/>
        </w:rPr>
        <w:t>.</w:t>
      </w:r>
      <w:r w:rsidRPr="00075A54">
        <w:rPr>
          <w:rFonts w:ascii="Courier New" w:eastAsia="MS Mincho" w:hAnsi="Courier New" w:cs="Courier New" w:hint="eastAsia"/>
          <w:sz w:val="20"/>
          <w:lang w:eastAsia="ja-JP"/>
        </w:rPr>
        <w:t xml:space="preserve"> RMs should also review any need to </w:t>
      </w:r>
      <w:r w:rsidRPr="00075A54" w:rsidR="009D5F9D">
        <w:rPr>
          <w:rFonts w:ascii="Courier New" w:eastAsia="MS Mincho" w:hAnsi="Courier New" w:cs="Courier New"/>
          <w:sz w:val="20"/>
          <w:lang w:eastAsia="ja-JP"/>
        </w:rPr>
        <w:t>maintain the ITL/ETL l</w:t>
      </w:r>
      <w:r w:rsidRPr="00075A54">
        <w:rPr>
          <w:rFonts w:ascii="Courier New" w:eastAsia="MS Mincho" w:hAnsi="Courier New" w:cs="Courier New" w:hint="eastAsia"/>
          <w:sz w:val="20"/>
          <w:lang w:eastAsia="ja-JP"/>
        </w:rPr>
        <w:t>ine due to zero utilization.</w:t>
      </w:r>
      <w:r w:rsidRPr="00075A54" w:rsidR="009D5F9D">
        <w:rPr>
          <w:rFonts w:ascii="Courier New" w:eastAsia="MS Mincho" w:hAnsi="Courier New" w:cs="Courier New"/>
          <w:sz w:val="20"/>
          <w:lang w:eastAsia="ja-JP"/>
        </w:rPr>
        <w:t xml:space="preserve">  Yet, section 2 is still required for completion. </w:t>
      </w:r>
    </w:p>
    <w:p w:rsidR="00EB4EC3" w:rsidRPr="00075A54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</w:p>
    <w:p w:rsidR="00A375D3" w:rsidRPr="00075A54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>Q</w:t>
      </w:r>
      <w:r w:rsidR="00EC3617">
        <w:rPr>
          <w:rFonts w:ascii="Courier New" w:eastAsia="MS Mincho" w:hAnsi="Courier New" w:cs="Courier New"/>
          <w:sz w:val="20"/>
          <w:lang w:eastAsia="ja-JP"/>
        </w:rPr>
        <w:t>8</w:t>
      </w:r>
      <w:r w:rsidRPr="00075A54">
        <w:rPr>
          <w:rFonts w:ascii="Courier New" w:hAnsi="Courier New" w:cs="Courier New"/>
          <w:sz w:val="20"/>
        </w:rPr>
        <w:t xml:space="preserve">. Is Trade Annex required if </w:t>
      </w:r>
      <w:r w:rsidRPr="00075A54" w:rsidR="00A764A6">
        <w:rPr>
          <w:rFonts w:ascii="Courier New" w:eastAsia="MS Mincho" w:hAnsi="Courier New" w:cs="Courier New" w:hint="eastAsia"/>
          <w:sz w:val="20"/>
          <w:lang w:eastAsia="ja-JP"/>
        </w:rPr>
        <w:t xml:space="preserve">any of </w:t>
      </w:r>
      <w:r w:rsidRPr="00075A54">
        <w:rPr>
          <w:rFonts w:ascii="Courier New" w:hAnsi="Courier New" w:cs="Courier New"/>
          <w:sz w:val="20"/>
        </w:rPr>
        <w:t>the trade account</w:t>
      </w:r>
      <w:r w:rsidRPr="00075A54" w:rsidR="00CE1948">
        <w:rPr>
          <w:rFonts w:ascii="Courier New" w:eastAsia="MS Mincho" w:hAnsi="Courier New" w:cs="Courier New" w:hint="eastAsia"/>
          <w:sz w:val="20"/>
          <w:lang w:eastAsia="ja-JP"/>
        </w:rPr>
        <w:t>s</w:t>
      </w:r>
      <w:r w:rsidRPr="00075A54">
        <w:rPr>
          <w:rFonts w:ascii="Courier New" w:hAnsi="Courier New" w:cs="Courier New"/>
          <w:sz w:val="20"/>
        </w:rPr>
        <w:t xml:space="preserve"> is closed?</w:t>
      </w:r>
    </w:p>
    <w:p w:rsidR="00A375D3" w:rsidRPr="00075A54" w:rsidP="00075A54">
      <w:pPr>
        <w:spacing w:after="140" w:line="240" w:lineRule="exact"/>
        <w:ind w:left="450"/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 xml:space="preserve">Answer – Yes, as long as </w:t>
      </w:r>
      <w:r w:rsidRPr="00075A54" w:rsidR="003C4974">
        <w:rPr>
          <w:rFonts w:ascii="Courier New" w:hAnsi="Courier New" w:cs="Courier New"/>
          <w:sz w:val="20"/>
        </w:rPr>
        <w:t>ITL/ETL</w:t>
      </w:r>
      <w:r w:rsidRPr="00075A54">
        <w:rPr>
          <w:rFonts w:ascii="Courier New" w:hAnsi="Courier New" w:cs="Courier New"/>
          <w:sz w:val="20"/>
        </w:rPr>
        <w:t xml:space="preserve"> limit exists</w:t>
      </w:r>
      <w:r w:rsidRPr="00075A54" w:rsidR="00847817">
        <w:rPr>
          <w:rFonts w:ascii="Courier New" w:hAnsi="Courier New" w:cs="Courier New"/>
          <w:sz w:val="20"/>
        </w:rPr>
        <w:t>.</w:t>
      </w:r>
    </w:p>
    <w:p w:rsidR="00A375D3" w:rsidRPr="00075A54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</w:p>
    <w:p w:rsidR="00CB3585" w:rsidRPr="00075A54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>Q</w:t>
      </w:r>
      <w:r w:rsidR="00EC3617">
        <w:rPr>
          <w:rFonts w:ascii="Courier New" w:eastAsia="MS Mincho" w:hAnsi="Courier New" w:cs="Courier New"/>
          <w:sz w:val="20"/>
          <w:lang w:eastAsia="ja-JP"/>
        </w:rPr>
        <w:t>9</w:t>
      </w:r>
      <w:r w:rsidRPr="00075A54">
        <w:rPr>
          <w:rFonts w:ascii="Courier New" w:hAnsi="Courier New" w:cs="Courier New"/>
          <w:sz w:val="20"/>
        </w:rPr>
        <w:t xml:space="preserve">. </w:t>
      </w:r>
      <w:r w:rsidRPr="00075A54" w:rsidR="004B30C5">
        <w:rPr>
          <w:rFonts w:ascii="Courier New" w:hAnsi="Courier New" w:cs="Courier New"/>
          <w:sz w:val="20"/>
        </w:rPr>
        <w:t xml:space="preserve">Is Trade Annex required if the </w:t>
      </w:r>
      <w:r w:rsidRPr="00075A54">
        <w:rPr>
          <w:rFonts w:ascii="Courier New" w:eastAsia="MS Mincho" w:hAnsi="Courier New" w:cs="Courier New" w:hint="eastAsia"/>
          <w:sz w:val="20"/>
          <w:lang w:eastAsia="ja-JP"/>
        </w:rPr>
        <w:t xml:space="preserve">customer is </w:t>
      </w:r>
      <w:r w:rsidRPr="00075A54" w:rsidR="00A91AD8">
        <w:rPr>
          <w:rFonts w:ascii="Courier New" w:eastAsia="MS Mincho" w:hAnsi="Courier New" w:cs="Courier New"/>
          <w:sz w:val="20"/>
          <w:lang w:eastAsia="ja-JP"/>
        </w:rPr>
        <w:t>under</w:t>
      </w:r>
      <w:r w:rsidRPr="00075A54">
        <w:rPr>
          <w:rFonts w:ascii="Courier New" w:eastAsia="MS Mincho" w:hAnsi="Courier New" w:cs="Courier New" w:hint="eastAsia"/>
          <w:sz w:val="20"/>
          <w:lang w:eastAsia="ja-JP"/>
        </w:rPr>
        <w:t xml:space="preserve"> credit monitoring with trade facility held</w:t>
      </w:r>
      <w:r w:rsidRPr="00075A54">
        <w:rPr>
          <w:rFonts w:ascii="Courier New" w:hAnsi="Courier New" w:cs="Courier New"/>
          <w:sz w:val="20"/>
        </w:rPr>
        <w:t>?</w:t>
      </w:r>
    </w:p>
    <w:p w:rsidR="00CB3585" w:rsidRPr="00075A54" w:rsidP="00075A54">
      <w:pPr>
        <w:spacing w:after="140" w:line="240" w:lineRule="exact"/>
        <w:ind w:left="450"/>
        <w:jc w:val="both"/>
        <w:rPr>
          <w:rFonts w:ascii="Courier New" w:eastAsia="MS Mincho" w:hAnsi="Courier New" w:cs="Courier New"/>
          <w:sz w:val="20"/>
          <w:lang w:eastAsia="ja-JP"/>
        </w:rPr>
      </w:pPr>
      <w:r w:rsidRPr="00075A54">
        <w:rPr>
          <w:rFonts w:ascii="Courier New" w:hAnsi="Courier New" w:cs="Courier New"/>
          <w:sz w:val="20"/>
        </w:rPr>
        <w:t xml:space="preserve">Answer – </w:t>
      </w:r>
      <w:r w:rsidRPr="00075A54">
        <w:rPr>
          <w:rFonts w:ascii="Courier New" w:eastAsia="MS Mincho" w:hAnsi="Courier New" w:cs="Courier New" w:hint="eastAsia"/>
          <w:sz w:val="20"/>
          <w:lang w:eastAsia="ja-JP"/>
        </w:rPr>
        <w:t>Yes</w:t>
      </w:r>
      <w:r w:rsidRPr="00075A54" w:rsidR="00A764A6">
        <w:rPr>
          <w:rFonts w:ascii="Courier New" w:eastAsia="MS Mincho" w:hAnsi="Courier New" w:cs="Courier New" w:hint="eastAsia"/>
          <w:sz w:val="20"/>
          <w:lang w:eastAsia="ja-JP"/>
        </w:rPr>
        <w:t>, unless the trade relationship will soon to be exit</w:t>
      </w:r>
      <w:r w:rsidRPr="00075A54">
        <w:rPr>
          <w:rFonts w:ascii="Courier New" w:eastAsia="MS Mincho" w:hAnsi="Courier New" w:cs="Courier New" w:hint="eastAsia"/>
          <w:sz w:val="20"/>
          <w:lang w:eastAsia="ja-JP"/>
        </w:rPr>
        <w:t>.</w:t>
      </w:r>
    </w:p>
    <w:p w:rsidR="00BB1BA5" w:rsidRPr="00075A54" w:rsidP="00075A54">
      <w:pPr>
        <w:spacing w:after="140" w:line="240" w:lineRule="exact"/>
        <w:ind w:left="450" w:hanging="450"/>
        <w:jc w:val="both"/>
        <w:rPr>
          <w:rFonts w:ascii="Courier New" w:eastAsia="MS Mincho" w:hAnsi="Courier New" w:cs="Courier New"/>
          <w:sz w:val="20"/>
          <w:lang w:eastAsia="ja-JP"/>
        </w:rPr>
      </w:pPr>
    </w:p>
    <w:p w:rsidR="00FB3197" w:rsidRPr="00075A54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>Q</w:t>
      </w:r>
      <w:r w:rsidR="00EC3617">
        <w:rPr>
          <w:rFonts w:ascii="Courier New" w:eastAsia="MS Mincho" w:hAnsi="Courier New" w:cs="Courier New"/>
          <w:sz w:val="20"/>
          <w:lang w:eastAsia="ja-JP"/>
        </w:rPr>
        <w:t>10</w:t>
      </w:r>
      <w:r w:rsidRPr="00075A54">
        <w:rPr>
          <w:rFonts w:ascii="Courier New" w:hAnsi="Courier New" w:cs="Courier New"/>
          <w:sz w:val="20"/>
        </w:rPr>
        <w:t>.</w:t>
      </w:r>
      <w:r w:rsidRPr="00075A54" w:rsidR="00F46970">
        <w:rPr>
          <w:rFonts w:ascii="Courier New" w:hAnsi="Courier New" w:cs="Courier New"/>
          <w:sz w:val="20"/>
        </w:rPr>
        <w:t xml:space="preserve"> How to conduct counterparties due diligence to obtain company search / Trade Credit Information (TCI)?</w:t>
      </w:r>
    </w:p>
    <w:p w:rsidR="00F46970" w:rsidRPr="00075A54" w:rsidP="00075A54">
      <w:pPr>
        <w:spacing w:after="140" w:line="240" w:lineRule="exact"/>
        <w:ind w:left="450"/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 xml:space="preserve">Answer – Quoted from Guideline for Invoice Financing (ITL, OPC and ETL) KYC section: </w:t>
      </w:r>
      <w:r w:rsidRPr="00075A54" w:rsidR="0073205D">
        <w:rPr>
          <w:rFonts w:ascii="Courier New" w:hAnsi="Courier New" w:cs="Courier New"/>
          <w:i/>
          <w:sz w:val="20"/>
        </w:rPr>
        <w:t>“</w:t>
      </w:r>
      <w:r w:rsidRPr="00075A54">
        <w:rPr>
          <w:rFonts w:ascii="Courier New" w:hAnsi="Courier New" w:cs="Courier New"/>
          <w:i/>
          <w:sz w:val="20"/>
        </w:rPr>
        <w:t xml:space="preserve">TCI (e.g. trade credit report by acceptable agencies such as </w:t>
      </w:r>
      <w:r w:rsidRPr="00075A54">
        <w:rPr>
          <w:rFonts w:ascii="Courier New" w:hAnsi="Courier New" w:cs="Courier New"/>
          <w:i/>
          <w:sz w:val="20"/>
        </w:rPr>
        <w:t>Sinotrust</w:t>
      </w:r>
      <w:r w:rsidRPr="00075A54">
        <w:rPr>
          <w:rFonts w:ascii="Courier New" w:hAnsi="Courier New" w:cs="Courier New"/>
          <w:i/>
          <w:sz w:val="20"/>
        </w:rPr>
        <w:t>/ D&amp;B) / Company search should be obtained / conducted for all relevant parties (customers, local/overseas suppliers, buyers, etc.), use of reliable public information which can identify the shareholders / directors is acceptable in lieu of TCI / company search. Please re</w:t>
      </w:r>
      <w:r w:rsidRPr="00075A54" w:rsidR="0073205D">
        <w:rPr>
          <w:rFonts w:ascii="Courier New" w:hAnsi="Courier New" w:cs="Courier New"/>
          <w:i/>
          <w:sz w:val="20"/>
        </w:rPr>
        <w:t>f</w:t>
      </w:r>
      <w:r w:rsidRPr="00075A54">
        <w:rPr>
          <w:rFonts w:ascii="Courier New" w:hAnsi="Courier New" w:cs="Courier New"/>
          <w:i/>
          <w:sz w:val="20"/>
        </w:rPr>
        <w:t>er to relevant sections in Corporate Lending Guideline for details.</w:t>
      </w:r>
      <w:r w:rsidRPr="00075A54" w:rsidR="0073205D">
        <w:rPr>
          <w:rFonts w:ascii="Courier New" w:hAnsi="Courier New" w:cs="Courier New"/>
          <w:i/>
          <w:sz w:val="20"/>
        </w:rPr>
        <w:t>”</w:t>
      </w:r>
    </w:p>
    <w:p w:rsidR="009B5C06" w:rsidRPr="00075A54" w:rsidP="00075A54">
      <w:pPr>
        <w:spacing w:after="140" w:line="240" w:lineRule="exact"/>
        <w:ind w:left="450"/>
        <w:jc w:val="both"/>
        <w:rPr>
          <w:rFonts w:ascii="Courier New" w:hAnsi="Courier New" w:cs="Courier New"/>
          <w:sz w:val="20"/>
        </w:rPr>
      </w:pPr>
    </w:p>
    <w:p w:rsidR="00A91AD8" w:rsidRPr="00075A54" w:rsidP="00075A54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>Q</w:t>
      </w:r>
      <w:r w:rsidR="00EC3617">
        <w:rPr>
          <w:rFonts w:ascii="Courier New" w:eastAsia="MS Mincho" w:hAnsi="Courier New" w:cs="Courier New"/>
          <w:sz w:val="20"/>
          <w:lang w:eastAsia="ja-JP"/>
        </w:rPr>
        <w:t>11</w:t>
      </w:r>
      <w:r w:rsidRPr="00075A54">
        <w:rPr>
          <w:rFonts w:ascii="Courier New" w:hAnsi="Courier New" w:cs="Courier New"/>
          <w:sz w:val="20"/>
        </w:rPr>
        <w:t xml:space="preserve">. </w:t>
      </w:r>
      <w:r w:rsidRPr="00075A54">
        <w:rPr>
          <w:rFonts w:ascii="Courier New" w:hAnsi="Courier New" w:cs="Courier New"/>
          <w:sz w:val="20"/>
        </w:rPr>
        <w:t>Is due diligence required for overseas counterparties?</w:t>
      </w:r>
    </w:p>
    <w:p w:rsidR="00A91AD8" w:rsidRPr="00075A54" w:rsidP="00075A54">
      <w:pPr>
        <w:spacing w:after="140" w:line="240" w:lineRule="exact"/>
        <w:ind w:left="450"/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>Answer – Yes</w:t>
      </w:r>
    </w:p>
    <w:p w:rsidR="00A91AD8" w:rsidRPr="00075A54" w:rsidP="00075A54">
      <w:pPr>
        <w:spacing w:after="140" w:line="240" w:lineRule="exact"/>
        <w:ind w:left="450"/>
        <w:jc w:val="both"/>
        <w:rPr>
          <w:rFonts w:ascii="Courier New" w:hAnsi="Courier New" w:cs="Courier New"/>
          <w:sz w:val="20"/>
        </w:rPr>
      </w:pPr>
    </w:p>
    <w:p w:rsidR="00353526" w:rsidRPr="00075A54" w:rsidP="00D00D00">
      <w:pPr>
        <w:spacing w:after="140" w:line="240" w:lineRule="exact"/>
        <w:ind w:left="450" w:hanging="450"/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>Q</w:t>
      </w:r>
      <w:r w:rsidR="00EC3617">
        <w:rPr>
          <w:rFonts w:ascii="Courier New" w:hAnsi="Courier New" w:cs="Courier New"/>
          <w:sz w:val="20"/>
        </w:rPr>
        <w:t>12</w:t>
      </w:r>
      <w:r w:rsidRPr="00075A54">
        <w:rPr>
          <w:rFonts w:ascii="Courier New" w:hAnsi="Courier New" w:cs="Courier New"/>
          <w:sz w:val="20"/>
        </w:rPr>
        <w:t xml:space="preserve">. </w:t>
      </w:r>
      <w:r w:rsidRPr="00075A54" w:rsidR="0030552B">
        <w:rPr>
          <w:rFonts w:ascii="Courier New" w:hAnsi="Courier New" w:cs="Courier New"/>
          <w:sz w:val="20"/>
        </w:rPr>
        <w:t xml:space="preserve">How to complete </w:t>
      </w:r>
      <w:r w:rsidRPr="00075A54">
        <w:rPr>
          <w:rFonts w:ascii="Courier New" w:hAnsi="Courier New" w:cs="Courier New"/>
          <w:sz w:val="20"/>
        </w:rPr>
        <w:t xml:space="preserve">section 1.1 </w:t>
      </w:r>
      <w:r w:rsidR="00D00D00">
        <w:rPr>
          <w:rFonts w:ascii="Courier New" w:hAnsi="Courier New" w:cs="Courier New"/>
          <w:sz w:val="20"/>
        </w:rPr>
        <w:t xml:space="preserve">of Trade Annex </w:t>
      </w:r>
      <w:r w:rsidRPr="00075A54">
        <w:rPr>
          <w:rFonts w:ascii="Courier New" w:hAnsi="Courier New" w:cs="Courier New"/>
          <w:sz w:val="20"/>
        </w:rPr>
        <w:t>i</w:t>
      </w:r>
      <w:r w:rsidRPr="00075A54" w:rsidR="001255AB">
        <w:rPr>
          <w:rFonts w:ascii="Courier New" w:hAnsi="Courier New" w:cs="Courier New"/>
          <w:sz w:val="20"/>
        </w:rPr>
        <w:t>f</w:t>
      </w:r>
      <w:r w:rsidRPr="00075A54">
        <w:rPr>
          <w:rFonts w:ascii="Courier New" w:hAnsi="Courier New" w:cs="Courier New"/>
          <w:sz w:val="20"/>
        </w:rPr>
        <w:t xml:space="preserve"> there is no pre-approved counterparties list?</w:t>
      </w:r>
    </w:p>
    <w:p w:rsidR="00B606BF" w:rsidRPr="00075A54" w:rsidP="00075A54">
      <w:pPr>
        <w:spacing w:after="140" w:line="240" w:lineRule="exact"/>
        <w:ind w:left="450"/>
        <w:jc w:val="both"/>
        <w:rPr>
          <w:rFonts w:ascii="Courier New" w:eastAsia="MS Mincho" w:hAnsi="Courier New" w:cs="Courier New"/>
          <w:i/>
          <w:sz w:val="20"/>
          <w:lang w:eastAsia="ja-JP"/>
        </w:rPr>
      </w:pPr>
      <w:r w:rsidRPr="00075A54">
        <w:rPr>
          <w:rFonts w:ascii="Courier New" w:hAnsi="Courier New" w:cs="Courier New"/>
          <w:sz w:val="20"/>
        </w:rPr>
        <w:t xml:space="preserve">Answer </w:t>
      </w:r>
      <w:r w:rsidRPr="00075A54" w:rsidR="00DC2443">
        <w:rPr>
          <w:rFonts w:ascii="Courier New" w:hAnsi="Courier New" w:cs="Courier New"/>
          <w:sz w:val="20"/>
        </w:rPr>
        <w:t>–</w:t>
      </w:r>
      <w:r w:rsidRPr="00075A54">
        <w:rPr>
          <w:rFonts w:ascii="Courier New" w:hAnsi="Courier New" w:cs="Courier New"/>
          <w:sz w:val="20"/>
        </w:rPr>
        <w:t xml:space="preserve"> </w:t>
      </w:r>
      <w:r w:rsidRPr="00075A54" w:rsidR="002D14F4">
        <w:rPr>
          <w:rFonts w:ascii="Courier New" w:hAnsi="Courier New" w:cs="Courier New"/>
          <w:sz w:val="20"/>
        </w:rPr>
        <w:t xml:space="preserve">RMs must tick the </w:t>
      </w:r>
      <w:r w:rsidRPr="00075A54" w:rsidR="00075A54">
        <w:rPr>
          <w:rFonts w:ascii="Courier New" w:hAnsi="Courier New" w:cs="Courier New"/>
          <w:sz w:val="20"/>
        </w:rPr>
        <w:t xml:space="preserve">relevant </w:t>
      </w:r>
      <w:r w:rsidRPr="00075A54" w:rsidR="002D14F4">
        <w:rPr>
          <w:rFonts w:ascii="Courier New" w:hAnsi="Courier New" w:cs="Courier New"/>
          <w:sz w:val="20"/>
        </w:rPr>
        <w:t>‘N/A’ checkbox in section 1.1</w:t>
      </w:r>
      <w:r w:rsidRPr="00075A54" w:rsidR="00765A38">
        <w:rPr>
          <w:rFonts w:ascii="Courier New" w:hAnsi="Courier New" w:cs="Courier New"/>
          <w:sz w:val="20"/>
        </w:rPr>
        <w:t>,</w:t>
      </w:r>
      <w:r w:rsidRPr="00075A54" w:rsidR="00DC2443">
        <w:rPr>
          <w:rFonts w:ascii="Courier New" w:hAnsi="Courier New" w:cs="Courier New"/>
          <w:sz w:val="20"/>
        </w:rPr>
        <w:t xml:space="preserve"> </w:t>
      </w:r>
      <w:r w:rsidRPr="00075A54" w:rsidR="00765A38">
        <w:rPr>
          <w:rFonts w:ascii="Courier New" w:hAnsi="Courier New" w:cs="Courier New"/>
          <w:sz w:val="20"/>
        </w:rPr>
        <w:t>b</w:t>
      </w:r>
      <w:r w:rsidRPr="00075A54" w:rsidR="00DC2443">
        <w:rPr>
          <w:rFonts w:ascii="Courier New" w:hAnsi="Courier New" w:cs="Courier New"/>
          <w:sz w:val="20"/>
        </w:rPr>
        <w:t xml:space="preserve">ut </w:t>
      </w:r>
      <w:r w:rsidRPr="00075A54" w:rsidR="00075A54">
        <w:rPr>
          <w:rFonts w:ascii="Courier New" w:hAnsi="Courier New" w:cs="Courier New"/>
          <w:sz w:val="20"/>
        </w:rPr>
        <w:t xml:space="preserve">completion of </w:t>
      </w:r>
      <w:r w:rsidRPr="00075A54" w:rsidR="00DC2443">
        <w:rPr>
          <w:rFonts w:ascii="Courier New" w:hAnsi="Courier New" w:cs="Courier New"/>
          <w:sz w:val="20"/>
        </w:rPr>
        <w:t>section 1.2 and section 2</w:t>
      </w:r>
      <w:r w:rsidRPr="00075A54" w:rsidR="00075A54">
        <w:rPr>
          <w:rFonts w:ascii="Courier New" w:hAnsi="Courier New" w:cs="Courier New"/>
          <w:sz w:val="20"/>
        </w:rPr>
        <w:t xml:space="preserve"> are still required</w:t>
      </w:r>
      <w:r w:rsidRPr="00075A54" w:rsidR="00DC2443">
        <w:rPr>
          <w:rFonts w:ascii="Courier New" w:hAnsi="Courier New" w:cs="Courier New"/>
          <w:sz w:val="20"/>
        </w:rPr>
        <w:t xml:space="preserve">. </w:t>
      </w:r>
      <w:r w:rsidRPr="00075A54" w:rsidR="00CC6B14">
        <w:rPr>
          <w:rFonts w:ascii="Courier New" w:hAnsi="Courier New" w:cs="Courier New"/>
          <w:sz w:val="20"/>
        </w:rPr>
        <w:t xml:space="preserve">However, as per WCR’s Guideline for Invoice Financing (ITL, OPC and ETL), </w:t>
      </w:r>
      <w:r w:rsidRPr="00075A54" w:rsidR="00CC6B14">
        <w:rPr>
          <w:rFonts w:ascii="Courier New" w:hAnsi="Courier New" w:cs="Courier New"/>
          <w:i/>
          <w:sz w:val="20"/>
        </w:rPr>
        <w:t>“For those non-preapproved counterparties with frequent transactions, RMs should consider seeking formal approval to add them into the pre-approved list by submitting credit proposal.”</w:t>
      </w:r>
    </w:p>
    <w:p w:rsidR="000573AF" w:rsidRPr="00075A54" w:rsidP="00075A54">
      <w:pPr>
        <w:spacing w:after="140" w:line="240" w:lineRule="exact"/>
        <w:ind w:left="450"/>
        <w:jc w:val="both"/>
        <w:rPr>
          <w:rFonts w:ascii="Courier New" w:eastAsia="MS Mincho" w:hAnsi="Courier New" w:cs="Courier New"/>
          <w:sz w:val="20"/>
          <w:lang w:eastAsia="ja-JP"/>
        </w:rPr>
      </w:pPr>
    </w:p>
    <w:p w:rsidR="00BB75CB" w:rsidRPr="00075A54" w:rsidP="00075A54">
      <w:pPr>
        <w:spacing w:after="140" w:line="240" w:lineRule="exact"/>
        <w:ind w:left="630" w:hanging="630"/>
        <w:jc w:val="both"/>
        <w:rPr>
          <w:rFonts w:ascii="Courier New" w:hAnsi="Courier New" w:cs="Courier New"/>
          <w:sz w:val="20"/>
        </w:rPr>
      </w:pPr>
      <w:r w:rsidRPr="00075A54">
        <w:rPr>
          <w:rFonts w:ascii="Courier New" w:hAnsi="Courier New" w:cs="Courier New"/>
          <w:sz w:val="20"/>
        </w:rPr>
        <w:t>Q</w:t>
      </w:r>
      <w:r w:rsidRPr="00075A54" w:rsidR="00A91AD8">
        <w:rPr>
          <w:rFonts w:ascii="Courier New" w:hAnsi="Courier New" w:cs="Courier New"/>
          <w:sz w:val="20"/>
        </w:rPr>
        <w:t>1</w:t>
      </w:r>
      <w:r w:rsidR="00EC3617">
        <w:rPr>
          <w:rFonts w:ascii="Courier New" w:hAnsi="Courier New" w:cs="Courier New"/>
          <w:sz w:val="20"/>
        </w:rPr>
        <w:t>3</w:t>
      </w:r>
      <w:r w:rsidRPr="00075A54">
        <w:rPr>
          <w:rFonts w:ascii="Courier New" w:hAnsi="Courier New" w:cs="Courier New"/>
          <w:sz w:val="20"/>
        </w:rPr>
        <w:t>.</w:t>
      </w:r>
      <w:r w:rsidRPr="00075A54" w:rsidR="00075A54">
        <w:rPr>
          <w:rFonts w:ascii="Courier New" w:hAnsi="Courier New" w:cs="Courier New"/>
          <w:sz w:val="20"/>
        </w:rPr>
        <w:t xml:space="preserve"> </w:t>
      </w:r>
      <w:r w:rsidRPr="00075A54">
        <w:rPr>
          <w:rFonts w:ascii="Courier New" w:hAnsi="Courier New" w:cs="Courier New"/>
          <w:sz w:val="20"/>
        </w:rPr>
        <w:t xml:space="preserve">What will happen if Trade Annex is incomplete </w:t>
      </w:r>
      <w:r w:rsidRPr="00075A54" w:rsidR="00075A54">
        <w:rPr>
          <w:rFonts w:ascii="Courier New" w:hAnsi="Courier New" w:cs="Courier New"/>
          <w:sz w:val="20"/>
        </w:rPr>
        <w:t xml:space="preserve">or </w:t>
      </w:r>
      <w:r w:rsidRPr="00075A54">
        <w:rPr>
          <w:rFonts w:ascii="Courier New" w:hAnsi="Courier New" w:cs="Courier New"/>
          <w:sz w:val="20"/>
        </w:rPr>
        <w:t>missing from CARM proposal</w:t>
      </w:r>
      <w:r w:rsidRPr="00075A54" w:rsidR="00075A54">
        <w:rPr>
          <w:rFonts w:ascii="Courier New" w:hAnsi="Courier New" w:cs="Courier New"/>
          <w:sz w:val="20"/>
        </w:rPr>
        <w:t xml:space="preserve"> </w:t>
      </w:r>
      <w:r w:rsidR="006D0693">
        <w:rPr>
          <w:rFonts w:ascii="Courier New" w:hAnsi="Courier New" w:cs="Courier New"/>
          <w:sz w:val="20"/>
        </w:rPr>
        <w:t>with</w:t>
      </w:r>
      <w:r w:rsidRPr="00075A54" w:rsidR="00075A54">
        <w:rPr>
          <w:rFonts w:ascii="Courier New" w:hAnsi="Courier New" w:cs="Courier New"/>
          <w:sz w:val="20"/>
        </w:rPr>
        <w:t xml:space="preserve"> trade facilities</w:t>
      </w:r>
      <w:r w:rsidRPr="00075A54">
        <w:rPr>
          <w:rFonts w:ascii="Courier New" w:hAnsi="Courier New" w:cs="Courier New"/>
          <w:sz w:val="20"/>
        </w:rPr>
        <w:t>?</w:t>
      </w:r>
    </w:p>
    <w:p w:rsidR="00BB75CB" w:rsidRPr="00075A54" w:rsidP="00075A54">
      <w:pPr>
        <w:spacing w:after="140" w:line="240" w:lineRule="exact"/>
        <w:ind w:left="450"/>
        <w:jc w:val="both"/>
        <w:rPr>
          <w:rFonts w:ascii="Courier New" w:eastAsia="MS Mincho" w:hAnsi="Courier New" w:cs="Courier New"/>
          <w:sz w:val="20"/>
          <w:lang w:eastAsia="ja-JP"/>
        </w:rPr>
      </w:pPr>
      <w:r w:rsidRPr="00075A54">
        <w:rPr>
          <w:rFonts w:ascii="Courier New" w:hAnsi="Courier New" w:cs="Courier New"/>
          <w:sz w:val="20"/>
        </w:rPr>
        <w:t xml:space="preserve">Answer </w:t>
      </w:r>
      <w:r w:rsidRPr="00075A54" w:rsidR="00013542">
        <w:rPr>
          <w:rFonts w:ascii="Courier New" w:hAnsi="Courier New" w:cs="Courier New"/>
          <w:sz w:val="20"/>
        </w:rPr>
        <w:t>–</w:t>
      </w:r>
      <w:r w:rsidRPr="00075A54">
        <w:rPr>
          <w:rFonts w:ascii="Courier New" w:hAnsi="Courier New" w:cs="Courier New"/>
          <w:sz w:val="20"/>
        </w:rPr>
        <w:t xml:space="preserve"> </w:t>
      </w:r>
      <w:r w:rsidRPr="00075A54" w:rsidR="00075A54">
        <w:rPr>
          <w:rFonts w:ascii="Courier New" w:hAnsi="Courier New" w:cs="Courier New"/>
          <w:sz w:val="20"/>
        </w:rPr>
        <w:t xml:space="preserve">RSO would assist with the first level of checking and should ensure Trade Annex has been completed before </w:t>
      </w:r>
      <w:r w:rsidR="006D0693">
        <w:rPr>
          <w:rFonts w:ascii="Courier New" w:hAnsi="Courier New" w:cs="Courier New"/>
          <w:sz w:val="20"/>
        </w:rPr>
        <w:t xml:space="preserve">informing RM/TH submission for </w:t>
      </w:r>
      <w:r w:rsidRPr="00075A54" w:rsidR="00075A54">
        <w:rPr>
          <w:rFonts w:ascii="Courier New" w:hAnsi="Courier New" w:cs="Courier New"/>
          <w:sz w:val="20"/>
        </w:rPr>
        <w:t xml:space="preserve">approval.  </w:t>
      </w:r>
      <w:r w:rsidRPr="00075A54" w:rsidR="00013542">
        <w:rPr>
          <w:rFonts w:ascii="Courier New" w:hAnsi="Courier New" w:cs="Courier New"/>
          <w:sz w:val="20"/>
        </w:rPr>
        <w:t>GTRF will check the completeness of Trade Annex</w:t>
      </w:r>
      <w:r w:rsidR="006D0693">
        <w:rPr>
          <w:rFonts w:ascii="Courier New" w:hAnsi="Courier New" w:cs="Courier New"/>
          <w:sz w:val="20"/>
        </w:rPr>
        <w:t xml:space="preserve"> on received</w:t>
      </w:r>
      <w:r w:rsidRPr="00075A54" w:rsidR="00013542">
        <w:rPr>
          <w:rFonts w:ascii="Courier New" w:hAnsi="Courier New" w:cs="Courier New"/>
          <w:sz w:val="20"/>
        </w:rPr>
        <w:t xml:space="preserve">, and </w:t>
      </w:r>
      <w:r w:rsidRPr="00075A54" w:rsidR="00E01270">
        <w:rPr>
          <w:rFonts w:ascii="Courier New" w:hAnsi="Courier New" w:cs="Courier New"/>
          <w:sz w:val="20"/>
        </w:rPr>
        <w:t>for incompletion cases would notify</w:t>
      </w:r>
      <w:r w:rsidRPr="00075A54" w:rsidR="00013542">
        <w:rPr>
          <w:rFonts w:ascii="Courier New" w:hAnsi="Courier New" w:cs="Courier New"/>
          <w:sz w:val="20"/>
        </w:rPr>
        <w:t xml:space="preserve"> RM</w:t>
      </w:r>
      <w:r w:rsidRPr="00075A54" w:rsidR="0021757D">
        <w:rPr>
          <w:rFonts w:ascii="Courier New" w:hAnsi="Courier New" w:cs="Courier New"/>
          <w:sz w:val="20"/>
        </w:rPr>
        <w:t>s</w:t>
      </w:r>
      <w:r w:rsidRPr="00075A54" w:rsidR="00013542">
        <w:rPr>
          <w:rFonts w:ascii="Courier New" w:hAnsi="Courier New" w:cs="Courier New"/>
          <w:sz w:val="20"/>
        </w:rPr>
        <w:t xml:space="preserve"> </w:t>
      </w:r>
      <w:r w:rsidRPr="00075A54" w:rsidR="00A764A6">
        <w:rPr>
          <w:rFonts w:ascii="Courier New" w:eastAsia="MS Mincho" w:hAnsi="Courier New" w:cs="Courier New" w:hint="eastAsia"/>
          <w:sz w:val="20"/>
          <w:lang w:eastAsia="ja-JP"/>
        </w:rPr>
        <w:t>(coping TH</w:t>
      </w:r>
      <w:r w:rsidR="006D0693">
        <w:rPr>
          <w:rFonts w:ascii="Courier New" w:eastAsia="MS Mincho" w:hAnsi="Courier New" w:cs="Courier New"/>
          <w:sz w:val="20"/>
          <w:lang w:eastAsia="ja-JP"/>
        </w:rPr>
        <w:t>/DH</w:t>
      </w:r>
      <w:r w:rsidRPr="00075A54" w:rsidR="00A764A6">
        <w:rPr>
          <w:rFonts w:ascii="Courier New" w:eastAsia="MS Mincho" w:hAnsi="Courier New" w:cs="Courier New" w:hint="eastAsia"/>
          <w:sz w:val="20"/>
          <w:lang w:eastAsia="ja-JP"/>
        </w:rPr>
        <w:t xml:space="preserve">) </w:t>
      </w:r>
      <w:r w:rsidRPr="00075A54" w:rsidR="00075A54">
        <w:rPr>
          <w:rFonts w:ascii="Courier New" w:eastAsia="MS Mincho" w:hAnsi="Courier New" w:cs="Courier New"/>
          <w:sz w:val="20"/>
          <w:lang w:eastAsia="ja-JP"/>
        </w:rPr>
        <w:t xml:space="preserve">for </w:t>
      </w:r>
      <w:r w:rsidRPr="00075A54" w:rsidR="00013542">
        <w:rPr>
          <w:rFonts w:ascii="Courier New" w:hAnsi="Courier New" w:cs="Courier New"/>
          <w:sz w:val="20"/>
        </w:rPr>
        <w:t>rectif</w:t>
      </w:r>
      <w:r w:rsidRPr="00075A54" w:rsidR="00075A54">
        <w:rPr>
          <w:rFonts w:ascii="Courier New" w:hAnsi="Courier New" w:cs="Courier New"/>
          <w:sz w:val="20"/>
        </w:rPr>
        <w:t>ication, which must be completed w</w:t>
      </w:r>
      <w:r w:rsidRPr="00075A54" w:rsidR="00A764A6">
        <w:rPr>
          <w:rFonts w:ascii="Courier New" w:eastAsia="MS Mincho" w:hAnsi="Courier New" w:cs="Courier New" w:hint="eastAsia"/>
          <w:sz w:val="20"/>
          <w:lang w:eastAsia="ja-JP"/>
        </w:rPr>
        <w:t>ithin 2 weeks</w:t>
      </w:r>
      <w:r w:rsidRPr="00075A54" w:rsidR="00013542">
        <w:rPr>
          <w:rFonts w:ascii="Courier New" w:hAnsi="Courier New" w:cs="Courier New"/>
          <w:sz w:val="20"/>
        </w:rPr>
        <w:t xml:space="preserve">. </w:t>
      </w:r>
    </w:p>
    <w:p w:rsidR="00A764A6" w:rsidP="00075A54">
      <w:pPr>
        <w:spacing w:after="140" w:line="240" w:lineRule="exact"/>
        <w:ind w:left="450"/>
        <w:jc w:val="both"/>
        <w:rPr>
          <w:rFonts w:ascii="Courier New" w:eastAsia="MS Mincho" w:hAnsi="Courier New" w:cs="Courier New"/>
          <w:sz w:val="20"/>
          <w:lang w:eastAsia="ja-JP"/>
        </w:rPr>
      </w:pPr>
      <w:r w:rsidRPr="00075A54">
        <w:rPr>
          <w:rFonts w:ascii="Courier New" w:eastAsia="MS Mincho" w:hAnsi="Courier New" w:cs="Courier New" w:hint="eastAsia"/>
          <w:sz w:val="20"/>
          <w:lang w:eastAsia="ja-JP"/>
        </w:rPr>
        <w:t>GTRF BSS will provide statistics report for completeness of Trade Annex</w:t>
      </w:r>
      <w:r w:rsidR="006D0693">
        <w:rPr>
          <w:rFonts w:ascii="Courier New" w:eastAsia="MS Mincho" w:hAnsi="Courier New" w:cs="Courier New"/>
          <w:sz w:val="20"/>
          <w:lang w:eastAsia="ja-JP"/>
        </w:rPr>
        <w:t xml:space="preserve"> to CMB management</w:t>
      </w:r>
      <w:r w:rsidRPr="00075A54">
        <w:rPr>
          <w:rFonts w:ascii="Courier New" w:eastAsia="MS Mincho" w:hAnsi="Courier New" w:cs="Courier New" w:hint="eastAsia"/>
          <w:sz w:val="20"/>
          <w:lang w:eastAsia="ja-JP"/>
        </w:rPr>
        <w:t xml:space="preserve">, and GTRF BRCM </w:t>
      </w:r>
      <w:r w:rsidRPr="00075A54" w:rsidR="00E01270">
        <w:rPr>
          <w:rFonts w:ascii="Courier New" w:eastAsia="MS Mincho" w:hAnsi="Courier New" w:cs="Courier New"/>
          <w:sz w:val="20"/>
          <w:lang w:eastAsia="ja-JP"/>
        </w:rPr>
        <w:t xml:space="preserve">will report the deficiency rate in CMB BRCC meeting for management </w:t>
      </w:r>
      <w:r w:rsidRPr="00075A54" w:rsidR="00075A54">
        <w:rPr>
          <w:rFonts w:ascii="Courier New" w:eastAsia="MS Mincho" w:hAnsi="Courier New" w:cs="Courier New"/>
          <w:sz w:val="20"/>
          <w:lang w:eastAsia="ja-JP"/>
        </w:rPr>
        <w:t>attention and guidance</w:t>
      </w:r>
      <w:r w:rsidRPr="00075A54">
        <w:rPr>
          <w:rFonts w:ascii="Courier New" w:eastAsia="MS Mincho" w:hAnsi="Courier New" w:cs="Courier New" w:hint="eastAsia"/>
          <w:sz w:val="20"/>
          <w:lang w:eastAsia="ja-JP"/>
        </w:rPr>
        <w:t>.</w:t>
      </w:r>
    </w:p>
    <w:p w:rsidR="006D0693" w:rsidP="00075A54">
      <w:pPr>
        <w:spacing w:after="140" w:line="240" w:lineRule="exact"/>
        <w:ind w:left="450"/>
        <w:jc w:val="both"/>
        <w:rPr>
          <w:rFonts w:ascii="Courier New" w:eastAsia="MS Mincho" w:hAnsi="Courier New" w:cs="Courier New"/>
          <w:sz w:val="20"/>
          <w:lang w:eastAsia="ja-JP"/>
        </w:rPr>
      </w:pPr>
    </w:p>
    <w:p w:rsidR="006D0693" w:rsidP="00075A54">
      <w:pPr>
        <w:spacing w:after="140" w:line="240" w:lineRule="exact"/>
        <w:ind w:left="450"/>
        <w:jc w:val="both"/>
        <w:rPr>
          <w:rFonts w:ascii="Courier New" w:eastAsia="MS Mincho" w:hAnsi="Courier New" w:cs="Courier New"/>
          <w:sz w:val="20"/>
          <w:lang w:eastAsia="ja-JP"/>
        </w:rPr>
      </w:pPr>
    </w:p>
    <w:p w:rsidR="006D0693" w:rsidP="00075A54">
      <w:pPr>
        <w:spacing w:after="140" w:line="240" w:lineRule="exact"/>
        <w:ind w:left="450"/>
        <w:jc w:val="both"/>
        <w:rPr>
          <w:rFonts w:ascii="Courier New" w:eastAsia="MS Mincho" w:hAnsi="Courier New" w:cs="Courier New"/>
          <w:sz w:val="20"/>
          <w:lang w:eastAsia="ja-JP"/>
        </w:rPr>
      </w:pPr>
    </w:p>
    <w:p w:rsidR="006D0693" w:rsidP="00075A54">
      <w:pPr>
        <w:spacing w:after="140" w:line="240" w:lineRule="exact"/>
        <w:ind w:left="450"/>
        <w:jc w:val="both"/>
        <w:rPr>
          <w:rFonts w:ascii="Courier New" w:eastAsia="MS Mincho" w:hAnsi="Courier New" w:cs="Courier New"/>
          <w:sz w:val="20"/>
          <w:lang w:eastAsia="ja-JP"/>
        </w:rPr>
      </w:pPr>
    </w:p>
    <w:p w:rsidR="006D0693" w:rsidRPr="00075A54" w:rsidP="00075A54">
      <w:pPr>
        <w:spacing w:after="140" w:line="240" w:lineRule="exact"/>
        <w:ind w:left="450"/>
        <w:jc w:val="both"/>
        <w:rPr>
          <w:rFonts w:ascii="Courier New" w:eastAsia="MS Mincho" w:hAnsi="Courier New" w:cs="Courier New"/>
          <w:sz w:val="20"/>
          <w:lang w:eastAsia="ja-JP"/>
        </w:rPr>
      </w:pPr>
      <w:r>
        <w:rPr>
          <w:rFonts w:ascii="Courier New" w:eastAsia="MS Mincho" w:hAnsi="Courier New" w:cs="Courier New"/>
          <w:sz w:val="20"/>
          <w:lang w:eastAsia="ja-JP"/>
        </w:rPr>
        <w:t>Prepared by GTRF BMO</w:t>
      </w:r>
    </w:p>
    <w:sectPr w:rsidSect="00056F68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303063">
    <w:pPr>
      <w:pStyle w:val="Footer"/>
    </w:pPr>
    <w:r>
      <w:t>INTERNAL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9F276A" w:rsidRPr="009F276A">
    <w:pPr>
      <w:pStyle w:val="Footer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sz w:val="20"/>
        <w:szCs w:val="20"/>
      </w:rPr>
      <w:t xml:space="preserve">INTERNAL - </w:t>
    </w:r>
    <w:sdt>
      <w:sdtPr>
        <w:rPr>
          <w:rFonts w:ascii="Courier New" w:hAnsi="Courier New" w:cs="Courier New"/>
          <w:sz w:val="20"/>
          <w:szCs w:val="20"/>
        </w:rPr>
        <w:id w:val="-412247192"/>
        <w:docPartObj>
          <w:docPartGallery w:val="Page Numbers (Bottom of Page)"/>
          <w:docPartUnique/>
        </w:docPartObj>
      </w:sdtPr>
      <w:sdtContent>
        <w:sdt>
          <w:sdtPr>
            <w:rPr>
              <w:rFonts w:ascii="Courier New" w:hAnsi="Courier New" w:cs="Courier New"/>
              <w:sz w:val="20"/>
              <w:szCs w:val="20"/>
            </w:rPr>
            <w:id w:val="860082579"/>
            <w:docPartObj>
              <w:docPartGallery w:val="Page Numbers (Top of Page)"/>
              <w:docPartUnique/>
            </w:docPartObj>
          </w:sdtPr>
          <w:sdtContent>
            <w:r w:rsidRPr="009F276A">
              <w:rPr>
                <w:rFonts w:ascii="Courier New" w:hAnsi="Courier New" w:cs="Courier New"/>
                <w:sz w:val="20"/>
                <w:szCs w:val="20"/>
              </w:rPr>
              <w:t xml:space="preserve">Page </w:t>
            </w:r>
            <w:r w:rsidRPr="009F276A">
              <w:rPr>
                <w:rFonts w:ascii="Courier New" w:hAnsi="Courier New" w:cs="Courier New"/>
                <w:b/>
                <w:bCs/>
                <w:sz w:val="20"/>
                <w:szCs w:val="20"/>
              </w:rPr>
              <w:fldChar w:fldCharType="begin"/>
            </w:r>
            <w:r w:rsidRPr="009F276A">
              <w:rPr>
                <w:rFonts w:ascii="Courier New" w:hAnsi="Courier New" w:cs="Courier New"/>
                <w:b/>
                <w:bCs/>
                <w:sz w:val="20"/>
                <w:szCs w:val="20"/>
              </w:rPr>
              <w:fldChar w:fldCharType="separate"/>
            </w:r>
            <w:r w:rsidRPr="009F276A">
              <w:rPr>
                <w:rFonts w:ascii="Courier New" w:hAnsi="Courier New" w:cs="Courier New"/>
                <w:b/>
                <w:bCs/>
                <w:sz w:val="20"/>
                <w:szCs w:val="20"/>
              </w:rPr>
              <w:fldChar w:fldCharType="end"/>
            </w:r>
            <w:r w:rsidRPr="009F27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/</w:t>
            </w:r>
            <w:r w:rsidRPr="009F276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9F276A">
              <w:rPr>
                <w:rFonts w:ascii="Courier New" w:hAnsi="Courier New" w:cs="Courier New"/>
                <w:b/>
                <w:bCs/>
                <w:sz w:val="20"/>
                <w:szCs w:val="20"/>
              </w:rPr>
              <w:fldChar w:fldCharType="begin"/>
            </w:r>
            <w:r w:rsidRPr="009F276A">
              <w:rPr>
                <w:rFonts w:ascii="Courier New" w:hAnsi="Courier New" w:cs="Courier New"/>
                <w:b/>
                <w:bCs/>
                <w:sz w:val="20"/>
                <w:szCs w:val="20"/>
              </w:rPr>
              <w:fldChar w:fldCharType="separate"/>
            </w:r>
            <w:r w:rsidR="0000567E"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t>&lt;header&gt;2. FAQ -&gt; PAGE 5 NUMPAGES 5&lt;header&gt;</w:t>
            </w:r>
            <w:r w:rsidRPr="009F276A">
              <w:rPr>
                <w:rFonts w:ascii="Courier New" w:hAnsi="Courier New" w:cs="Courier New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303063" w:rsidRPr="006A1F1D" w:rsidP="00CE1D9E">
    <w:pPr>
      <w:pStyle w:val="Footer"/>
      <w:jc w:val="right"/>
      <w:rPr>
        <w:rFonts w:ascii="Courier New" w:hAnsi="Courier New" w:cs="Courier New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303063">
    <w:pPr>
      <w:pStyle w:val="Footer"/>
    </w:pPr>
    <w:r>
      <w:t>INTERNAL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14E0A">
    <w:pPr>
      <w:pStyle w:val="Header"/>
    </w:pPr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09360" cy="3429000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1641298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9360" cy="342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14E0A">
    <w:pPr>
      <w:pStyle w:val="Header"/>
    </w:pPr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09360" cy="3429000"/>
          <wp:wrapNone/>
          <wp:docPr id="100005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0372546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9360" cy="342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14E0A">
    <w:pPr>
      <w:pStyle w:val="Header"/>
    </w:pPr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309360" cy="3429000"/>
          <wp:wrapNone/>
          <wp:docPr id="100006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014206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9360" cy="3429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205609"/>
    <w:multiLevelType w:val="hybridMultilevel"/>
    <w:tmpl w:val="52A05A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B37DEA"/>
    <w:multiLevelType w:val="hybridMultilevel"/>
    <w:tmpl w:val="77C09D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0"/>
      <w:numFmt w:val="bullet"/>
      <w:lvlText w:val="-"/>
      <w:lvlJc w:val="left"/>
      <w:pPr>
        <w:ind w:left="1080" w:hanging="360"/>
      </w:pPr>
      <w:rPr>
        <w:rFonts w:ascii="Courier New" w:hAnsi="Courier New" w:eastAsiaTheme="minorEastAsia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4D27F7"/>
    <w:multiLevelType w:val="hybridMultilevel"/>
    <w:tmpl w:val="D982C9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BBF4046"/>
    <w:multiLevelType w:val="hybridMultilevel"/>
    <w:tmpl w:val="D884DAC6"/>
    <w:lvl w:ilvl="0">
      <w:start w:val="1"/>
      <w:numFmt w:val="bullet"/>
      <w:lvlText w:val="-"/>
      <w:lvlJc w:val="left"/>
      <w:pPr>
        <w:ind w:left="720" w:hanging="360"/>
      </w:pPr>
      <w:rPr>
        <w:rFonts w:ascii="Courier New" w:hAnsi="Courier New" w:eastAsiaTheme="minorEastAsia" w:cs="Courier New" w:hint="default"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E5F93"/>
    <w:multiLevelType w:val="hybridMultilevel"/>
    <w:tmpl w:val="92E618D0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710A7C"/>
    <w:multiLevelType w:val="hybridMultilevel"/>
    <w:tmpl w:val="E302856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0"/>
      <w:numFmt w:val="bullet"/>
      <w:lvlText w:val="-"/>
      <w:lvlJc w:val="left"/>
      <w:pPr>
        <w:ind w:left="1080" w:hanging="360"/>
      </w:pPr>
      <w:rPr>
        <w:rFonts w:ascii="Courier New" w:hAnsi="Courier New" w:eastAsiaTheme="minorEastAsia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491880"/>
    <w:multiLevelType w:val="hybridMultilevel"/>
    <w:tmpl w:val="4FEA55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0"/>
      <w:numFmt w:val="bullet"/>
      <w:lvlText w:val="-"/>
      <w:lvlJc w:val="left"/>
      <w:pPr>
        <w:ind w:left="1080" w:hanging="360"/>
      </w:pPr>
      <w:rPr>
        <w:rFonts w:ascii="Courier New" w:hAnsi="Courier New" w:eastAsiaTheme="minorEastAsia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CAC2BFC"/>
    <w:multiLevelType w:val="hybridMultilevel"/>
    <w:tmpl w:val="CD8E7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0"/>
      <w:numFmt w:val="bullet"/>
      <w:lvlText w:val="-"/>
      <w:lvlJc w:val="left"/>
      <w:pPr>
        <w:ind w:left="1080" w:hanging="360"/>
      </w:pPr>
      <w:rPr>
        <w:rFonts w:ascii="Courier New" w:hAnsi="Courier New" w:eastAsiaTheme="minorEastAsia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0F4"/>
    <w:rsid w:val="0000567E"/>
    <w:rsid w:val="00007C8D"/>
    <w:rsid w:val="00013542"/>
    <w:rsid w:val="00033285"/>
    <w:rsid w:val="0004387C"/>
    <w:rsid w:val="00052B97"/>
    <w:rsid w:val="00055740"/>
    <w:rsid w:val="00056F68"/>
    <w:rsid w:val="000573AF"/>
    <w:rsid w:val="000678C0"/>
    <w:rsid w:val="00075A54"/>
    <w:rsid w:val="000761D3"/>
    <w:rsid w:val="000815FE"/>
    <w:rsid w:val="00097F80"/>
    <w:rsid w:val="000B3B27"/>
    <w:rsid w:val="000C6F1F"/>
    <w:rsid w:val="000D7028"/>
    <w:rsid w:val="000E0B23"/>
    <w:rsid w:val="00120154"/>
    <w:rsid w:val="001255AB"/>
    <w:rsid w:val="001257E3"/>
    <w:rsid w:val="0013071B"/>
    <w:rsid w:val="001317FD"/>
    <w:rsid w:val="00133FF0"/>
    <w:rsid w:val="00140969"/>
    <w:rsid w:val="001479B1"/>
    <w:rsid w:val="00150784"/>
    <w:rsid w:val="001721E3"/>
    <w:rsid w:val="00172BD7"/>
    <w:rsid w:val="00177D8D"/>
    <w:rsid w:val="001B353C"/>
    <w:rsid w:val="001B67D3"/>
    <w:rsid w:val="001C5AA9"/>
    <w:rsid w:val="001E1805"/>
    <w:rsid w:val="00216530"/>
    <w:rsid w:val="0021757D"/>
    <w:rsid w:val="002434B1"/>
    <w:rsid w:val="002859B7"/>
    <w:rsid w:val="002901B9"/>
    <w:rsid w:val="002926FB"/>
    <w:rsid w:val="002D14F4"/>
    <w:rsid w:val="002D7C55"/>
    <w:rsid w:val="00303063"/>
    <w:rsid w:val="003051DA"/>
    <w:rsid w:val="0030552B"/>
    <w:rsid w:val="00327196"/>
    <w:rsid w:val="0034418C"/>
    <w:rsid w:val="003464D8"/>
    <w:rsid w:val="00353526"/>
    <w:rsid w:val="00371729"/>
    <w:rsid w:val="003C2116"/>
    <w:rsid w:val="003C4974"/>
    <w:rsid w:val="003F41C4"/>
    <w:rsid w:val="00425C8F"/>
    <w:rsid w:val="00426F17"/>
    <w:rsid w:val="00454689"/>
    <w:rsid w:val="00460C37"/>
    <w:rsid w:val="00466A01"/>
    <w:rsid w:val="00483257"/>
    <w:rsid w:val="004A3361"/>
    <w:rsid w:val="004B30C5"/>
    <w:rsid w:val="004C345A"/>
    <w:rsid w:val="004D2504"/>
    <w:rsid w:val="004F0D3D"/>
    <w:rsid w:val="005309AE"/>
    <w:rsid w:val="00566C3C"/>
    <w:rsid w:val="00585D2F"/>
    <w:rsid w:val="00586BEF"/>
    <w:rsid w:val="005B6A5D"/>
    <w:rsid w:val="005F38B3"/>
    <w:rsid w:val="005F4465"/>
    <w:rsid w:val="005F5A00"/>
    <w:rsid w:val="005F6D0E"/>
    <w:rsid w:val="005F7D33"/>
    <w:rsid w:val="0060748F"/>
    <w:rsid w:val="00622A0B"/>
    <w:rsid w:val="00625E68"/>
    <w:rsid w:val="006274FB"/>
    <w:rsid w:val="006610F6"/>
    <w:rsid w:val="00663C8B"/>
    <w:rsid w:val="006A1F1D"/>
    <w:rsid w:val="006B7216"/>
    <w:rsid w:val="006D0693"/>
    <w:rsid w:val="00730B6D"/>
    <w:rsid w:val="0073205D"/>
    <w:rsid w:val="00737BA5"/>
    <w:rsid w:val="00765A38"/>
    <w:rsid w:val="0076726A"/>
    <w:rsid w:val="00781E3C"/>
    <w:rsid w:val="007C58B2"/>
    <w:rsid w:val="007F07DA"/>
    <w:rsid w:val="007F2194"/>
    <w:rsid w:val="007F25B6"/>
    <w:rsid w:val="00821EDF"/>
    <w:rsid w:val="008413DF"/>
    <w:rsid w:val="00847817"/>
    <w:rsid w:val="008A675D"/>
    <w:rsid w:val="008B3A90"/>
    <w:rsid w:val="008C1DB1"/>
    <w:rsid w:val="008C2552"/>
    <w:rsid w:val="008C390D"/>
    <w:rsid w:val="008C7F14"/>
    <w:rsid w:val="008E4247"/>
    <w:rsid w:val="008F35DC"/>
    <w:rsid w:val="00903892"/>
    <w:rsid w:val="00934CA5"/>
    <w:rsid w:val="009352F7"/>
    <w:rsid w:val="00952ED8"/>
    <w:rsid w:val="0095669D"/>
    <w:rsid w:val="009702D7"/>
    <w:rsid w:val="0097240F"/>
    <w:rsid w:val="00975F44"/>
    <w:rsid w:val="00980ED8"/>
    <w:rsid w:val="00992439"/>
    <w:rsid w:val="009B5C06"/>
    <w:rsid w:val="009D5F9D"/>
    <w:rsid w:val="009F20F3"/>
    <w:rsid w:val="009F276A"/>
    <w:rsid w:val="00A15F2E"/>
    <w:rsid w:val="00A23DC6"/>
    <w:rsid w:val="00A375D3"/>
    <w:rsid w:val="00A764A6"/>
    <w:rsid w:val="00A80D7D"/>
    <w:rsid w:val="00A91AD8"/>
    <w:rsid w:val="00AA0B97"/>
    <w:rsid w:val="00AA5106"/>
    <w:rsid w:val="00AA685A"/>
    <w:rsid w:val="00AA783F"/>
    <w:rsid w:val="00AC4C2C"/>
    <w:rsid w:val="00AD47A6"/>
    <w:rsid w:val="00AE02CE"/>
    <w:rsid w:val="00AF518E"/>
    <w:rsid w:val="00B33973"/>
    <w:rsid w:val="00B50949"/>
    <w:rsid w:val="00B606BF"/>
    <w:rsid w:val="00B853C0"/>
    <w:rsid w:val="00BA4688"/>
    <w:rsid w:val="00BB1BA5"/>
    <w:rsid w:val="00BB75CB"/>
    <w:rsid w:val="00BE731D"/>
    <w:rsid w:val="00C237EA"/>
    <w:rsid w:val="00C31A15"/>
    <w:rsid w:val="00C51F66"/>
    <w:rsid w:val="00C61D50"/>
    <w:rsid w:val="00CA4BA4"/>
    <w:rsid w:val="00CB3585"/>
    <w:rsid w:val="00CC1628"/>
    <w:rsid w:val="00CC6B14"/>
    <w:rsid w:val="00CE026F"/>
    <w:rsid w:val="00CE1948"/>
    <w:rsid w:val="00CE1D9E"/>
    <w:rsid w:val="00CE4D62"/>
    <w:rsid w:val="00CF7500"/>
    <w:rsid w:val="00D00D00"/>
    <w:rsid w:val="00D14946"/>
    <w:rsid w:val="00D14E0A"/>
    <w:rsid w:val="00D21FCB"/>
    <w:rsid w:val="00D235F3"/>
    <w:rsid w:val="00D25C9A"/>
    <w:rsid w:val="00D318D8"/>
    <w:rsid w:val="00D331D1"/>
    <w:rsid w:val="00D52508"/>
    <w:rsid w:val="00DC2443"/>
    <w:rsid w:val="00DE0E9E"/>
    <w:rsid w:val="00DE4E91"/>
    <w:rsid w:val="00DE6972"/>
    <w:rsid w:val="00E01270"/>
    <w:rsid w:val="00E204E0"/>
    <w:rsid w:val="00E40EA6"/>
    <w:rsid w:val="00E42E4A"/>
    <w:rsid w:val="00E52791"/>
    <w:rsid w:val="00E568F6"/>
    <w:rsid w:val="00E57929"/>
    <w:rsid w:val="00E618DB"/>
    <w:rsid w:val="00E950F4"/>
    <w:rsid w:val="00EB4EC3"/>
    <w:rsid w:val="00EB789E"/>
    <w:rsid w:val="00EC3617"/>
    <w:rsid w:val="00ED024F"/>
    <w:rsid w:val="00ED0D15"/>
    <w:rsid w:val="00ED63C0"/>
    <w:rsid w:val="00ED68E1"/>
    <w:rsid w:val="00F04FBC"/>
    <w:rsid w:val="00F32ED1"/>
    <w:rsid w:val="00F36709"/>
    <w:rsid w:val="00F46970"/>
    <w:rsid w:val="00F55C07"/>
    <w:rsid w:val="00F61DE7"/>
    <w:rsid w:val="00F63233"/>
    <w:rsid w:val="00F63CE8"/>
    <w:rsid w:val="00FA40CB"/>
    <w:rsid w:val="00FA6517"/>
    <w:rsid w:val="00FA7302"/>
    <w:rsid w:val="00FA755D"/>
    <w:rsid w:val="00FB3197"/>
    <w:rsid w:val="00FD0E0D"/>
    <w:rsid w:val="00FF19A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0F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0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063"/>
  </w:style>
  <w:style w:type="paragraph" w:styleId="Footer">
    <w:name w:val="footer"/>
    <w:basedOn w:val="Normal"/>
    <w:link w:val="FooterChar"/>
    <w:uiPriority w:val="99"/>
    <w:unhideWhenUsed/>
    <w:rsid w:val="00303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063"/>
  </w:style>
  <w:style w:type="table" w:styleId="TableGrid">
    <w:name w:val="Table Grid"/>
    <w:basedOn w:val="TableNormal"/>
    <w:uiPriority w:val="59"/>
    <w:rsid w:val="000E0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footer3.xml" Type="http://schemas.openxmlformats.org/officeDocument/2006/relationships/footer"/><Relationship Id="rId11" Target="theme/theme1.xml" Type="http://schemas.openxmlformats.org/officeDocument/2006/relationships/theme"/><Relationship Id="rId12" Target="numbering.xml" Type="http://schemas.openxmlformats.org/officeDocument/2006/relationships/numbering"/><Relationship Id="rId13" Target="styles.xml" Type="http://schemas.openxmlformats.org/officeDocument/2006/relationships/styles"/><Relationship Id="rId2" Target="webSettings.xml" Type="http://schemas.openxmlformats.org/officeDocument/2006/relationships/webSettings"/><Relationship Id="rId3" Target="fontTable.xml" Type="http://schemas.openxmlformats.org/officeDocument/2006/relationships/fontTable"/><Relationship Id="rId4" Target="../customXml/item1.xml" Type="http://schemas.openxmlformats.org/officeDocument/2006/relationships/customXml"/><Relationship Id="rId5" Target="header1.xml" Type="http://schemas.openxmlformats.org/officeDocument/2006/relationships/header"/><Relationship Id="rId6" Target="header2.xml" Type="http://schemas.openxmlformats.org/officeDocument/2006/relationships/header"/><Relationship Id="rId7" Target="footer1.xml" Type="http://schemas.openxmlformats.org/officeDocument/2006/relationships/footer"/><Relationship Id="rId8" Target="footer2.xml" Type="http://schemas.openxmlformats.org/officeDocument/2006/relationships/footer"/><Relationship Id="rId9" Target="header3.xml" Type="http://schemas.openxmlformats.org/officeDocument/2006/relationships/head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_rels/header3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59E66-909A-4747-9477-4DC061CDA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1343</Words>
  <Characters>6992</Characters>
  <Application>Microsoft Office Word</Application>
  <DocSecurity>0</DocSecurity>
  <Lines>162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8346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2016-04-13T07:14:00Z</dcterms:created>
  <dc:creator>Helen P M WONG</dc:creator>
  <dc:description>INTERNAL</dc:description>
  <cp:keywords>INTERNAL</cp:keywords>
  <cp:lastModifiedBy>Helen P M WONG</cp:lastModifiedBy>
  <cp:lastPrinted>2015-08-05T08:08:00Z</cp:lastPrinted>
  <dcterms:modified xsi:type="dcterms:W3CDTF">2016-04-13T08:49:00Z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DocClassification">
    <vt:lpwstr>CLAINTERN</vt:lpwstr>
  </property>
  <property fmtid="{D5CDD505-2E9C-101B-9397-08002B2CF9AE}" pid="4" name="Footers">
    <vt:lpwstr>Footers</vt:lpwstr>
  </property>
  <property fmtid="{D5CDD505-2E9C-101B-9397-08002B2CF9AE}" pid="5" name="Source">
    <vt:lpwstr>Internal</vt:lpwstr>
  </property>
</Properties>
</file>