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7C8C6" w14:textId="2EB7FBDA" w:rsidR="005F2359" w:rsidRDefault="00D233F2">
      <w:pPr>
        <w:rPr>
          <w:b/>
          <w:bCs/>
          <w:sz w:val="28"/>
          <w:szCs w:val="28"/>
          <w:lang w:val="en-GB"/>
        </w:rPr>
      </w:pPr>
      <w:r>
        <w:rPr>
          <w:b/>
          <w:bCs/>
          <w:sz w:val="28"/>
          <w:szCs w:val="28"/>
          <w:lang w:val="en-GB"/>
        </w:rPr>
        <w:t xml:space="preserve">                                               </w:t>
      </w:r>
      <w:r w:rsidR="005D1E33" w:rsidRPr="005D1E33">
        <w:rPr>
          <w:b/>
          <w:bCs/>
          <w:sz w:val="28"/>
          <w:szCs w:val="28"/>
          <w:lang w:val="en-GB"/>
        </w:rPr>
        <w:t xml:space="preserve">Contingency </w:t>
      </w:r>
    </w:p>
    <w:p w14:paraId="57A9AD80" w14:textId="424B6379" w:rsidR="00247560" w:rsidRDefault="00247560">
      <w:pPr>
        <w:rPr>
          <w:rFonts w:ascii="Segoe UI" w:hAnsi="Segoe UI" w:cs="Segoe UI"/>
          <w:color w:val="0D0D0D"/>
          <w:shd w:val="clear" w:color="auto" w:fill="FFFFFF"/>
        </w:rPr>
      </w:pPr>
      <w:r>
        <w:rPr>
          <w:rFonts w:ascii="Segoe UI" w:hAnsi="Segoe UI" w:cs="Segoe UI"/>
          <w:color w:val="0D0D0D"/>
          <w:shd w:val="clear" w:color="auto" w:fill="FFFFFF"/>
        </w:rPr>
        <w:t>I. Executive Summary:</w:t>
      </w:r>
    </w:p>
    <w:p w14:paraId="172BEE49" w14:textId="40690C95"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This comprehensive contingency plan addresses specific and quantifiable risks, encompassing natural disasters (e.g., earthquakes, floods), technological failures (system crashes, cyberattacks), human-related incidents (e.g., workforce disruptions, insider threats), and external factors (economic downturns, geopolitical events). The plan focuses on mitigating the quantified impacts of these risks on critical business operations, ensuring the organization's resilience</w:t>
      </w:r>
      <w:r>
        <w:rPr>
          <w:rFonts w:ascii="Segoe UI" w:hAnsi="Segoe UI" w:cs="Segoe UI"/>
          <w:color w:val="0D0D0D"/>
          <w:shd w:val="clear" w:color="auto" w:fill="FFFFFF"/>
          <w:lang w:val="en-GB"/>
        </w:rPr>
        <w:t>.</w:t>
      </w:r>
    </w:p>
    <w:p w14:paraId="457C0F91" w14:textId="57C6333F"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II. Risk Assessment</w:t>
      </w:r>
      <w:r>
        <w:rPr>
          <w:rFonts w:ascii="Segoe UI" w:hAnsi="Segoe UI" w:cs="Segoe UI"/>
          <w:color w:val="0D0D0D"/>
          <w:shd w:val="clear" w:color="auto" w:fill="FFFFFF"/>
          <w:lang w:val="en-GB"/>
        </w:rPr>
        <w:t>:</w:t>
      </w:r>
    </w:p>
    <w:p w14:paraId="0225991B" w14:textId="05ECFB98"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Quantify the potential impact of identified risks, incorporating financial losses, operational downtime, reputational damage, and customer dissatisfaction into a comprehensive risk matrix. Assign numerical values to the likelihood and severity of each risk, establishing a risk threshold with specific response actions tied to quantitative metrics</w:t>
      </w:r>
      <w:r>
        <w:rPr>
          <w:rFonts w:ascii="Segoe UI" w:hAnsi="Segoe UI" w:cs="Segoe UI"/>
          <w:color w:val="0D0D0D"/>
          <w:shd w:val="clear" w:color="auto" w:fill="FFFFFF"/>
          <w:lang w:val="en-GB"/>
        </w:rPr>
        <w:t>.</w:t>
      </w:r>
    </w:p>
    <w:p w14:paraId="1B44F1D3" w14:textId="7E49931B"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III. Communication Plan</w:t>
      </w:r>
      <w:r>
        <w:rPr>
          <w:rFonts w:ascii="Segoe UI" w:hAnsi="Segoe UI" w:cs="Segoe UI"/>
          <w:color w:val="0D0D0D"/>
          <w:shd w:val="clear" w:color="auto" w:fill="FFFFFF"/>
          <w:lang w:val="en-GB"/>
        </w:rPr>
        <w:t xml:space="preserve">: </w:t>
      </w:r>
    </w:p>
    <w:p w14:paraId="1B4FAE80" w14:textId="47B6E0BC"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 xml:space="preserve">Specify scenarios requiring communication activation and establish </w:t>
      </w:r>
      <w:proofErr w:type="spellStart"/>
      <w:r>
        <w:rPr>
          <w:rFonts w:ascii="Segoe UI" w:hAnsi="Segoe UI" w:cs="Segoe UI"/>
          <w:color w:val="0D0D0D"/>
          <w:shd w:val="clear" w:color="auto" w:fill="FFFFFF"/>
        </w:rPr>
        <w:t>KPIs</w:t>
      </w:r>
      <w:proofErr w:type="spellEnd"/>
      <w:r>
        <w:rPr>
          <w:rFonts w:ascii="Segoe UI" w:hAnsi="Segoe UI" w:cs="Segoe UI"/>
          <w:color w:val="0D0D0D"/>
          <w:shd w:val="clear" w:color="auto" w:fill="FFFFFF"/>
        </w:rPr>
        <w:t xml:space="preserve"> for communication effectiveness, such as response time, message accuracy, and stakeholder awareness. Metrics should include the percentage of employees reached within a specified time frame, feedback mechanisms, and overall communication system reliability</w:t>
      </w:r>
      <w:r>
        <w:rPr>
          <w:rFonts w:ascii="Segoe UI" w:hAnsi="Segoe UI" w:cs="Segoe UI"/>
          <w:color w:val="0D0D0D"/>
          <w:shd w:val="clear" w:color="auto" w:fill="FFFFFF"/>
          <w:lang w:val="en-GB"/>
        </w:rPr>
        <w:t>.</w:t>
      </w:r>
    </w:p>
    <w:p w14:paraId="013AC53F" w14:textId="1391E0A4"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IV. Emergency Response Team</w:t>
      </w:r>
      <w:r>
        <w:rPr>
          <w:rFonts w:ascii="Segoe UI" w:hAnsi="Segoe UI" w:cs="Segoe UI"/>
          <w:color w:val="0D0D0D"/>
          <w:shd w:val="clear" w:color="auto" w:fill="FFFFFF"/>
          <w:lang w:val="en-GB"/>
        </w:rPr>
        <w:t>:</w:t>
      </w:r>
    </w:p>
    <w:p w14:paraId="2F1840C0" w14:textId="2B5907E6"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Quantify response times and set benchmarks for the Emergency Response Team, incorporating metrics for training effectiveness such as simulation completion times, decision-making accuracy, and coordination efficiency. Regularly assess team performance against predefined metrics</w:t>
      </w:r>
      <w:r>
        <w:rPr>
          <w:rFonts w:ascii="Segoe UI" w:hAnsi="Segoe UI" w:cs="Segoe UI"/>
          <w:color w:val="0D0D0D"/>
          <w:shd w:val="clear" w:color="auto" w:fill="FFFFFF"/>
          <w:lang w:val="en-GB"/>
        </w:rPr>
        <w:t>.</w:t>
      </w:r>
    </w:p>
    <w:p w14:paraId="7DE25AAB" w14:textId="74AD453E"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V. Data Security and Privacy</w:t>
      </w:r>
      <w:r>
        <w:rPr>
          <w:rFonts w:ascii="Segoe UI" w:hAnsi="Segoe UI" w:cs="Segoe UI"/>
          <w:color w:val="0D0D0D"/>
          <w:shd w:val="clear" w:color="auto" w:fill="FFFFFF"/>
          <w:lang w:val="en-GB"/>
        </w:rPr>
        <w:t>:</w:t>
      </w:r>
    </w:p>
    <w:p w14:paraId="4073EBC5" w14:textId="1896F6D5"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Include specific measures to protect sensitive data and personal information during a crisis. Establish metrics for data breach detection and response times, as well as employee training completion rates on data security protocols. Regularly evaluate the effectiveness of these measures through drills and simulations</w:t>
      </w:r>
      <w:r>
        <w:rPr>
          <w:rFonts w:ascii="Segoe UI" w:hAnsi="Segoe UI" w:cs="Segoe UI"/>
          <w:color w:val="0D0D0D"/>
          <w:shd w:val="clear" w:color="auto" w:fill="FFFFFF"/>
          <w:lang w:val="en-GB"/>
        </w:rPr>
        <w:t>.</w:t>
      </w:r>
    </w:p>
    <w:p w14:paraId="043A0F8B" w14:textId="77777777" w:rsidR="00247560" w:rsidRDefault="00247560">
      <w:pPr>
        <w:rPr>
          <w:rFonts w:ascii="Segoe UI" w:hAnsi="Segoe UI" w:cs="Segoe UI"/>
          <w:color w:val="0D0D0D"/>
          <w:shd w:val="clear" w:color="auto" w:fill="FFFFFF"/>
          <w:lang w:val="en-GB"/>
        </w:rPr>
      </w:pPr>
      <w:r>
        <w:rPr>
          <w:rFonts w:ascii="Segoe UI" w:hAnsi="Segoe UI" w:cs="Segoe UI"/>
          <w:color w:val="0D0D0D"/>
          <w:shd w:val="clear" w:color="auto" w:fill="FFFFFF"/>
        </w:rPr>
        <w:t>VI. Supply Chain Continuity</w:t>
      </w:r>
      <w:r>
        <w:rPr>
          <w:rFonts w:ascii="Segoe UI" w:hAnsi="Segoe UI" w:cs="Segoe UI"/>
          <w:color w:val="0D0D0D"/>
          <w:shd w:val="clear" w:color="auto" w:fill="FFFFFF"/>
          <w:lang w:val="en-GB"/>
        </w:rPr>
        <w:t>:</w:t>
      </w:r>
    </w:p>
    <w:p w14:paraId="1CFFFDCB" w14:textId="77777777" w:rsidR="00247560" w:rsidRDefault="00247560">
      <w:pPr>
        <w:rPr>
          <w:rFonts w:ascii="Segoe UI" w:hAnsi="Segoe UI" w:cs="Segoe UI"/>
          <w:color w:val="0D0D0D"/>
        </w:rPr>
      </w:pPr>
      <w:r w:rsidRPr="00247560">
        <w:rPr>
          <w:rFonts w:ascii="Segoe UI" w:hAnsi="Segoe UI" w:cs="Segoe UI"/>
          <w:color w:val="0D0D0D"/>
        </w:rPr>
        <w:t xml:space="preserve"> </w:t>
      </w:r>
      <w:r>
        <w:rPr>
          <w:rFonts w:ascii="Segoe UI" w:hAnsi="Segoe UI" w:cs="Segoe UI"/>
          <w:color w:val="0D0D0D"/>
        </w:rPr>
        <w:t>Address potential disruptions to the supply chain due to unforeseen events. Incorporate metrics for identifying alternative suppliers, measuring inventory management efficiency, and assessing supplier communication effectiveness</w:t>
      </w:r>
      <w:r w:rsidRPr="00247560">
        <w:rPr>
          <w:rFonts w:ascii="Segoe UI" w:hAnsi="Segoe UI" w:cs="Segoe UI"/>
          <w:color w:val="0D0D0D"/>
        </w:rPr>
        <w:t xml:space="preserve"> </w:t>
      </w:r>
    </w:p>
    <w:p w14:paraId="666C4A2F" w14:textId="1847FEA0" w:rsidR="00247560" w:rsidRDefault="00247560">
      <w:pPr>
        <w:rPr>
          <w:rFonts w:ascii="Segoe UI" w:hAnsi="Segoe UI" w:cs="Segoe UI"/>
          <w:color w:val="0D0D0D"/>
        </w:rPr>
      </w:pPr>
      <w:r>
        <w:rPr>
          <w:rFonts w:ascii="Segoe UI" w:hAnsi="Segoe UI" w:cs="Segoe UI"/>
          <w:color w:val="0D0D0D"/>
        </w:rPr>
        <w:t>Evaluate the time taken to restore normal supply chain operations and quantify any financial impacts associated with disruptions.</w:t>
      </w:r>
    </w:p>
    <w:p w14:paraId="0E754C53" w14:textId="56170DA8" w:rsidR="00247560" w:rsidRDefault="00247560">
      <w:pPr>
        <w:rPr>
          <w:rFonts w:ascii="Segoe UI" w:hAnsi="Segoe UI" w:cs="Segoe UI"/>
          <w:color w:val="0D0D0D"/>
          <w:lang w:val="en-GB"/>
        </w:rPr>
      </w:pPr>
      <w:r>
        <w:rPr>
          <w:rFonts w:ascii="Segoe UI" w:hAnsi="Segoe UI" w:cs="Segoe UI"/>
          <w:color w:val="0D0D0D"/>
        </w:rPr>
        <w:t>VII. Flexibility and Adaptability</w:t>
      </w:r>
      <w:r>
        <w:rPr>
          <w:rFonts w:ascii="Segoe UI" w:hAnsi="Segoe UI" w:cs="Segoe UI"/>
          <w:color w:val="0D0D0D"/>
          <w:lang w:val="en-GB"/>
        </w:rPr>
        <w:t>:</w:t>
      </w:r>
      <w:r>
        <w:rPr>
          <w:rFonts w:ascii="Segoe UI" w:hAnsi="Segoe UI" w:cs="Segoe UI"/>
          <w:color w:val="0D0D0D"/>
          <w:lang w:val="en-GB"/>
        </w:rPr>
        <w:br/>
      </w:r>
      <w:r>
        <w:rPr>
          <w:rFonts w:ascii="Segoe UI" w:hAnsi="Segoe UI" w:cs="Segoe UI"/>
          <w:color w:val="0D0D0D"/>
        </w:rPr>
        <w:t xml:space="preserve">While quantifiable measures are valuable, emphasize the plan's ability to adapt to unexpected situations. Highlight regular reviews and scenario-based simulations to test the </w:t>
      </w:r>
      <w:r>
        <w:rPr>
          <w:rFonts w:ascii="Segoe UI" w:hAnsi="Segoe UI" w:cs="Segoe UI"/>
          <w:color w:val="0D0D0D"/>
        </w:rPr>
        <w:lastRenderedPageBreak/>
        <w:t>plan's flexibility and resilience to unforeseen circumstances. Develop metrics for successful plan adaptations during simulations and real incidents</w:t>
      </w:r>
      <w:r>
        <w:rPr>
          <w:rFonts w:ascii="Segoe UI" w:hAnsi="Segoe UI" w:cs="Segoe UI"/>
          <w:color w:val="0D0D0D"/>
          <w:lang w:val="en-GB"/>
        </w:rPr>
        <w:t>.</w:t>
      </w:r>
    </w:p>
    <w:p w14:paraId="61D07FDF" w14:textId="7D61DB1C" w:rsidR="00003C12" w:rsidRDefault="00003C12">
      <w:pPr>
        <w:rPr>
          <w:rFonts w:ascii="Segoe UI" w:hAnsi="Segoe UI" w:cs="Segoe UI"/>
          <w:color w:val="0D0D0D"/>
          <w:lang w:val="en-GB"/>
        </w:rPr>
      </w:pPr>
      <w:r>
        <w:rPr>
          <w:rFonts w:ascii="Segoe UI" w:hAnsi="Segoe UI" w:cs="Segoe UI"/>
          <w:color w:val="0D0D0D"/>
        </w:rPr>
        <w:t>VIII. Continuous Improvement Culture</w:t>
      </w:r>
      <w:r>
        <w:rPr>
          <w:rFonts w:ascii="Segoe UI" w:hAnsi="Segoe UI" w:cs="Segoe UI"/>
          <w:color w:val="0D0D0D"/>
          <w:lang w:val="en-GB"/>
        </w:rPr>
        <w:t>:</w:t>
      </w:r>
      <w:r>
        <w:rPr>
          <w:rFonts w:ascii="Segoe UI" w:hAnsi="Segoe UI" w:cs="Segoe UI"/>
          <w:color w:val="0D0D0D"/>
          <w:lang w:val="en-GB"/>
        </w:rPr>
        <w:br/>
      </w:r>
      <w:r>
        <w:rPr>
          <w:rFonts w:ascii="Segoe UI" w:hAnsi="Segoe UI" w:cs="Segoe UI"/>
          <w:color w:val="0D0D0D"/>
        </w:rPr>
        <w:t>Foster a culture of continuous improvement by encouraging feedback from stakeholders and incorporating lessons learned from real-world events. Emphasize regular updates and revisions to the plan based on evolving risks and changing circumstances. Define metrics for the number of feedback submissions, the time taken to implement improvements based on feedback, and the overall effectiveness of the feedback loop</w:t>
      </w:r>
      <w:r>
        <w:rPr>
          <w:rFonts w:ascii="Segoe UI" w:hAnsi="Segoe UI" w:cs="Segoe UI"/>
          <w:color w:val="0D0D0D"/>
          <w:lang w:val="en-GB"/>
        </w:rPr>
        <w:t>.</w:t>
      </w:r>
    </w:p>
    <w:p w14:paraId="12DFF67C" w14:textId="50843EC1" w:rsidR="00003C12" w:rsidRDefault="00003C12">
      <w:pPr>
        <w:rPr>
          <w:rFonts w:ascii="Segoe UI" w:hAnsi="Segoe UI" w:cs="Segoe UI"/>
          <w:color w:val="0D0D0D"/>
          <w:lang w:val="en-GB"/>
        </w:rPr>
      </w:pPr>
      <w:r>
        <w:rPr>
          <w:rFonts w:ascii="Segoe UI" w:hAnsi="Segoe UI" w:cs="Segoe UI"/>
          <w:color w:val="0D0D0D"/>
        </w:rPr>
        <w:t>IX. Legal Considerations and Insurance Coverage</w:t>
      </w:r>
      <w:r>
        <w:rPr>
          <w:rFonts w:ascii="Segoe UI" w:hAnsi="Segoe UI" w:cs="Segoe UI"/>
          <w:color w:val="0D0D0D"/>
          <w:lang w:val="en-GB"/>
        </w:rPr>
        <w:t>:</w:t>
      </w:r>
    </w:p>
    <w:p w14:paraId="4AD24EC2" w14:textId="3426FB17" w:rsidR="00003C12" w:rsidRDefault="00003C12">
      <w:pPr>
        <w:rPr>
          <w:rFonts w:ascii="Segoe UI" w:hAnsi="Segoe UI" w:cs="Segoe UI"/>
          <w:color w:val="0D0D0D"/>
          <w:lang w:val="en-GB"/>
        </w:rPr>
      </w:pPr>
      <w:r>
        <w:rPr>
          <w:rFonts w:ascii="Segoe UI" w:hAnsi="Segoe UI" w:cs="Segoe UI"/>
          <w:color w:val="0D0D0D"/>
        </w:rPr>
        <w:t>Address legal considerations by specifying compliance with relevant laws and regulations. Detail insurance coverage, quantifying policy limits, and outlining procedures for filing claims. Establish metrics for the speed and efficiency of insurance claim processing</w:t>
      </w:r>
      <w:r>
        <w:rPr>
          <w:rFonts w:ascii="Segoe UI" w:hAnsi="Segoe UI" w:cs="Segoe UI"/>
          <w:color w:val="0D0D0D"/>
          <w:lang w:val="en-GB"/>
        </w:rPr>
        <w:t>.</w:t>
      </w:r>
    </w:p>
    <w:p w14:paraId="58B0D02A" w14:textId="2719B868" w:rsidR="00003C12" w:rsidRDefault="00003C12">
      <w:pPr>
        <w:rPr>
          <w:rFonts w:ascii="Segoe UI" w:hAnsi="Segoe UI" w:cs="Segoe UI"/>
          <w:color w:val="0D0D0D"/>
          <w:lang w:val="en-GB"/>
        </w:rPr>
      </w:pPr>
      <w:r>
        <w:rPr>
          <w:rFonts w:ascii="Segoe UI" w:hAnsi="Segoe UI" w:cs="Segoe UI"/>
          <w:color w:val="0D0D0D"/>
        </w:rPr>
        <w:t>X. Employee Mental Health and Well-being</w:t>
      </w:r>
      <w:r>
        <w:rPr>
          <w:rFonts w:ascii="Segoe UI" w:hAnsi="Segoe UI" w:cs="Segoe UI"/>
          <w:color w:val="0D0D0D"/>
          <w:lang w:val="en-GB"/>
        </w:rPr>
        <w:t>:</w:t>
      </w:r>
    </w:p>
    <w:p w14:paraId="5DE132CF" w14:textId="6A8F2710" w:rsidR="00003C12" w:rsidRDefault="00003C12">
      <w:pPr>
        <w:rPr>
          <w:rFonts w:ascii="Segoe UI" w:hAnsi="Segoe UI" w:cs="Segoe UI"/>
          <w:color w:val="0D0D0D"/>
          <w:lang w:val="en-GB"/>
        </w:rPr>
      </w:pPr>
      <w:r>
        <w:rPr>
          <w:rFonts w:ascii="Segoe UI" w:hAnsi="Segoe UI" w:cs="Segoe UI"/>
          <w:color w:val="0D0D0D"/>
        </w:rPr>
        <w:t>Include a section on addressing the mental health and well-being of employees during and after a crisis. Develop metrics to measure the effectiveness of support services, such as employee utilization rates, satisfaction surveys, and return-to-work rates</w:t>
      </w:r>
      <w:r>
        <w:rPr>
          <w:rFonts w:ascii="Segoe UI" w:hAnsi="Segoe UI" w:cs="Segoe UI"/>
          <w:color w:val="0D0D0D"/>
          <w:lang w:val="en-GB"/>
        </w:rPr>
        <w:t>.</w:t>
      </w:r>
    </w:p>
    <w:p w14:paraId="275F8D27" w14:textId="59D0BD8B" w:rsidR="00003C12" w:rsidRDefault="00003C12">
      <w:pPr>
        <w:rPr>
          <w:rFonts w:ascii="Segoe UI" w:hAnsi="Segoe UI" w:cs="Segoe UI"/>
          <w:color w:val="0D0D0D"/>
          <w:lang w:val="en-GB"/>
        </w:rPr>
      </w:pPr>
      <w:r>
        <w:rPr>
          <w:rFonts w:ascii="Segoe UI" w:hAnsi="Segoe UI" w:cs="Segoe UI"/>
          <w:color w:val="0D0D0D"/>
        </w:rPr>
        <w:t>XI. Sustainability Practices</w:t>
      </w:r>
      <w:r>
        <w:rPr>
          <w:rFonts w:ascii="Segoe UI" w:hAnsi="Segoe UI" w:cs="Segoe UI"/>
          <w:color w:val="0D0D0D"/>
          <w:lang w:val="en-GB"/>
        </w:rPr>
        <w:t>:</w:t>
      </w:r>
    </w:p>
    <w:p w14:paraId="1D835C44" w14:textId="30B218DA" w:rsidR="00003C12" w:rsidRDefault="00003C12">
      <w:pPr>
        <w:rPr>
          <w:rFonts w:ascii="Segoe UI" w:hAnsi="Segoe UI" w:cs="Segoe UI"/>
          <w:color w:val="0D0D0D"/>
          <w:lang w:val="en-GB"/>
        </w:rPr>
      </w:pPr>
      <w:r>
        <w:rPr>
          <w:rFonts w:ascii="Segoe UI" w:hAnsi="Segoe UI" w:cs="Segoe UI"/>
          <w:color w:val="0D0D0D"/>
        </w:rPr>
        <w:t>Incorporate sustainability practices into response strategies, considering environmental impacts and social responsibility. Define metrics for evaluating the integration of sustainable practices, such as resource conservation, waste reduction, and community support initiatives</w:t>
      </w:r>
      <w:r>
        <w:rPr>
          <w:rFonts w:ascii="Segoe UI" w:hAnsi="Segoe UI" w:cs="Segoe UI"/>
          <w:color w:val="0D0D0D"/>
          <w:lang w:val="en-GB"/>
        </w:rPr>
        <w:t>.</w:t>
      </w:r>
    </w:p>
    <w:p w14:paraId="57CC0304" w14:textId="38F66AF8" w:rsidR="00003C12" w:rsidRDefault="00003C12">
      <w:pPr>
        <w:rPr>
          <w:rFonts w:ascii="Segoe UI" w:hAnsi="Segoe UI" w:cs="Segoe UI"/>
          <w:color w:val="0D0D0D"/>
          <w:lang w:val="en-GB"/>
        </w:rPr>
      </w:pPr>
      <w:r>
        <w:rPr>
          <w:rFonts w:ascii="Segoe UI" w:hAnsi="Segoe UI" w:cs="Segoe UI"/>
          <w:color w:val="0D0D0D"/>
        </w:rPr>
        <w:t>XII. Conclusion</w:t>
      </w:r>
      <w:r>
        <w:rPr>
          <w:rFonts w:ascii="Segoe UI" w:hAnsi="Segoe UI" w:cs="Segoe UI"/>
          <w:color w:val="0D0D0D"/>
          <w:lang w:val="en-GB"/>
        </w:rPr>
        <w:t>:</w:t>
      </w:r>
    </w:p>
    <w:p w14:paraId="677B9B6E" w14:textId="2898C731" w:rsidR="00003C12" w:rsidRDefault="00003C12">
      <w:pPr>
        <w:rPr>
          <w:rFonts w:ascii="Segoe UI" w:hAnsi="Segoe UI" w:cs="Segoe UI"/>
          <w:color w:val="0D0D0D"/>
          <w:lang w:val="en-GB"/>
        </w:rPr>
      </w:pPr>
      <w:r>
        <w:rPr>
          <w:rFonts w:ascii="Segoe UI" w:hAnsi="Segoe UI" w:cs="Segoe UI"/>
          <w:color w:val="0D0D0D"/>
          <w:shd w:val="clear" w:color="auto" w:fill="FFFFFF"/>
        </w:rPr>
        <w:t>This comprehensive contingency plan integrates specific measures for data security, supply chain continuity, flexibility, adaptability, continuous improvement culture, legal considerations, employee well-being, and sustainability practices. Regular evaluations and updates ensure ongoing effectiveness and adaptability in a dynamic business environment</w:t>
      </w:r>
    </w:p>
    <w:p w14:paraId="18311623" w14:textId="77777777" w:rsidR="00003C12" w:rsidRPr="00003C12" w:rsidRDefault="00003C12">
      <w:pPr>
        <w:rPr>
          <w:rFonts w:ascii="Segoe UI" w:hAnsi="Segoe UI" w:cs="Segoe UI"/>
          <w:color w:val="0D0D0D"/>
          <w:lang w:val="en-GB"/>
        </w:rPr>
      </w:pPr>
    </w:p>
    <w:p w14:paraId="487E7E14" w14:textId="77777777" w:rsidR="00003C12" w:rsidRPr="00003C12" w:rsidRDefault="00003C12">
      <w:pPr>
        <w:rPr>
          <w:rFonts w:ascii="Segoe UI" w:hAnsi="Segoe UI" w:cs="Segoe UI"/>
          <w:color w:val="0D0D0D"/>
          <w:lang w:val="en-GB"/>
        </w:rPr>
      </w:pPr>
    </w:p>
    <w:p w14:paraId="70ED0DA2" w14:textId="77777777" w:rsidR="00247560" w:rsidRPr="00247560" w:rsidRDefault="00247560">
      <w:pPr>
        <w:rPr>
          <w:rFonts w:ascii="Segoe UI" w:hAnsi="Segoe UI" w:cs="Segoe UI"/>
          <w:color w:val="0D0D0D"/>
          <w:shd w:val="clear" w:color="auto" w:fill="FFFFFF"/>
          <w:lang w:val="en-GB"/>
        </w:rPr>
      </w:pPr>
    </w:p>
    <w:p w14:paraId="4AB00225" w14:textId="77777777" w:rsidR="00247560" w:rsidRPr="00247560" w:rsidRDefault="00247560">
      <w:pPr>
        <w:rPr>
          <w:rFonts w:ascii="Segoe UI" w:hAnsi="Segoe UI" w:cs="Segoe UI"/>
          <w:color w:val="0D0D0D"/>
          <w:shd w:val="clear" w:color="auto" w:fill="FFFFFF"/>
          <w:lang w:val="en-GB"/>
        </w:rPr>
      </w:pPr>
    </w:p>
    <w:p w14:paraId="0F8A6355" w14:textId="77777777" w:rsidR="00247560" w:rsidRDefault="00247560">
      <w:pPr>
        <w:rPr>
          <w:b/>
          <w:bCs/>
          <w:sz w:val="28"/>
          <w:szCs w:val="28"/>
          <w:lang w:val="en-GB"/>
        </w:rPr>
      </w:pPr>
    </w:p>
    <w:p w14:paraId="0904E69A" w14:textId="77777777" w:rsidR="00E122A7" w:rsidRPr="00E122A7" w:rsidRDefault="00E122A7" w:rsidP="00E122A7">
      <w:pPr>
        <w:pStyle w:val="ListParagraph"/>
        <w:ind w:left="770"/>
        <w:rPr>
          <w:sz w:val="24"/>
          <w:szCs w:val="24"/>
          <w:lang w:val="en-GB"/>
        </w:rPr>
      </w:pPr>
    </w:p>
    <w:sectPr w:rsidR="00E122A7" w:rsidRPr="00E122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9D5F8" w14:textId="77777777" w:rsidR="00646BBA" w:rsidRDefault="00646BBA" w:rsidP="00D233F2">
      <w:pPr>
        <w:spacing w:after="0" w:line="240" w:lineRule="auto"/>
      </w:pPr>
      <w:r>
        <w:separator/>
      </w:r>
    </w:p>
  </w:endnote>
  <w:endnote w:type="continuationSeparator" w:id="0">
    <w:p w14:paraId="2BA787AF" w14:textId="77777777" w:rsidR="00646BBA" w:rsidRDefault="00646BBA" w:rsidP="00D23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8A987" w14:textId="77777777" w:rsidR="00646BBA" w:rsidRDefault="00646BBA" w:rsidP="00D233F2">
      <w:pPr>
        <w:spacing w:after="0" w:line="240" w:lineRule="auto"/>
      </w:pPr>
      <w:r>
        <w:separator/>
      </w:r>
    </w:p>
  </w:footnote>
  <w:footnote w:type="continuationSeparator" w:id="0">
    <w:p w14:paraId="18DE5C21" w14:textId="77777777" w:rsidR="00646BBA" w:rsidRDefault="00646BBA" w:rsidP="00D233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0FD5"/>
    <w:multiLevelType w:val="multilevel"/>
    <w:tmpl w:val="0526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107CC5"/>
    <w:multiLevelType w:val="multilevel"/>
    <w:tmpl w:val="DE78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B71647"/>
    <w:multiLevelType w:val="multilevel"/>
    <w:tmpl w:val="BAE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243F53"/>
    <w:multiLevelType w:val="multilevel"/>
    <w:tmpl w:val="43B4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CF7CB8"/>
    <w:multiLevelType w:val="hybridMultilevel"/>
    <w:tmpl w:val="DD2A22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963BFC"/>
    <w:multiLevelType w:val="multilevel"/>
    <w:tmpl w:val="FCE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705DF3"/>
    <w:multiLevelType w:val="multilevel"/>
    <w:tmpl w:val="F6FC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005DBE"/>
    <w:multiLevelType w:val="hybridMultilevel"/>
    <w:tmpl w:val="305219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C55510D"/>
    <w:multiLevelType w:val="multilevel"/>
    <w:tmpl w:val="2CF8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43FC4"/>
    <w:multiLevelType w:val="multilevel"/>
    <w:tmpl w:val="1AF0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164AAE"/>
    <w:multiLevelType w:val="multilevel"/>
    <w:tmpl w:val="6C2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305F82"/>
    <w:multiLevelType w:val="multilevel"/>
    <w:tmpl w:val="923A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B121189"/>
    <w:multiLevelType w:val="multilevel"/>
    <w:tmpl w:val="AFD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336C08"/>
    <w:multiLevelType w:val="multilevel"/>
    <w:tmpl w:val="684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B44721"/>
    <w:multiLevelType w:val="hybridMultilevel"/>
    <w:tmpl w:val="2B303658"/>
    <w:lvl w:ilvl="0" w:tplc="20000001">
      <w:start w:val="1"/>
      <w:numFmt w:val="bullet"/>
      <w:lvlText w:val=""/>
      <w:lvlJc w:val="left"/>
      <w:pPr>
        <w:ind w:left="770" w:hanging="360"/>
      </w:pPr>
      <w:rPr>
        <w:rFonts w:ascii="Symbol" w:hAnsi="Symbol" w:hint="default"/>
      </w:rPr>
    </w:lvl>
    <w:lvl w:ilvl="1" w:tplc="20000003" w:tentative="1">
      <w:start w:val="1"/>
      <w:numFmt w:val="bullet"/>
      <w:lvlText w:val="o"/>
      <w:lvlJc w:val="left"/>
      <w:pPr>
        <w:ind w:left="1490" w:hanging="360"/>
      </w:pPr>
      <w:rPr>
        <w:rFonts w:ascii="Courier New" w:hAnsi="Courier New" w:cs="Courier New" w:hint="default"/>
      </w:rPr>
    </w:lvl>
    <w:lvl w:ilvl="2" w:tplc="20000005" w:tentative="1">
      <w:start w:val="1"/>
      <w:numFmt w:val="bullet"/>
      <w:lvlText w:val=""/>
      <w:lvlJc w:val="left"/>
      <w:pPr>
        <w:ind w:left="2210" w:hanging="360"/>
      </w:pPr>
      <w:rPr>
        <w:rFonts w:ascii="Wingdings" w:hAnsi="Wingdings" w:hint="default"/>
      </w:rPr>
    </w:lvl>
    <w:lvl w:ilvl="3" w:tplc="20000001" w:tentative="1">
      <w:start w:val="1"/>
      <w:numFmt w:val="bullet"/>
      <w:lvlText w:val=""/>
      <w:lvlJc w:val="left"/>
      <w:pPr>
        <w:ind w:left="2930" w:hanging="360"/>
      </w:pPr>
      <w:rPr>
        <w:rFonts w:ascii="Symbol" w:hAnsi="Symbol" w:hint="default"/>
      </w:rPr>
    </w:lvl>
    <w:lvl w:ilvl="4" w:tplc="20000003" w:tentative="1">
      <w:start w:val="1"/>
      <w:numFmt w:val="bullet"/>
      <w:lvlText w:val="o"/>
      <w:lvlJc w:val="left"/>
      <w:pPr>
        <w:ind w:left="3650" w:hanging="360"/>
      </w:pPr>
      <w:rPr>
        <w:rFonts w:ascii="Courier New" w:hAnsi="Courier New" w:cs="Courier New" w:hint="default"/>
      </w:rPr>
    </w:lvl>
    <w:lvl w:ilvl="5" w:tplc="20000005" w:tentative="1">
      <w:start w:val="1"/>
      <w:numFmt w:val="bullet"/>
      <w:lvlText w:val=""/>
      <w:lvlJc w:val="left"/>
      <w:pPr>
        <w:ind w:left="4370" w:hanging="360"/>
      </w:pPr>
      <w:rPr>
        <w:rFonts w:ascii="Wingdings" w:hAnsi="Wingdings" w:hint="default"/>
      </w:rPr>
    </w:lvl>
    <w:lvl w:ilvl="6" w:tplc="20000001" w:tentative="1">
      <w:start w:val="1"/>
      <w:numFmt w:val="bullet"/>
      <w:lvlText w:val=""/>
      <w:lvlJc w:val="left"/>
      <w:pPr>
        <w:ind w:left="5090" w:hanging="360"/>
      </w:pPr>
      <w:rPr>
        <w:rFonts w:ascii="Symbol" w:hAnsi="Symbol" w:hint="default"/>
      </w:rPr>
    </w:lvl>
    <w:lvl w:ilvl="7" w:tplc="20000003" w:tentative="1">
      <w:start w:val="1"/>
      <w:numFmt w:val="bullet"/>
      <w:lvlText w:val="o"/>
      <w:lvlJc w:val="left"/>
      <w:pPr>
        <w:ind w:left="5810" w:hanging="360"/>
      </w:pPr>
      <w:rPr>
        <w:rFonts w:ascii="Courier New" w:hAnsi="Courier New" w:cs="Courier New" w:hint="default"/>
      </w:rPr>
    </w:lvl>
    <w:lvl w:ilvl="8" w:tplc="20000005" w:tentative="1">
      <w:start w:val="1"/>
      <w:numFmt w:val="bullet"/>
      <w:lvlText w:val=""/>
      <w:lvlJc w:val="left"/>
      <w:pPr>
        <w:ind w:left="6530" w:hanging="360"/>
      </w:pPr>
      <w:rPr>
        <w:rFonts w:ascii="Wingdings" w:hAnsi="Wingdings" w:hint="default"/>
      </w:rPr>
    </w:lvl>
  </w:abstractNum>
  <w:abstractNum w:abstractNumId="15" w15:restartNumberingAfterBreak="0">
    <w:nsid w:val="64431FAA"/>
    <w:multiLevelType w:val="multilevel"/>
    <w:tmpl w:val="D88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DF0C29"/>
    <w:multiLevelType w:val="multilevel"/>
    <w:tmpl w:val="7D02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712513"/>
    <w:multiLevelType w:val="multilevel"/>
    <w:tmpl w:val="24C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096A5A"/>
    <w:multiLevelType w:val="multilevel"/>
    <w:tmpl w:val="7B8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9A0FF6"/>
    <w:multiLevelType w:val="multilevel"/>
    <w:tmpl w:val="F3F2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77AC5"/>
    <w:multiLevelType w:val="hybridMultilevel"/>
    <w:tmpl w:val="57FCBFA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7F9A1636"/>
    <w:multiLevelType w:val="multilevel"/>
    <w:tmpl w:val="9BDE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0472571">
    <w:abstractNumId w:val="7"/>
  </w:num>
  <w:num w:numId="2" w16cid:durableId="822966816">
    <w:abstractNumId w:val="13"/>
  </w:num>
  <w:num w:numId="3" w16cid:durableId="1252273270">
    <w:abstractNumId w:val="14"/>
  </w:num>
  <w:num w:numId="4" w16cid:durableId="2022930272">
    <w:abstractNumId w:val="20"/>
  </w:num>
  <w:num w:numId="5" w16cid:durableId="1038899583">
    <w:abstractNumId w:val="4"/>
  </w:num>
  <w:num w:numId="6" w16cid:durableId="1465124756">
    <w:abstractNumId w:val="19"/>
  </w:num>
  <w:num w:numId="7" w16cid:durableId="900864374">
    <w:abstractNumId w:val="8"/>
  </w:num>
  <w:num w:numId="8" w16cid:durableId="546645512">
    <w:abstractNumId w:val="11"/>
  </w:num>
  <w:num w:numId="9" w16cid:durableId="1065570588">
    <w:abstractNumId w:val="10"/>
  </w:num>
  <w:num w:numId="10" w16cid:durableId="1622834974">
    <w:abstractNumId w:val="12"/>
  </w:num>
  <w:num w:numId="11" w16cid:durableId="1059552927">
    <w:abstractNumId w:val="18"/>
  </w:num>
  <w:num w:numId="12" w16cid:durableId="331445316">
    <w:abstractNumId w:val="21"/>
  </w:num>
  <w:num w:numId="13" w16cid:durableId="1969506371">
    <w:abstractNumId w:val="3"/>
  </w:num>
  <w:num w:numId="14" w16cid:durableId="74516200">
    <w:abstractNumId w:val="16"/>
  </w:num>
  <w:num w:numId="15" w16cid:durableId="1484739464">
    <w:abstractNumId w:val="2"/>
  </w:num>
  <w:num w:numId="16" w16cid:durableId="889271395">
    <w:abstractNumId w:val="9"/>
  </w:num>
  <w:num w:numId="17" w16cid:durableId="986973322">
    <w:abstractNumId w:val="17"/>
  </w:num>
  <w:num w:numId="18" w16cid:durableId="1788426904">
    <w:abstractNumId w:val="15"/>
  </w:num>
  <w:num w:numId="19" w16cid:durableId="1737698658">
    <w:abstractNumId w:val="0"/>
  </w:num>
  <w:num w:numId="20" w16cid:durableId="723677409">
    <w:abstractNumId w:val="6"/>
  </w:num>
  <w:num w:numId="21" w16cid:durableId="801725455">
    <w:abstractNumId w:val="5"/>
  </w:num>
  <w:num w:numId="22" w16cid:durableId="154679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E33"/>
    <w:rsid w:val="00003C12"/>
    <w:rsid w:val="0000691B"/>
    <w:rsid w:val="00247560"/>
    <w:rsid w:val="003A0D3C"/>
    <w:rsid w:val="00413BA8"/>
    <w:rsid w:val="004A3716"/>
    <w:rsid w:val="005D1E33"/>
    <w:rsid w:val="005F2359"/>
    <w:rsid w:val="00646BBA"/>
    <w:rsid w:val="007E5D0F"/>
    <w:rsid w:val="00A132E0"/>
    <w:rsid w:val="00BD6750"/>
    <w:rsid w:val="00D233F2"/>
    <w:rsid w:val="00E122A7"/>
    <w:rsid w:val="00F10C3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5C41"/>
  <w15:chartTrackingRefBased/>
  <w15:docId w15:val="{1D96E319-36BD-4DE5-8EE7-9C73619B4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A37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3A0D3C"/>
    <w:pPr>
      <w:spacing w:before="100" w:beforeAutospacing="1" w:after="100" w:afterAutospacing="1" w:line="240" w:lineRule="auto"/>
      <w:outlineLvl w:val="3"/>
    </w:pPr>
    <w:rPr>
      <w:rFonts w:ascii="Times New Roman" w:eastAsia="Times New Roman" w:hAnsi="Times New Roman" w:cs="Times New Roman"/>
      <w:b/>
      <w:bCs/>
      <w:kern w:val="0"/>
      <w:sz w:val="24"/>
      <w:szCs w:val="24"/>
      <w:lang w:val="en-NG"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33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33F2"/>
  </w:style>
  <w:style w:type="paragraph" w:styleId="Footer">
    <w:name w:val="footer"/>
    <w:basedOn w:val="Normal"/>
    <w:link w:val="FooterChar"/>
    <w:uiPriority w:val="99"/>
    <w:unhideWhenUsed/>
    <w:rsid w:val="00D233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33F2"/>
  </w:style>
  <w:style w:type="paragraph" w:styleId="ListParagraph">
    <w:name w:val="List Paragraph"/>
    <w:basedOn w:val="Normal"/>
    <w:uiPriority w:val="34"/>
    <w:qFormat/>
    <w:rsid w:val="003A0D3C"/>
    <w:pPr>
      <w:ind w:left="720"/>
      <w:contextualSpacing/>
    </w:pPr>
  </w:style>
  <w:style w:type="paragraph" w:styleId="NormalWeb">
    <w:name w:val="Normal (Web)"/>
    <w:basedOn w:val="Normal"/>
    <w:uiPriority w:val="99"/>
    <w:semiHidden/>
    <w:unhideWhenUsed/>
    <w:rsid w:val="003A0D3C"/>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character" w:styleId="Strong">
    <w:name w:val="Strong"/>
    <w:basedOn w:val="DefaultParagraphFont"/>
    <w:uiPriority w:val="22"/>
    <w:qFormat/>
    <w:rsid w:val="003A0D3C"/>
    <w:rPr>
      <w:b/>
      <w:bCs/>
    </w:rPr>
  </w:style>
  <w:style w:type="character" w:customStyle="1" w:styleId="Heading4Char">
    <w:name w:val="Heading 4 Char"/>
    <w:basedOn w:val="DefaultParagraphFont"/>
    <w:link w:val="Heading4"/>
    <w:uiPriority w:val="9"/>
    <w:rsid w:val="003A0D3C"/>
    <w:rPr>
      <w:rFonts w:ascii="Times New Roman" w:eastAsia="Times New Roman" w:hAnsi="Times New Roman" w:cs="Times New Roman"/>
      <w:b/>
      <w:bCs/>
      <w:kern w:val="0"/>
      <w:sz w:val="24"/>
      <w:szCs w:val="24"/>
      <w:lang w:val="en-NG" w:eastAsia="en-NG"/>
      <w14:ligatures w14:val="none"/>
    </w:rPr>
  </w:style>
  <w:style w:type="character" w:customStyle="1" w:styleId="Heading3Char">
    <w:name w:val="Heading 3 Char"/>
    <w:basedOn w:val="DefaultParagraphFont"/>
    <w:link w:val="Heading3"/>
    <w:uiPriority w:val="9"/>
    <w:semiHidden/>
    <w:rsid w:val="004A371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72909">
      <w:bodyDiv w:val="1"/>
      <w:marLeft w:val="0"/>
      <w:marRight w:val="0"/>
      <w:marTop w:val="0"/>
      <w:marBottom w:val="0"/>
      <w:divBdr>
        <w:top w:val="none" w:sz="0" w:space="0" w:color="auto"/>
        <w:left w:val="none" w:sz="0" w:space="0" w:color="auto"/>
        <w:bottom w:val="none" w:sz="0" w:space="0" w:color="auto"/>
        <w:right w:val="none" w:sz="0" w:space="0" w:color="auto"/>
      </w:divBdr>
    </w:div>
    <w:div w:id="296575011">
      <w:bodyDiv w:val="1"/>
      <w:marLeft w:val="0"/>
      <w:marRight w:val="0"/>
      <w:marTop w:val="0"/>
      <w:marBottom w:val="0"/>
      <w:divBdr>
        <w:top w:val="none" w:sz="0" w:space="0" w:color="auto"/>
        <w:left w:val="none" w:sz="0" w:space="0" w:color="auto"/>
        <w:bottom w:val="none" w:sz="0" w:space="0" w:color="auto"/>
        <w:right w:val="none" w:sz="0" w:space="0" w:color="auto"/>
      </w:divBdr>
    </w:div>
    <w:div w:id="522326529">
      <w:bodyDiv w:val="1"/>
      <w:marLeft w:val="0"/>
      <w:marRight w:val="0"/>
      <w:marTop w:val="0"/>
      <w:marBottom w:val="0"/>
      <w:divBdr>
        <w:top w:val="none" w:sz="0" w:space="0" w:color="auto"/>
        <w:left w:val="none" w:sz="0" w:space="0" w:color="auto"/>
        <w:bottom w:val="none" w:sz="0" w:space="0" w:color="auto"/>
        <w:right w:val="none" w:sz="0" w:space="0" w:color="auto"/>
      </w:divBdr>
    </w:div>
    <w:div w:id="713965336">
      <w:bodyDiv w:val="1"/>
      <w:marLeft w:val="0"/>
      <w:marRight w:val="0"/>
      <w:marTop w:val="0"/>
      <w:marBottom w:val="0"/>
      <w:divBdr>
        <w:top w:val="none" w:sz="0" w:space="0" w:color="auto"/>
        <w:left w:val="none" w:sz="0" w:space="0" w:color="auto"/>
        <w:bottom w:val="none" w:sz="0" w:space="0" w:color="auto"/>
        <w:right w:val="none" w:sz="0" w:space="0" w:color="auto"/>
      </w:divBdr>
    </w:div>
    <w:div w:id="1012032477">
      <w:bodyDiv w:val="1"/>
      <w:marLeft w:val="0"/>
      <w:marRight w:val="0"/>
      <w:marTop w:val="0"/>
      <w:marBottom w:val="0"/>
      <w:divBdr>
        <w:top w:val="none" w:sz="0" w:space="0" w:color="auto"/>
        <w:left w:val="none" w:sz="0" w:space="0" w:color="auto"/>
        <w:bottom w:val="none" w:sz="0" w:space="0" w:color="auto"/>
        <w:right w:val="none" w:sz="0" w:space="0" w:color="auto"/>
      </w:divBdr>
    </w:div>
    <w:div w:id="1034232037">
      <w:bodyDiv w:val="1"/>
      <w:marLeft w:val="0"/>
      <w:marRight w:val="0"/>
      <w:marTop w:val="0"/>
      <w:marBottom w:val="0"/>
      <w:divBdr>
        <w:top w:val="none" w:sz="0" w:space="0" w:color="auto"/>
        <w:left w:val="none" w:sz="0" w:space="0" w:color="auto"/>
        <w:bottom w:val="none" w:sz="0" w:space="0" w:color="auto"/>
        <w:right w:val="none" w:sz="0" w:space="0" w:color="auto"/>
      </w:divBdr>
    </w:div>
    <w:div w:id="1076977624">
      <w:bodyDiv w:val="1"/>
      <w:marLeft w:val="0"/>
      <w:marRight w:val="0"/>
      <w:marTop w:val="0"/>
      <w:marBottom w:val="0"/>
      <w:divBdr>
        <w:top w:val="none" w:sz="0" w:space="0" w:color="auto"/>
        <w:left w:val="none" w:sz="0" w:space="0" w:color="auto"/>
        <w:bottom w:val="none" w:sz="0" w:space="0" w:color="auto"/>
        <w:right w:val="none" w:sz="0" w:space="0" w:color="auto"/>
      </w:divBdr>
    </w:div>
    <w:div w:id="1207571849">
      <w:bodyDiv w:val="1"/>
      <w:marLeft w:val="0"/>
      <w:marRight w:val="0"/>
      <w:marTop w:val="0"/>
      <w:marBottom w:val="0"/>
      <w:divBdr>
        <w:top w:val="none" w:sz="0" w:space="0" w:color="auto"/>
        <w:left w:val="none" w:sz="0" w:space="0" w:color="auto"/>
        <w:bottom w:val="none" w:sz="0" w:space="0" w:color="auto"/>
        <w:right w:val="none" w:sz="0" w:space="0" w:color="auto"/>
      </w:divBdr>
    </w:div>
    <w:div w:id="1499728695">
      <w:bodyDiv w:val="1"/>
      <w:marLeft w:val="0"/>
      <w:marRight w:val="0"/>
      <w:marTop w:val="0"/>
      <w:marBottom w:val="0"/>
      <w:divBdr>
        <w:top w:val="none" w:sz="0" w:space="0" w:color="auto"/>
        <w:left w:val="none" w:sz="0" w:space="0" w:color="auto"/>
        <w:bottom w:val="none" w:sz="0" w:space="0" w:color="auto"/>
        <w:right w:val="none" w:sz="0" w:space="0" w:color="auto"/>
      </w:divBdr>
    </w:div>
    <w:div w:id="1570264571">
      <w:bodyDiv w:val="1"/>
      <w:marLeft w:val="0"/>
      <w:marRight w:val="0"/>
      <w:marTop w:val="0"/>
      <w:marBottom w:val="0"/>
      <w:divBdr>
        <w:top w:val="none" w:sz="0" w:space="0" w:color="auto"/>
        <w:left w:val="none" w:sz="0" w:space="0" w:color="auto"/>
        <w:bottom w:val="none" w:sz="0" w:space="0" w:color="auto"/>
        <w:right w:val="none" w:sz="0" w:space="0" w:color="auto"/>
      </w:divBdr>
    </w:div>
    <w:div w:id="1678462547">
      <w:bodyDiv w:val="1"/>
      <w:marLeft w:val="0"/>
      <w:marRight w:val="0"/>
      <w:marTop w:val="0"/>
      <w:marBottom w:val="0"/>
      <w:divBdr>
        <w:top w:val="none" w:sz="0" w:space="0" w:color="auto"/>
        <w:left w:val="none" w:sz="0" w:space="0" w:color="auto"/>
        <w:bottom w:val="none" w:sz="0" w:space="0" w:color="auto"/>
        <w:right w:val="none" w:sz="0" w:space="0" w:color="auto"/>
      </w:divBdr>
    </w:div>
    <w:div w:id="1723405108">
      <w:bodyDiv w:val="1"/>
      <w:marLeft w:val="0"/>
      <w:marRight w:val="0"/>
      <w:marTop w:val="0"/>
      <w:marBottom w:val="0"/>
      <w:divBdr>
        <w:top w:val="none" w:sz="0" w:space="0" w:color="auto"/>
        <w:left w:val="none" w:sz="0" w:space="0" w:color="auto"/>
        <w:bottom w:val="none" w:sz="0" w:space="0" w:color="auto"/>
        <w:right w:val="none" w:sz="0" w:space="0" w:color="auto"/>
      </w:divBdr>
    </w:div>
    <w:div w:id="1734234508">
      <w:bodyDiv w:val="1"/>
      <w:marLeft w:val="0"/>
      <w:marRight w:val="0"/>
      <w:marTop w:val="0"/>
      <w:marBottom w:val="0"/>
      <w:divBdr>
        <w:top w:val="none" w:sz="0" w:space="0" w:color="auto"/>
        <w:left w:val="none" w:sz="0" w:space="0" w:color="auto"/>
        <w:bottom w:val="none" w:sz="0" w:space="0" w:color="auto"/>
        <w:right w:val="none" w:sz="0" w:space="0" w:color="auto"/>
      </w:divBdr>
    </w:div>
    <w:div w:id="1840999526">
      <w:bodyDiv w:val="1"/>
      <w:marLeft w:val="0"/>
      <w:marRight w:val="0"/>
      <w:marTop w:val="0"/>
      <w:marBottom w:val="0"/>
      <w:divBdr>
        <w:top w:val="none" w:sz="0" w:space="0" w:color="auto"/>
        <w:left w:val="none" w:sz="0" w:space="0" w:color="auto"/>
        <w:bottom w:val="none" w:sz="0" w:space="0" w:color="auto"/>
        <w:right w:val="none" w:sz="0" w:space="0" w:color="auto"/>
      </w:divBdr>
    </w:div>
    <w:div w:id="185973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662</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Fagbile</dc:creator>
  <cp:keywords/>
  <dc:description/>
  <cp:lastModifiedBy>Ayomide Fagbile</cp:lastModifiedBy>
  <cp:revision>22</cp:revision>
  <dcterms:created xsi:type="dcterms:W3CDTF">2024-02-08T08:38:00Z</dcterms:created>
  <dcterms:modified xsi:type="dcterms:W3CDTF">2024-02-08T11:09:00Z</dcterms:modified>
</cp:coreProperties>
</file>