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bookmarkStart w:id="0" w:name="_GoBack"/>
      <w:bookmarkEnd w:id="0"/>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5C16F9" w:rsidRDefault="005C16F9" w:rsidP="005C16F9">
      <w:pPr>
        <w:spacing w:line="360" w:lineRule="auto"/>
        <w:jc w:val="both"/>
        <w:rPr>
          <w:rFonts w:ascii="Times" w:hAnsi="Times"/>
          <w:color w:val="000000" w:themeColor="text1"/>
          <w:sz w:val="32"/>
          <w:szCs w:val="32"/>
        </w:rPr>
      </w:pPr>
      <w:r w:rsidRPr="005C16F9">
        <w:rPr>
          <w:rFonts w:ascii="Times" w:hAnsi="Time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3F740475" w14:textId="06438DC6"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in 2007, the Texas Medical Board adopted regulations with regards to treating pain with controlled substances. The guidelines include performing a patient evaluation before prescribing opioids obtaining informed consent from the patient for opioid treatment, conduct periodic review of the opioid treatment, and maintain a complete medical record of the patient's treatment</w:t>
      </w:r>
    </w:p>
    <w:p w14:paraId="68A2940F" w14:textId="77777777" w:rsidR="00B55C9F" w:rsidRPr="005C16F9" w:rsidRDefault="00B55C9F" w:rsidP="005C16F9">
      <w:pPr>
        <w:spacing w:line="360" w:lineRule="auto"/>
        <w:jc w:val="both"/>
        <w:rPr>
          <w:rFonts w:ascii="Times" w:hAnsi="Times"/>
          <w:color w:val="000000" w:themeColor="text1"/>
        </w:rPr>
      </w:pPr>
    </w:p>
    <w:p w14:paraId="43D52D86" w14:textId="0C510835" w:rsidR="005C16F9" w:rsidRPr="00351B38"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Pr="008B4BC2">
        <w:rPr>
          <w:rFonts w:ascii="Times" w:hAnsi="Times"/>
          <w:color w:val="000000" w:themeColor="text1"/>
        </w:rPr>
        <w:t>regarding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4016E6F4"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Pr>
          <w:rFonts w:ascii="Times" w:eastAsia="Times New Roman" w:hAnsi="Times" w:cs="Arial"/>
          <w:color w:val="000000" w:themeColor="text1"/>
        </w:rPr>
        <w:lastRenderedPageBreak/>
        <w:t>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49A700DF" w:rsidR="00506649"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77777777" w:rsidR="00B55C9F" w:rsidRPr="00860C6E" w:rsidRDefault="00B55C9F" w:rsidP="00506649">
      <w:pPr>
        <w:shd w:val="clear" w:color="auto" w:fill="FFFFFF"/>
        <w:spacing w:line="360" w:lineRule="auto"/>
        <w:jc w:val="both"/>
        <w:rPr>
          <w:rFonts w:ascii="Batang" w:eastAsia="Batang" w:hAnsi="Batang" w:cs="Batang"/>
          <w:color w:val="000000" w:themeColor="text1"/>
          <w:lang w:eastAsia="ko-KR"/>
        </w:rPr>
      </w:pPr>
    </w:p>
    <w:p w14:paraId="361C376C" w14:textId="60536607" w:rsidR="004C3135"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p w14:paraId="7A7E16D9" w14:textId="77777777" w:rsidR="00DF7EC7" w:rsidRPr="002846BC" w:rsidRDefault="00DF7EC7" w:rsidP="004C3135">
      <w:pPr>
        <w:shd w:val="clear" w:color="auto" w:fill="FFFFFF"/>
        <w:jc w:val="center"/>
        <w:rPr>
          <w:rFonts w:ascii="Times" w:eastAsia="Times New Roman" w:hAnsi="Times" w:cs="Arial"/>
          <w:i/>
          <w:iCs/>
          <w:color w:val="000000" w:themeColor="text1"/>
          <w:sz w:val="22"/>
          <w:szCs w:val="22"/>
        </w:rPr>
      </w:pP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121F3B16"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2159A5" w:rsidRDefault="00D8364B" w:rsidP="00D8364B">
      <w:pPr>
        <w:spacing w:line="360" w:lineRule="auto"/>
        <w:rPr>
          <w:rFonts w:ascii="Times" w:hAnsi="Times"/>
          <w:b/>
          <w:bCs/>
        </w:rPr>
      </w:pPr>
      <w:r w:rsidRPr="002159A5">
        <w:rPr>
          <w:rFonts w:ascii="Times" w:hAnsi="Times"/>
          <w:b/>
          <w:bCs/>
        </w:rPr>
        <w:t xml:space="preserve">Mortality Rate of Opioid Overdose </w:t>
      </w:r>
    </w:p>
    <w:p w14:paraId="4286A092" w14:textId="01487765" w:rsidR="008611E9"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number of fatalities among the counties </w:t>
      </w:r>
      <w:r w:rsidR="00DF0671">
        <w:rPr>
          <w:rFonts w:ascii="Times" w:hAnsi="Times"/>
        </w:rPr>
        <w:t>was</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 of 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 xml:space="preserve">64.82 per 100,000 people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rates between the control states with no policy and the policy-implemented states. Overall, we observe a substantial rise in deathrates for states without policies compared to states with policies.</w:t>
      </w:r>
    </w:p>
    <w:p w14:paraId="611ECB82" w14:textId="026B0F3E" w:rsidR="00B55C9F" w:rsidRDefault="00B55C9F" w:rsidP="00B55C9F">
      <w:pP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sidR="00914D89">
        <w:rPr>
          <w:rFonts w:ascii="Times" w:hAnsi="Times"/>
          <w:i/>
          <w:iCs/>
        </w:rPr>
        <w:t>1</w:t>
      </w:r>
      <w:r w:rsidRPr="00D8364B">
        <w:rPr>
          <w:rFonts w:ascii="Times" w:hAnsi="Times"/>
          <w:i/>
          <w:iCs/>
        </w:rPr>
        <w:t xml:space="preserve">: Shows a general trend of deathrates </w:t>
      </w:r>
      <w:r>
        <w:rPr>
          <w:rFonts w:ascii="Times" w:hAnsi="Times"/>
          <w:i/>
          <w:iCs/>
        </w:rPr>
        <w:t xml:space="preserve">per 100,000 persons </w:t>
      </w:r>
      <w:r w:rsidRPr="00D8364B">
        <w:rPr>
          <w:rFonts w:ascii="Times" w:hAnsi="Times"/>
          <w:i/>
          <w:iCs/>
        </w:rPr>
        <w:t xml:space="preserve">between </w:t>
      </w:r>
      <w:r>
        <w:rPr>
          <w:rFonts w:ascii="Times" w:hAnsi="Times"/>
          <w:i/>
          <w:iCs/>
        </w:rPr>
        <w:t>states who had a policy in comparison to states who didn’t.</w:t>
      </w:r>
    </w:p>
    <w:p w14:paraId="754EC8F3" w14:textId="77777777" w:rsidR="00920E0B" w:rsidRPr="00D8364B" w:rsidRDefault="00920E0B" w:rsidP="00920E0B">
      <w:pPr>
        <w:spacing w:line="360" w:lineRule="auto"/>
        <w:rPr>
          <w:rFonts w:ascii="Times" w:hAnsi="Times"/>
        </w:rPr>
      </w:pPr>
    </w:p>
    <w:p w14:paraId="41836C45" w14:textId="64341854" w:rsidR="00050AD9" w:rsidRDefault="00920E0B" w:rsidP="00920E0B">
      <w:r w:rsidRPr="00920E0B">
        <w:rPr>
          <w:noProof/>
        </w:rPr>
        <w:drawing>
          <wp:inline distT="0" distB="0" distL="0" distR="0" wp14:anchorId="3D963C36" wp14:editId="2ADA1BE5">
            <wp:extent cx="37973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300" cy="3048000"/>
                    </a:xfrm>
                    <a:prstGeom prst="rect">
                      <a:avLst/>
                    </a:prstGeom>
                  </pic:spPr>
                </pic:pic>
              </a:graphicData>
            </a:graphic>
          </wp:inline>
        </w:drawing>
      </w:r>
    </w:p>
    <w:p w14:paraId="676B15ED" w14:textId="77777777" w:rsidR="008007A6" w:rsidRDefault="008007A6" w:rsidP="00247F9F">
      <w:pPr>
        <w:rPr>
          <w:sz w:val="28"/>
          <w:szCs w:val="28"/>
        </w:rPr>
      </w:pPr>
    </w:p>
    <w:p w14:paraId="7956C7D6" w14:textId="1EF2E5EA" w:rsidR="00247F9F" w:rsidRPr="00247F9F" w:rsidRDefault="00247F9F" w:rsidP="00247F9F">
      <w:pPr>
        <w:rPr>
          <w:sz w:val="28"/>
          <w:szCs w:val="28"/>
        </w:rPr>
      </w:pPr>
      <w:r w:rsidRPr="00247F9F">
        <w:rPr>
          <w:sz w:val="28"/>
          <w:szCs w:val="28"/>
        </w:rPr>
        <w:t xml:space="preserve">Opioids – Shipments </w:t>
      </w:r>
    </w:p>
    <w:p w14:paraId="34DB3D6F" w14:textId="77777777" w:rsidR="00247F9F" w:rsidRDefault="00247F9F" w:rsidP="00247F9F"/>
    <w:p w14:paraId="76FBC613" w14:textId="340D6F06" w:rsidR="00247F9F" w:rsidRDefault="00247F9F" w:rsidP="00247F9F">
      <w:r>
        <w:t xml:space="preserve">There are 67 counties in Florida with a mean opioid per capita of 495.12 and a standard deviation of 313.9. For Washington state, there about 39 counties with a mean opioid’s shipment per capita of about 369.8. </w:t>
      </w:r>
      <w:r w:rsidR="008B4BC2">
        <w:t xml:space="preserve">The Opioids per capita for Washington did not seem to change significantly Compared to Florida. </w:t>
      </w:r>
      <w:r>
        <w:t xml:space="preserve">Below is a table showing </w:t>
      </w:r>
      <w:r w:rsidR="008B4BC2">
        <w:t xml:space="preserve">mean, median, min and Max </w:t>
      </w:r>
      <w:r>
        <w:t xml:space="preserve">Opioids per Capita for </w:t>
      </w:r>
      <w:r w:rsidR="00B55C9F">
        <w:t>Florida</w:t>
      </w:r>
      <w:r w:rsidR="008B4BC2">
        <w:t>.</w:t>
      </w:r>
    </w:p>
    <w:p w14:paraId="732E4BB6" w14:textId="77777777" w:rsidR="00B55C9F" w:rsidRPr="008B4BC2" w:rsidRDefault="00B55C9F" w:rsidP="00247F9F">
      <w:pPr>
        <w:rPr>
          <w:i/>
          <w:iCs/>
        </w:rPr>
      </w:pPr>
    </w:p>
    <w:p w14:paraId="33EAB559" w14:textId="6FAF7877" w:rsidR="00247F9F" w:rsidRPr="008B4BC2" w:rsidRDefault="00B55C9F" w:rsidP="00247F9F">
      <w:pPr>
        <w:rPr>
          <w:i/>
          <w:iCs/>
        </w:rPr>
      </w:pPr>
      <w:r w:rsidRPr="008B4BC2">
        <w:rPr>
          <w:i/>
          <w:iCs/>
        </w:rPr>
        <w:t>Table</w:t>
      </w:r>
      <w:r w:rsidR="008B4BC2" w:rsidRPr="008B4BC2">
        <w:rPr>
          <w:i/>
          <w:iCs/>
        </w:rPr>
        <w:t xml:space="preserve"> 2: Showing summary statistics of Opioids Per Capita in Florida.</w:t>
      </w:r>
    </w:p>
    <w:p w14:paraId="39AD56E1" w14:textId="77777777" w:rsidR="008B4BC2" w:rsidRDefault="008B4BC2" w:rsidP="00247F9F"/>
    <w:tbl>
      <w:tblPr>
        <w:tblW w:w="7879" w:type="dxa"/>
        <w:tblLook w:val="04A0" w:firstRow="1" w:lastRow="0" w:firstColumn="1" w:lastColumn="0" w:noHBand="0" w:noVBand="1"/>
      </w:tblPr>
      <w:tblGrid>
        <w:gridCol w:w="1651"/>
        <w:gridCol w:w="1651"/>
        <w:gridCol w:w="1123"/>
        <w:gridCol w:w="1206"/>
        <w:gridCol w:w="970"/>
        <w:gridCol w:w="1278"/>
      </w:tblGrid>
      <w:tr w:rsidR="00247F9F" w:rsidRPr="001D14DD" w14:paraId="5A5CFB3F" w14:textId="77777777" w:rsidTr="00247F9F">
        <w:trPr>
          <w:trHeight w:val="398"/>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BE748"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State</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6B2487BA"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Policy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7377CADA"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mean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55ADF6C5"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median</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DE0BADC"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min</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016D54DB"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max</w:t>
            </w:r>
          </w:p>
        </w:tc>
      </w:tr>
      <w:tr w:rsidR="00247F9F" w:rsidRPr="001D14DD" w14:paraId="40B844D9"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3C1F87B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Controls</w:t>
            </w:r>
          </w:p>
        </w:tc>
        <w:tc>
          <w:tcPr>
            <w:tcW w:w="1651" w:type="dxa"/>
            <w:tcBorders>
              <w:top w:val="nil"/>
              <w:left w:val="nil"/>
              <w:bottom w:val="single" w:sz="4" w:space="0" w:color="auto"/>
              <w:right w:val="single" w:sz="4" w:space="0" w:color="auto"/>
            </w:tcBorders>
            <w:shd w:val="clear" w:color="auto" w:fill="auto"/>
            <w:noWrap/>
            <w:vAlign w:val="bottom"/>
            <w:hideMark/>
          </w:tcPr>
          <w:p w14:paraId="20A73986"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4A5697AE"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418.36</w:t>
            </w:r>
          </w:p>
        </w:tc>
        <w:tc>
          <w:tcPr>
            <w:tcW w:w="1206" w:type="dxa"/>
            <w:tcBorders>
              <w:top w:val="nil"/>
              <w:left w:val="nil"/>
              <w:bottom w:val="single" w:sz="4" w:space="0" w:color="auto"/>
              <w:right w:val="single" w:sz="4" w:space="0" w:color="auto"/>
            </w:tcBorders>
            <w:shd w:val="clear" w:color="auto" w:fill="auto"/>
            <w:noWrap/>
            <w:vAlign w:val="bottom"/>
            <w:hideMark/>
          </w:tcPr>
          <w:p w14:paraId="7705CB6B"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382.16</w:t>
            </w:r>
          </w:p>
        </w:tc>
        <w:tc>
          <w:tcPr>
            <w:tcW w:w="970" w:type="dxa"/>
            <w:tcBorders>
              <w:top w:val="nil"/>
              <w:left w:val="nil"/>
              <w:bottom w:val="single" w:sz="4" w:space="0" w:color="auto"/>
              <w:right w:val="single" w:sz="4" w:space="0" w:color="auto"/>
            </w:tcBorders>
            <w:shd w:val="clear" w:color="auto" w:fill="auto"/>
            <w:noWrap/>
            <w:vAlign w:val="bottom"/>
            <w:hideMark/>
          </w:tcPr>
          <w:p w14:paraId="3459C69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54.65</w:t>
            </w:r>
          </w:p>
        </w:tc>
        <w:tc>
          <w:tcPr>
            <w:tcW w:w="1278" w:type="dxa"/>
            <w:tcBorders>
              <w:top w:val="nil"/>
              <w:left w:val="nil"/>
              <w:bottom w:val="single" w:sz="4" w:space="0" w:color="auto"/>
              <w:right w:val="single" w:sz="4" w:space="0" w:color="auto"/>
            </w:tcBorders>
            <w:shd w:val="clear" w:color="auto" w:fill="auto"/>
            <w:noWrap/>
            <w:vAlign w:val="bottom"/>
            <w:hideMark/>
          </w:tcPr>
          <w:p w14:paraId="7323D53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1721.50</w:t>
            </w:r>
          </w:p>
        </w:tc>
      </w:tr>
      <w:tr w:rsidR="00247F9F" w:rsidRPr="001D14DD" w14:paraId="3D6D805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783621F4"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4FC187C6"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4E8293C4"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325.31</w:t>
            </w:r>
          </w:p>
        </w:tc>
        <w:tc>
          <w:tcPr>
            <w:tcW w:w="1206" w:type="dxa"/>
            <w:tcBorders>
              <w:top w:val="nil"/>
              <w:left w:val="nil"/>
              <w:bottom w:val="single" w:sz="4" w:space="0" w:color="auto"/>
              <w:right w:val="single" w:sz="4" w:space="0" w:color="auto"/>
            </w:tcBorders>
            <w:shd w:val="clear" w:color="auto" w:fill="auto"/>
            <w:noWrap/>
            <w:vAlign w:val="bottom"/>
            <w:hideMark/>
          </w:tcPr>
          <w:p w14:paraId="026BA21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287.26</w:t>
            </w:r>
          </w:p>
        </w:tc>
        <w:tc>
          <w:tcPr>
            <w:tcW w:w="970" w:type="dxa"/>
            <w:tcBorders>
              <w:top w:val="nil"/>
              <w:left w:val="nil"/>
              <w:bottom w:val="single" w:sz="4" w:space="0" w:color="auto"/>
              <w:right w:val="single" w:sz="4" w:space="0" w:color="auto"/>
            </w:tcBorders>
            <w:shd w:val="clear" w:color="auto" w:fill="auto"/>
            <w:noWrap/>
            <w:vAlign w:val="bottom"/>
            <w:hideMark/>
          </w:tcPr>
          <w:p w14:paraId="7635342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41.79</w:t>
            </w:r>
          </w:p>
        </w:tc>
        <w:tc>
          <w:tcPr>
            <w:tcW w:w="1278" w:type="dxa"/>
            <w:tcBorders>
              <w:top w:val="nil"/>
              <w:left w:val="nil"/>
              <w:bottom w:val="single" w:sz="4" w:space="0" w:color="auto"/>
              <w:right w:val="single" w:sz="4" w:space="0" w:color="auto"/>
            </w:tcBorders>
            <w:shd w:val="clear" w:color="auto" w:fill="auto"/>
            <w:noWrap/>
            <w:vAlign w:val="bottom"/>
            <w:hideMark/>
          </w:tcPr>
          <w:p w14:paraId="721F7F8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1612.74</w:t>
            </w:r>
          </w:p>
        </w:tc>
      </w:tr>
      <w:tr w:rsidR="00247F9F" w:rsidRPr="001D14DD" w14:paraId="53986FE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2CE273E3"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Florida</w:t>
            </w:r>
          </w:p>
        </w:tc>
        <w:tc>
          <w:tcPr>
            <w:tcW w:w="1651" w:type="dxa"/>
            <w:tcBorders>
              <w:top w:val="nil"/>
              <w:left w:val="nil"/>
              <w:bottom w:val="single" w:sz="4" w:space="0" w:color="auto"/>
              <w:right w:val="single" w:sz="4" w:space="0" w:color="auto"/>
            </w:tcBorders>
            <w:shd w:val="clear" w:color="auto" w:fill="auto"/>
            <w:noWrap/>
            <w:vAlign w:val="bottom"/>
            <w:hideMark/>
          </w:tcPr>
          <w:p w14:paraId="068487DC" w14:textId="77777777" w:rsidR="00247F9F" w:rsidRPr="001D14DD" w:rsidRDefault="00247F9F" w:rsidP="00CD7B84">
            <w:pPr>
              <w:jc w:val="cente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255CC5D6"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533.20</w:t>
            </w:r>
          </w:p>
        </w:tc>
        <w:tc>
          <w:tcPr>
            <w:tcW w:w="1206" w:type="dxa"/>
            <w:tcBorders>
              <w:top w:val="nil"/>
              <w:left w:val="nil"/>
              <w:bottom w:val="single" w:sz="4" w:space="0" w:color="auto"/>
              <w:right w:val="single" w:sz="4" w:space="0" w:color="auto"/>
            </w:tcBorders>
            <w:shd w:val="clear" w:color="auto" w:fill="auto"/>
            <w:noWrap/>
            <w:vAlign w:val="bottom"/>
            <w:hideMark/>
          </w:tcPr>
          <w:p w14:paraId="731E5E15"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456.50</w:t>
            </w:r>
          </w:p>
        </w:tc>
        <w:tc>
          <w:tcPr>
            <w:tcW w:w="970" w:type="dxa"/>
            <w:tcBorders>
              <w:top w:val="nil"/>
              <w:left w:val="nil"/>
              <w:bottom w:val="single" w:sz="4" w:space="0" w:color="auto"/>
              <w:right w:val="single" w:sz="4" w:space="0" w:color="auto"/>
            </w:tcBorders>
            <w:shd w:val="clear" w:color="auto" w:fill="auto"/>
            <w:noWrap/>
            <w:vAlign w:val="bottom"/>
            <w:hideMark/>
          </w:tcPr>
          <w:p w14:paraId="6F0C466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71.36</w:t>
            </w:r>
          </w:p>
        </w:tc>
        <w:tc>
          <w:tcPr>
            <w:tcW w:w="1278" w:type="dxa"/>
            <w:tcBorders>
              <w:top w:val="nil"/>
              <w:left w:val="nil"/>
              <w:bottom w:val="single" w:sz="4" w:space="0" w:color="auto"/>
              <w:right w:val="single" w:sz="4" w:space="0" w:color="auto"/>
            </w:tcBorders>
            <w:shd w:val="clear" w:color="auto" w:fill="auto"/>
            <w:noWrap/>
            <w:vAlign w:val="bottom"/>
            <w:hideMark/>
          </w:tcPr>
          <w:p w14:paraId="44F70570"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2279.13</w:t>
            </w:r>
          </w:p>
        </w:tc>
      </w:tr>
      <w:tr w:rsidR="00247F9F" w:rsidRPr="001D14DD" w14:paraId="12CFCB6B"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1A0AD9E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2D57121F"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005EEB8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446.96</w:t>
            </w:r>
          </w:p>
        </w:tc>
        <w:tc>
          <w:tcPr>
            <w:tcW w:w="1206" w:type="dxa"/>
            <w:tcBorders>
              <w:top w:val="nil"/>
              <w:left w:val="nil"/>
              <w:bottom w:val="single" w:sz="4" w:space="0" w:color="auto"/>
              <w:right w:val="single" w:sz="4" w:space="0" w:color="auto"/>
            </w:tcBorders>
            <w:shd w:val="clear" w:color="auto" w:fill="auto"/>
            <w:noWrap/>
            <w:vAlign w:val="bottom"/>
            <w:hideMark/>
          </w:tcPr>
          <w:p w14:paraId="547D8F3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388.74</w:t>
            </w:r>
          </w:p>
        </w:tc>
        <w:tc>
          <w:tcPr>
            <w:tcW w:w="970" w:type="dxa"/>
            <w:tcBorders>
              <w:top w:val="nil"/>
              <w:left w:val="nil"/>
              <w:bottom w:val="single" w:sz="4" w:space="0" w:color="auto"/>
              <w:right w:val="single" w:sz="4" w:space="0" w:color="auto"/>
            </w:tcBorders>
            <w:shd w:val="clear" w:color="auto" w:fill="auto"/>
            <w:noWrap/>
            <w:vAlign w:val="bottom"/>
            <w:hideMark/>
          </w:tcPr>
          <w:p w14:paraId="6FEB817A"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78.45</w:t>
            </w:r>
          </w:p>
        </w:tc>
        <w:tc>
          <w:tcPr>
            <w:tcW w:w="1278" w:type="dxa"/>
            <w:tcBorders>
              <w:top w:val="nil"/>
              <w:left w:val="nil"/>
              <w:bottom w:val="single" w:sz="4" w:space="0" w:color="auto"/>
              <w:right w:val="single" w:sz="4" w:space="0" w:color="auto"/>
            </w:tcBorders>
            <w:shd w:val="clear" w:color="auto" w:fill="auto"/>
            <w:noWrap/>
            <w:vAlign w:val="bottom"/>
            <w:hideMark/>
          </w:tcPr>
          <w:p w14:paraId="38D30767"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1749.64</w:t>
            </w:r>
          </w:p>
        </w:tc>
      </w:tr>
    </w:tbl>
    <w:p w14:paraId="48BB88E9" w14:textId="77777777" w:rsidR="00247F9F" w:rsidRDefault="00247F9F" w:rsidP="00247F9F"/>
    <w:p w14:paraId="5D801F98" w14:textId="77777777" w:rsidR="00247F9F" w:rsidRDefault="00247F9F" w:rsidP="00247F9F">
      <w:r>
        <w:t>Looking at the table above, it appears as though the mean opioid shipment per capita increased slightly after the policy was implemented. It is possible this can be attributed to the opioid shipments peaking at the beginning of 2010 when news of the policy was announced.</w:t>
      </w:r>
      <w:r w:rsidRPr="00086E05">
        <w:t xml:space="preserve"> </w:t>
      </w:r>
      <w:r>
        <w:t>However, looking at the graph of opioid shipments per capita for Florida, we can see a clear trend of a decrease in the total amount of opioid shipped per capita after the policy was implemented.</w:t>
      </w:r>
    </w:p>
    <w:p w14:paraId="1748F8F7" w14:textId="558263E8" w:rsidR="00247F9F" w:rsidRPr="00914D89" w:rsidRDefault="00223F14" w:rsidP="00247F9F">
      <w:pPr>
        <w:rPr>
          <w:i/>
          <w:iCs/>
        </w:rPr>
      </w:pPr>
      <w:r w:rsidRPr="00914D89">
        <w:rPr>
          <w:i/>
          <w:iCs/>
        </w:rPr>
        <w:lastRenderedPageBreak/>
        <w:t xml:space="preserve">Figure </w:t>
      </w:r>
      <w:r w:rsidR="00914D89">
        <w:rPr>
          <w:i/>
          <w:iCs/>
        </w:rPr>
        <w:t>2</w:t>
      </w:r>
      <w:r w:rsidRPr="00914D89">
        <w:rPr>
          <w:i/>
          <w:iCs/>
        </w:rPr>
        <w:t xml:space="preserve">: Showing the changes in Opioid shipments per capita after </w:t>
      </w:r>
      <w:r w:rsidR="00BF5ACB">
        <w:rPr>
          <w:i/>
          <w:iCs/>
        </w:rPr>
        <w:t>Florida’s</w:t>
      </w:r>
      <w:r w:rsidRPr="00914D89">
        <w:rPr>
          <w:i/>
          <w:iCs/>
        </w:rPr>
        <w:t xml:space="preserve"> policy was implemented. There is a general increase in the shipments across all counties that gets reversed in 2010 after the policy was enacted.</w:t>
      </w:r>
    </w:p>
    <w:p w14:paraId="5AF7E3B5" w14:textId="77777777" w:rsidR="008007A6" w:rsidRDefault="004F61BD" w:rsidP="0012342B">
      <w:r w:rsidRPr="004F61BD">
        <w:rPr>
          <w:noProof/>
        </w:rPr>
        <w:drawing>
          <wp:inline distT="0" distB="0" distL="0" distR="0" wp14:anchorId="7004BBDF" wp14:editId="7A865B8A">
            <wp:extent cx="5943600" cy="4417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7695"/>
                    </a:xfrm>
                    <a:prstGeom prst="rect">
                      <a:avLst/>
                    </a:prstGeom>
                  </pic:spPr>
                </pic:pic>
              </a:graphicData>
            </a:graphic>
          </wp:inline>
        </w:drawing>
      </w:r>
    </w:p>
    <w:p w14:paraId="36448D28" w14:textId="77777777" w:rsidR="00B55C9F" w:rsidRDefault="00B55C9F" w:rsidP="0012342B">
      <w:pPr>
        <w:rPr>
          <w:rFonts w:ascii="Times" w:hAnsi="Times"/>
          <w:b/>
          <w:bCs/>
          <w:sz w:val="28"/>
          <w:szCs w:val="28"/>
        </w:rPr>
      </w:pPr>
    </w:p>
    <w:p w14:paraId="19CB35EC" w14:textId="77777777" w:rsidR="00B55C9F" w:rsidRDefault="00B55C9F" w:rsidP="0012342B">
      <w:pPr>
        <w:rPr>
          <w:rFonts w:ascii="Times" w:hAnsi="Times"/>
          <w:b/>
          <w:bCs/>
          <w:sz w:val="28"/>
          <w:szCs w:val="28"/>
        </w:rPr>
      </w:pPr>
    </w:p>
    <w:p w14:paraId="18FD216A" w14:textId="0C3CF68D" w:rsidR="008611E9" w:rsidRPr="0012342B" w:rsidRDefault="002177CC" w:rsidP="0012342B">
      <w:r>
        <w:rPr>
          <w:rFonts w:ascii="Times" w:hAnsi="Times"/>
          <w:b/>
          <w:bCs/>
          <w:sz w:val="28"/>
          <w:szCs w:val="28"/>
        </w:rPr>
        <w:t>Rate of Opioid Shipment</w:t>
      </w: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623749E6" w14:textId="7DE1C8BD" w:rsidR="00506649"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lastRenderedPageBreak/>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182C3CC7">
            <wp:extent cx="47339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p>
    <w:p w14:paraId="13821B87" w14:textId="5B715226"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sidR="00914D89">
        <w:rPr>
          <w:rFonts w:ascii="Times" w:eastAsia="Times New Roman" w:hAnsi="Times" w:cs="Arial"/>
          <w:i/>
          <w:iCs/>
          <w:color w:val="000000" w:themeColor="text1"/>
        </w:rPr>
        <w:t>3</w:t>
      </w:r>
      <w:r w:rsidRPr="00840EDF">
        <w:rPr>
          <w:rFonts w:ascii="Times" w:eastAsia="Times New Roman" w:hAnsi="Times" w:cs="Arial"/>
          <w:i/>
          <w:iCs/>
          <w:color w:val="000000" w:themeColor="text1"/>
        </w:rPr>
        <w:t xml:space="preserve">: Opioids per capita for the intervention state Florida </w:t>
      </w:r>
    </w:p>
    <w:p w14:paraId="4800E118" w14:textId="7053A16B" w:rsidR="00671B54" w:rsidRDefault="00671B54" w:rsidP="00D8364B">
      <w:pPr>
        <w:shd w:val="clear" w:color="auto" w:fill="FFFFFF"/>
        <w:spacing w:line="360" w:lineRule="auto"/>
        <w:jc w:val="both"/>
        <w:rPr>
          <w:rFonts w:ascii="Times" w:eastAsia="Times New Roman" w:hAnsi="Times" w:cs="Arial"/>
          <w:color w:val="000000" w:themeColor="text1"/>
        </w:rPr>
      </w:pPr>
    </w:p>
    <w:p w14:paraId="5A46937C" w14:textId="7777777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w:t>
      </w:r>
      <w:r>
        <w:rPr>
          <w:rFonts w:ascii="Times" w:eastAsia="Times New Roman" w:hAnsi="Times" w:cs="Arial"/>
          <w:color w:val="000000" w:themeColor="text1"/>
        </w:rPr>
        <w:lastRenderedPageBreak/>
        <w:t>quantity of opioids shipped to Florida.  Therefore, with respect to 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6165DA77">
            <wp:extent cx="5114925" cy="3467100"/>
            <wp:effectExtent l="0" t="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3ECB5A5C" w14:textId="578E2F84"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F436C1E"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16C6B3AF">
            <wp:extent cx="4772025" cy="346710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inline>
        </w:drawing>
      </w:r>
    </w:p>
    <w:p w14:paraId="651C8889" w14:textId="350F08E0" w:rsidR="00914D89" w:rsidRDefault="00914D8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Fig 5.</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1A4506A4"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57BE7987" wp14:editId="14229E54">
            <wp:extent cx="5143500" cy="34671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2C5440CF" w14:textId="0D2BE717" w:rsidR="00C32784" w:rsidRPr="00914D89" w:rsidRDefault="00914D89" w:rsidP="004C3135">
      <w:pPr>
        <w:shd w:val="clear" w:color="auto" w:fill="FFFFFF"/>
        <w:jc w:val="both"/>
        <w:rPr>
          <w:rFonts w:ascii="Times" w:eastAsia="Times New Roman" w:hAnsi="Times" w:cs="Arial"/>
          <w:i/>
          <w:iCs/>
          <w:color w:val="000000" w:themeColor="text1"/>
          <w:sz w:val="28"/>
          <w:szCs w:val="28"/>
        </w:rPr>
      </w:pPr>
      <w:r w:rsidRPr="00914D89">
        <w:rPr>
          <w:rFonts w:ascii="Times" w:eastAsia="Times New Roman" w:hAnsi="Times" w:cs="Arial"/>
          <w:i/>
          <w:iCs/>
          <w:color w:val="000000" w:themeColor="text1"/>
          <w:sz w:val="28"/>
          <w:szCs w:val="28"/>
        </w:rPr>
        <w:t>Fig 6.</w:t>
      </w: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5F2FF8BF"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lastRenderedPageBreak/>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6E7D5934"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lastRenderedPageBreak/>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1.3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3A5E84C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xml:space="preserve">: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implement the regulation policy for opioid drugs in 2007, it is obvious that the mortality rate of opioid-drug overdose has a relatively decreasing tendency based on the left graph. </w:t>
      </w:r>
      <w:r w:rsidRPr="007F05C8">
        <w:rPr>
          <w:rFonts w:ascii="Times" w:eastAsia="Times New Roman" w:hAnsi="Times" w:cs="Arial"/>
          <w:color w:val="000000" w:themeColor="text1"/>
        </w:rPr>
        <w:lastRenderedPageBreak/>
        <w:t>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9 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 xml:space="preserve">increasing at a rate of approximately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lastRenderedPageBreak/>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6390CEE1"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were lower than other control states on average </w:t>
      </w:r>
      <w:r w:rsidRPr="007F05C8">
        <w:rPr>
          <w:rFonts w:ascii="Times" w:eastAsia="Times New Roman" w:hAnsi="Times" w:cs="Arial"/>
          <w:color w:val="000000" w:themeColor="text1"/>
        </w:rPr>
        <w:lastRenderedPageBreak/>
        <w:t>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3A746" w14:textId="77777777" w:rsidR="00E90E07" w:rsidRDefault="00E90E07" w:rsidP="00AC5A3C">
      <w:r>
        <w:separator/>
      </w:r>
    </w:p>
  </w:endnote>
  <w:endnote w:type="continuationSeparator" w:id="0">
    <w:p w14:paraId="583EACC5" w14:textId="77777777" w:rsidR="00E90E07" w:rsidRDefault="00E90E07"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062624"/>
      <w:docPartObj>
        <w:docPartGallery w:val="Page Numbers (Bottom of Page)"/>
        <w:docPartUnique/>
      </w:docPartObj>
    </w:sdtPr>
    <w:sdtEndPr>
      <w:rPr>
        <w:rStyle w:val="PageNumber"/>
      </w:rPr>
    </w:sdtEnd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3249092"/>
      <w:docPartObj>
        <w:docPartGallery w:val="Page Numbers (Bottom of Page)"/>
        <w:docPartUnique/>
      </w:docPartObj>
    </w:sdtPr>
    <w:sdtEndPr>
      <w:rPr>
        <w:rStyle w:val="PageNumber"/>
      </w:rPr>
    </w:sdtEnd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88EEF" w14:textId="77777777" w:rsidR="00E90E07" w:rsidRDefault="00E90E07" w:rsidP="00AC5A3C">
      <w:r>
        <w:separator/>
      </w:r>
    </w:p>
  </w:footnote>
  <w:footnote w:type="continuationSeparator" w:id="0">
    <w:p w14:paraId="531991B1" w14:textId="77777777" w:rsidR="00E90E07" w:rsidRDefault="00E90E07"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0B2994"/>
    <w:rsid w:val="0010500E"/>
    <w:rsid w:val="0012342B"/>
    <w:rsid w:val="001B5271"/>
    <w:rsid w:val="002159A5"/>
    <w:rsid w:val="002177CC"/>
    <w:rsid w:val="00223F14"/>
    <w:rsid w:val="00247F9F"/>
    <w:rsid w:val="00252006"/>
    <w:rsid w:val="002E4C74"/>
    <w:rsid w:val="002F1BB0"/>
    <w:rsid w:val="00351B38"/>
    <w:rsid w:val="00385575"/>
    <w:rsid w:val="0042380B"/>
    <w:rsid w:val="00455DAE"/>
    <w:rsid w:val="0048051D"/>
    <w:rsid w:val="004C3135"/>
    <w:rsid w:val="004C4033"/>
    <w:rsid w:val="004F61BD"/>
    <w:rsid w:val="00506649"/>
    <w:rsid w:val="005660CB"/>
    <w:rsid w:val="005C16F9"/>
    <w:rsid w:val="005F5733"/>
    <w:rsid w:val="0060566E"/>
    <w:rsid w:val="00661AAE"/>
    <w:rsid w:val="00671B54"/>
    <w:rsid w:val="007153C4"/>
    <w:rsid w:val="00727FEC"/>
    <w:rsid w:val="007773E0"/>
    <w:rsid w:val="007D0DDD"/>
    <w:rsid w:val="007D535F"/>
    <w:rsid w:val="007F0B5D"/>
    <w:rsid w:val="007F1131"/>
    <w:rsid w:val="008007A6"/>
    <w:rsid w:val="00820830"/>
    <w:rsid w:val="00840EDF"/>
    <w:rsid w:val="008611E9"/>
    <w:rsid w:val="00873C55"/>
    <w:rsid w:val="008A09CE"/>
    <w:rsid w:val="008B4BC2"/>
    <w:rsid w:val="00914D89"/>
    <w:rsid w:val="00920E0B"/>
    <w:rsid w:val="00991CE3"/>
    <w:rsid w:val="009E7933"/>
    <w:rsid w:val="00A0329D"/>
    <w:rsid w:val="00A42CD2"/>
    <w:rsid w:val="00A63D5F"/>
    <w:rsid w:val="00AC5A3C"/>
    <w:rsid w:val="00AE606D"/>
    <w:rsid w:val="00B039DB"/>
    <w:rsid w:val="00B466E8"/>
    <w:rsid w:val="00B53592"/>
    <w:rsid w:val="00B55C9F"/>
    <w:rsid w:val="00B80E08"/>
    <w:rsid w:val="00BD3714"/>
    <w:rsid w:val="00BF5ACB"/>
    <w:rsid w:val="00C116FD"/>
    <w:rsid w:val="00C300AF"/>
    <w:rsid w:val="00C32784"/>
    <w:rsid w:val="00CA5218"/>
    <w:rsid w:val="00CD5E99"/>
    <w:rsid w:val="00D50D64"/>
    <w:rsid w:val="00D8364B"/>
    <w:rsid w:val="00D93D1A"/>
    <w:rsid w:val="00D9639F"/>
    <w:rsid w:val="00DB3D1B"/>
    <w:rsid w:val="00DF0671"/>
    <w:rsid w:val="00DF7EC7"/>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17</Pages>
  <Words>4273</Words>
  <Characters>23118</Characters>
  <Application>Microsoft Office Word</Application>
  <DocSecurity>0</DocSecurity>
  <Lines>550</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24</cp:revision>
  <dcterms:created xsi:type="dcterms:W3CDTF">2022-11-29T00:20:00Z</dcterms:created>
  <dcterms:modified xsi:type="dcterms:W3CDTF">2022-11-29T12:12:00Z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