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Ruhamyankaka,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836386" w:rsidRDefault="004C3135" w:rsidP="004C3135">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0590B9"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8A09CE">
        <w:rPr>
          <w:rFonts w:ascii="Times" w:hAnsi="Times"/>
          <w:color w:val="000000" w:themeColor="text1"/>
        </w:rPr>
        <w:t>regarding</w:t>
      </w:r>
      <w:r w:rsidRPr="00791E5A">
        <w:rPr>
          <w:rFonts w:ascii="Times" w:hAnsi="Times"/>
          <w:color w:val="000000" w:themeColor="text1"/>
        </w:rPr>
        <w:t xml:space="preserve">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sidR="008A09CE">
        <w:rPr>
          <w:rFonts w:ascii="Times" w:hAnsi="Times"/>
          <w:color w:val="000000" w:themeColor="text1"/>
        </w:rPr>
        <w:t>that</w:t>
      </w:r>
      <w:r>
        <w:rPr>
          <w:rFonts w:ascii="Times" w:hAnsi="Times"/>
          <w:color w:val="000000" w:themeColor="text1"/>
        </w:rPr>
        <w:t xml:space="preserve">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w:t>
      </w:r>
      <w:r w:rsidR="008A09CE">
        <w:rPr>
          <w:rFonts w:ascii="Times" w:hAnsi="Times"/>
          <w:color w:val="000000" w:themeColor="text1"/>
        </w:rPr>
        <w:t>. The</w:t>
      </w:r>
      <w:r w:rsidRPr="00791E5A">
        <w:rPr>
          <w:rFonts w:ascii="Times" w:hAnsi="Times"/>
          <w:color w:val="000000" w:themeColor="text1"/>
        </w:rPr>
        <w:t xml:space="preserv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0FC49806"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 xml:space="preserve">allows </w:t>
      </w:r>
      <w:r w:rsidR="008A09CE">
        <w:rPr>
          <w:rFonts w:ascii="Times" w:hAnsi="Times"/>
          <w:color w:val="000000" w:themeColor="text1"/>
        </w:rPr>
        <w:t>policymakers</w:t>
      </w:r>
      <w:r>
        <w:rPr>
          <w:rFonts w:ascii="Times" w:hAnsi="Times"/>
          <w:color w:val="000000" w:themeColor="text1"/>
        </w:rPr>
        <w:t xml:space="preserve"> to implement best practices and update </w:t>
      </w:r>
      <w:r w:rsidR="008A09CE">
        <w:rPr>
          <w:rFonts w:ascii="Times" w:hAnsi="Times"/>
          <w:color w:val="000000" w:themeColor="text1"/>
        </w:rPr>
        <w:t>ineffective policies</w:t>
      </w:r>
      <w:r w:rsidRPr="00791E5A">
        <w:rPr>
          <w:rFonts w:ascii="Times" w:hAnsi="Times"/>
          <w:color w:val="000000" w:themeColor="text1"/>
        </w:rPr>
        <w:t xml:space="preserve">. </w:t>
      </w:r>
      <w:r>
        <w:rPr>
          <w:rFonts w:ascii="Times" w:hAnsi="Times"/>
          <w:color w:val="000000" w:themeColor="text1"/>
        </w:rPr>
        <w:t xml:space="preserve"> </w:t>
      </w:r>
      <w:r w:rsidR="008A09CE">
        <w:rPr>
          <w:rFonts w:ascii="Times" w:hAnsi="Times"/>
          <w:color w:val="000000" w:themeColor="text1"/>
        </w:rPr>
        <w:t>These regulations intend</w:t>
      </w:r>
      <w:r>
        <w:rPr>
          <w:rFonts w:ascii="Times" w:hAnsi="Times"/>
          <w:color w:val="000000" w:themeColor="text1"/>
        </w:rPr>
        <w:t xml:space="preserve"> to reduce opioid abuse; however, they have the possibility </w:t>
      </w:r>
      <w:r w:rsidR="008A09CE">
        <w:rPr>
          <w:rFonts w:ascii="Times" w:hAnsi="Times"/>
          <w:color w:val="000000" w:themeColor="text1"/>
        </w:rPr>
        <w:t>of</w:t>
      </w:r>
      <w:r>
        <w:rPr>
          <w:rFonts w:ascii="Times" w:hAnsi="Times"/>
          <w:color w:val="000000" w:themeColor="text1"/>
        </w:rPr>
        <w:t xml:space="preserve"> unintended effects by limiting legal access </w:t>
      </w:r>
      <w:r w:rsidR="008A09CE">
        <w:rPr>
          <w:rFonts w:ascii="Times" w:hAnsi="Times"/>
          <w:color w:val="000000" w:themeColor="text1"/>
        </w:rPr>
        <w:t>to</w:t>
      </w:r>
      <w:r>
        <w:rPr>
          <w:rFonts w:ascii="Times" w:hAnsi="Times"/>
          <w:color w:val="000000" w:themeColor="text1"/>
        </w:rPr>
        <w:t xml:space="preserve"> drugs </w:t>
      </w:r>
      <w:r w:rsidR="008A09CE">
        <w:rPr>
          <w:rFonts w:ascii="Times" w:hAnsi="Times"/>
          <w:color w:val="000000" w:themeColor="text1"/>
        </w:rPr>
        <w:t>for</w:t>
      </w:r>
      <w:r>
        <w:rPr>
          <w:rFonts w:ascii="Times" w:hAnsi="Times"/>
          <w:color w:val="000000" w:themeColor="text1"/>
        </w:rPr>
        <w:t xml:space="preserve"> addicts.</w:t>
      </w:r>
    </w:p>
    <w:p w14:paraId="28043D23" w14:textId="77777777" w:rsidR="00506649" w:rsidRDefault="00506649" w:rsidP="00506649">
      <w:pPr>
        <w:spacing w:line="360" w:lineRule="auto"/>
        <w:jc w:val="both"/>
        <w:rPr>
          <w:rFonts w:ascii="Times" w:hAnsi="Times"/>
          <w:color w:val="000000" w:themeColor="text1"/>
        </w:rPr>
      </w:pPr>
    </w:p>
    <w:p w14:paraId="45AA39E9" w14:textId="07358CCD"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09CE">
        <w:rPr>
          <w:rFonts w:ascii="Times" w:hAnsi="Times"/>
          <w:color w:val="000000" w:themeColor="text1"/>
        </w:rPr>
        <w:t>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836386" w:rsidRDefault="005C16F9" w:rsidP="005C16F9">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lastRenderedPageBreak/>
        <w:t>Policies Under Investigation:</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68A2940F" w14:textId="7400D58F" w:rsidR="00B55C9F" w:rsidRPr="00836386" w:rsidRDefault="005C16F9" w:rsidP="005C16F9">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in 2007, the Texas Medical Board adopted regulations </w:t>
      </w:r>
      <w:r w:rsidR="000426A3">
        <w:rPr>
          <w:rFonts w:ascii="Times" w:hAnsi="Times"/>
          <w:color w:val="000000" w:themeColor="text1"/>
        </w:rPr>
        <w:t>about</w:t>
      </w:r>
      <w:r w:rsidRPr="008B4BC2">
        <w:rPr>
          <w:rFonts w:ascii="Times" w:hAnsi="Times"/>
          <w:color w:val="000000" w:themeColor="text1"/>
        </w:rPr>
        <w:t xml:space="preserve"> treating pain with controlled substances. The guidelines include performing a patient evaluation before prescribing opioids</w:t>
      </w:r>
      <w:r w:rsidR="000426A3">
        <w:rPr>
          <w:rFonts w:ascii="Times" w:hAnsi="Times"/>
          <w:color w:val="000000" w:themeColor="text1"/>
        </w:rPr>
        <w:t>,</w:t>
      </w:r>
      <w:r w:rsidRPr="008B4BC2">
        <w:rPr>
          <w:rFonts w:ascii="Times" w:hAnsi="Times"/>
          <w:color w:val="000000" w:themeColor="text1"/>
        </w:rPr>
        <w:t xml:space="preserve"> obtaining informed consent from the patient for opioid treatment, </w:t>
      </w:r>
      <w:r w:rsidR="000426A3">
        <w:rPr>
          <w:rFonts w:ascii="Times" w:hAnsi="Times"/>
          <w:color w:val="000000" w:themeColor="text1"/>
        </w:rPr>
        <w:t>conducting</w:t>
      </w:r>
      <w:r w:rsidRPr="008B4BC2">
        <w:rPr>
          <w:rFonts w:ascii="Times" w:hAnsi="Times"/>
          <w:color w:val="000000" w:themeColor="text1"/>
        </w:rPr>
        <w:t xml:space="preserve"> periodic </w:t>
      </w:r>
      <w:r w:rsidR="000426A3">
        <w:rPr>
          <w:rFonts w:ascii="Times" w:hAnsi="Times"/>
          <w:color w:val="000000" w:themeColor="text1"/>
        </w:rPr>
        <w:t>reviews</w:t>
      </w:r>
      <w:r w:rsidRPr="008B4BC2">
        <w:rPr>
          <w:rFonts w:ascii="Times" w:hAnsi="Times"/>
          <w:color w:val="000000" w:themeColor="text1"/>
        </w:rPr>
        <w:t xml:space="preserve"> of the opioid treatment, and </w:t>
      </w:r>
      <w:r w:rsidR="000426A3">
        <w:rPr>
          <w:rFonts w:ascii="Times" w:hAnsi="Times"/>
          <w:color w:val="000000" w:themeColor="text1"/>
        </w:rPr>
        <w:t>maintaining</w:t>
      </w:r>
      <w:r w:rsidRPr="008B4BC2">
        <w:rPr>
          <w:rFonts w:ascii="Times" w:hAnsi="Times"/>
          <w:color w:val="000000" w:themeColor="text1"/>
        </w:rPr>
        <w:t xml:space="preserve"> a complete medical record of the patient's treatment</w:t>
      </w:r>
    </w:p>
    <w:p w14:paraId="43D52D86" w14:textId="7F8690B0" w:rsidR="005C16F9"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B4BC2">
        <w:rPr>
          <w:rFonts w:ascii="Times" w:hAnsi="Times"/>
          <w:color w:val="000000" w:themeColor="text1"/>
        </w:rPr>
        <w:t xml:space="preserve">. </w:t>
      </w:r>
      <w:r w:rsidR="0039743D">
        <w:rPr>
          <w:rFonts w:ascii="Times" w:hAnsi="Times"/>
          <w:color w:val="000000" w:themeColor="text1"/>
        </w:rPr>
        <w:t>Regarding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C61FB3">
      <w:pPr>
        <w:autoSpaceDE w:val="0"/>
        <w:autoSpaceDN w:val="0"/>
        <w:adjustRightInd w:val="0"/>
        <w:spacing w:line="360" w:lineRule="auto"/>
        <w:rPr>
          <w:rFonts w:ascii="Times" w:hAnsi="Times"/>
          <w:color w:val="000000" w:themeColor="text1"/>
        </w:rPr>
      </w:pP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11B6F86E" w14:textId="3E3579A1" w:rsidR="00D8364B"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75548AD2" w:rsidR="004C3135" w:rsidRDefault="00A3307D" w:rsidP="004C3135">
      <w:pPr>
        <w:spacing w:line="360" w:lineRule="auto"/>
        <w:jc w:val="both"/>
        <w:rPr>
          <w:rFonts w:ascii="Times" w:hAnsi="Times"/>
          <w:color w:val="000000" w:themeColor="text1"/>
        </w:rPr>
      </w:pPr>
      <w:r w:rsidRPr="00A3307D">
        <w:rPr>
          <w:rFonts w:ascii="Times" w:hAnsi="Times"/>
          <w:color w:val="000000" w:themeColor="text1"/>
        </w:rPr>
        <w:t>Two approaches will be mainly used in the analysis to draw valid inferences on the causal effects of these three policies</w:t>
      </w:r>
      <w:r w:rsidR="004C3135">
        <w:rPr>
          <w:rFonts w:ascii="Times" w:hAnsi="Times"/>
          <w:color w:val="000000" w:themeColor="text1"/>
        </w:rPr>
        <w:t xml:space="preserve">. From an intuitive perspective, the first approach is </w:t>
      </w:r>
      <w:r w:rsidR="0039743D">
        <w:rPr>
          <w:rFonts w:ascii="Times" w:hAnsi="Times"/>
          <w:color w:val="000000" w:themeColor="text1"/>
        </w:rPr>
        <w:t xml:space="preserve">a </w:t>
      </w:r>
      <w:r w:rsidR="004C3135">
        <w:rPr>
          <w:rFonts w:ascii="Times" w:hAnsi="Times"/>
          <w:color w:val="000000" w:themeColor="text1"/>
        </w:rPr>
        <w:t xml:space="preserve">pre-post comparison </w:t>
      </w:r>
      <w:r w:rsidR="0039743D">
        <w:rPr>
          <w:rFonts w:ascii="Times" w:hAnsi="Times"/>
          <w:color w:val="000000" w:themeColor="text1"/>
        </w:rPr>
        <w:t>focusing</w:t>
      </w:r>
      <w:r w:rsidR="004C3135">
        <w:rPr>
          <w:rFonts w:ascii="Times" w:hAnsi="Times"/>
          <w:color w:val="000000" w:themeColor="text1"/>
        </w:rPr>
        <w:t xml:space="preserve"> on </w:t>
      </w:r>
      <w:r w:rsidR="0039743D">
        <w:rPr>
          <w:rFonts w:ascii="Times" w:hAnsi="Times"/>
          <w:color w:val="000000" w:themeColor="text1"/>
        </w:rPr>
        <w:t xml:space="preserve">the </w:t>
      </w:r>
      <w:r w:rsidR="004C3135">
        <w:rPr>
          <w:rFonts w:ascii="Times" w:hAnsi="Times"/>
          <w:color w:val="000000" w:themeColor="text1"/>
        </w:rPr>
        <w:t xml:space="preserve">difference between pre-policy and post-policy outcomes. Thus, this analysis will compare the </w:t>
      </w:r>
      <w:r w:rsidR="0039743D">
        <w:rPr>
          <w:rFonts w:ascii="Times" w:hAnsi="Times"/>
          <w:color w:val="000000" w:themeColor="text1"/>
        </w:rPr>
        <w:t>number</w:t>
      </w:r>
      <w:r w:rsidR="004C3135">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004C3135" w:rsidRPr="00791E5A">
        <w:rPr>
          <w:rFonts w:ascii="Times" w:hAnsi="Times"/>
          <w:color w:val="000000" w:themeColor="text1"/>
        </w:rPr>
        <w:t xml:space="preserve">The </w:t>
      </w:r>
      <w:r w:rsidR="004C3135">
        <w:rPr>
          <w:rFonts w:ascii="Times" w:hAnsi="Times"/>
          <w:color w:val="000000" w:themeColor="text1"/>
        </w:rPr>
        <w:t xml:space="preserve">second approach </w:t>
      </w:r>
      <w:r w:rsidR="004C3135" w:rsidRPr="00791E5A">
        <w:rPr>
          <w:rFonts w:ascii="Times" w:hAnsi="Times"/>
          <w:color w:val="000000" w:themeColor="text1"/>
        </w:rPr>
        <w:t>is a difference-in-difference method which compares the changes in outcomes over time between a state with a policy change and other states without the policy change.</w:t>
      </w:r>
      <w:r w:rsidR="004C3135">
        <w:rPr>
          <w:rFonts w:ascii="Times" w:hAnsi="Times"/>
          <w:color w:val="000000" w:themeColor="text1"/>
        </w:rPr>
        <w:t xml:space="preserve"> Each jurisdiction will be compared to the quantities in comparison states where no policies are in place.</w:t>
      </w: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2E69A1F3"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27E3B1B"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0C2B1722" w14:textId="271AF235" w:rsidR="00D8364B"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C61FB3">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328DDAF8"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lastRenderedPageBreak/>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36D2601E"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to calculate the linear regressions for average annualized overdose deaths per capita, the mortality data was filtered for </w:t>
      </w:r>
      <w:r w:rsidR="008F3D25">
        <w:rPr>
          <w:rFonts w:ascii="Times" w:eastAsia="Times New Roman" w:hAnsi="Times" w:cs="Arial"/>
          <w:color w:val="000000" w:themeColor="text1"/>
        </w:rPr>
        <w:t>drug-induced deaths. The</w:t>
      </w:r>
      <w:r>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t>each year's average drug-induced death rate per capita</w:t>
      </w:r>
      <w:r>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836386"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01ECC026" w14:textId="4D86B649" w:rsidR="00506649" w:rsidRDefault="00506649" w:rsidP="00C61FB3">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 xml:space="preserve">Centers for Disease Control and Prevention [4]. As shown in Table 1,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each treated state in question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26D949DF" w14:textId="78F3C833"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B5444B7" w14:textId="2ADCE172"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76C19865" w14:textId="7C004D8E"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2AC2BF6" w14:textId="17C525AC" w:rsidR="00B55C9F" w:rsidRDefault="00B55C9F" w:rsidP="00506649">
      <w:pPr>
        <w:shd w:val="clear" w:color="auto" w:fill="FFFFFF"/>
        <w:spacing w:line="360" w:lineRule="auto"/>
        <w:jc w:val="both"/>
        <w:rPr>
          <w:rFonts w:ascii="Batang" w:eastAsia="Batang" w:hAnsi="Batang" w:cs="Batang"/>
          <w:color w:val="000000" w:themeColor="text1"/>
          <w:lang w:eastAsia="ko-KR"/>
        </w:rPr>
      </w:pPr>
    </w:p>
    <w:p w14:paraId="0143062A" w14:textId="5F0DBF2E" w:rsidR="00E3135D" w:rsidRDefault="00E3135D" w:rsidP="00506649">
      <w:pPr>
        <w:shd w:val="clear" w:color="auto" w:fill="FFFFFF"/>
        <w:spacing w:line="360" w:lineRule="auto"/>
        <w:jc w:val="both"/>
        <w:rPr>
          <w:rFonts w:ascii="Batang" w:eastAsia="Batang" w:hAnsi="Batang" w:cs="Batang"/>
          <w:color w:val="000000" w:themeColor="text1"/>
          <w:lang w:eastAsia="ko-KR"/>
        </w:rPr>
      </w:pPr>
    </w:p>
    <w:p w14:paraId="1A5646A5" w14:textId="77777777" w:rsidR="00322EB3" w:rsidRPr="00860C6E" w:rsidRDefault="00322EB3" w:rsidP="00506649">
      <w:pPr>
        <w:shd w:val="clear" w:color="auto" w:fill="FFFFFF"/>
        <w:spacing w:line="360" w:lineRule="auto"/>
        <w:jc w:val="both"/>
        <w:rPr>
          <w:rFonts w:ascii="Batang" w:eastAsia="Batang" w:hAnsi="Batang" w:cs="Batang"/>
          <w:color w:val="000000" w:themeColor="text1"/>
          <w:lang w:eastAsia="ko-KR"/>
        </w:rPr>
      </w:pPr>
    </w:p>
    <w:p w14:paraId="7A7E16D9" w14:textId="38CC255E" w:rsidR="00DF7EC7" w:rsidRPr="002846BC" w:rsidRDefault="004C3135" w:rsidP="00C61FB3">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lastRenderedPageBreak/>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532A6FBE" w14:textId="77777777" w:rsidR="00B55C9F" w:rsidRDefault="00B55C9F" w:rsidP="00D8364B">
      <w:pPr>
        <w:spacing w:line="360" w:lineRule="auto"/>
        <w:rPr>
          <w:rFonts w:ascii="Times" w:hAnsi="Times"/>
          <w:b/>
          <w:bCs/>
          <w:sz w:val="28"/>
          <w:szCs w:val="28"/>
        </w:rPr>
      </w:pPr>
    </w:p>
    <w:p w14:paraId="0ABCFE47" w14:textId="0DA7D55B" w:rsidR="00050AD9" w:rsidRPr="00836386" w:rsidRDefault="00050AD9" w:rsidP="00D8364B">
      <w:pPr>
        <w:spacing w:line="360" w:lineRule="auto"/>
        <w:rPr>
          <w:rFonts w:ascii="Times" w:hAnsi="Times"/>
          <w:b/>
          <w:bCs/>
          <w:sz w:val="32"/>
          <w:szCs w:val="32"/>
        </w:rPr>
      </w:pPr>
      <w:r w:rsidRPr="00836386">
        <w:rPr>
          <w:rFonts w:ascii="Times" w:hAnsi="Times"/>
          <w:b/>
          <w:bCs/>
          <w:sz w:val="32"/>
          <w:szCs w:val="32"/>
        </w:rPr>
        <w:t xml:space="preserve">Summary </w:t>
      </w:r>
      <w:r w:rsidR="00C61FB3">
        <w:rPr>
          <w:rFonts w:ascii="Times" w:hAnsi="Times"/>
          <w:b/>
          <w:bCs/>
          <w:sz w:val="32"/>
          <w:szCs w:val="32"/>
        </w:rPr>
        <w:t>S</w:t>
      </w:r>
      <w:r w:rsidRPr="00836386">
        <w:rPr>
          <w:rFonts w:ascii="Times" w:hAnsi="Times"/>
          <w:b/>
          <w:bCs/>
          <w:sz w:val="32"/>
          <w:szCs w:val="32"/>
        </w:rPr>
        <w:t>tatistics</w:t>
      </w:r>
    </w:p>
    <w:p w14:paraId="0F73AB6F" w14:textId="7374287A" w:rsidR="00050AD9" w:rsidRPr="00836386" w:rsidRDefault="00D8364B" w:rsidP="00D8364B">
      <w:pPr>
        <w:spacing w:line="360" w:lineRule="auto"/>
        <w:rPr>
          <w:rFonts w:ascii="Times" w:hAnsi="Times"/>
          <w:b/>
          <w:bCs/>
          <w:sz w:val="32"/>
          <w:szCs w:val="32"/>
        </w:rPr>
      </w:pPr>
      <w:r w:rsidRPr="00836386">
        <w:rPr>
          <w:rFonts w:ascii="Times" w:hAnsi="Times"/>
          <w:b/>
          <w:bCs/>
          <w:sz w:val="32"/>
          <w:szCs w:val="32"/>
        </w:rPr>
        <w:t xml:space="preserve">Mortality Rate of Opioid Overdose </w:t>
      </w:r>
    </w:p>
    <w:p w14:paraId="00E7E55A" w14:textId="4066E96F" w:rsidR="00C61FB3"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322EB3">
        <w:rPr>
          <w:rFonts w:ascii="Times" w:hAnsi="Times"/>
        </w:rPr>
        <w:t xml:space="preserve"> of</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xml:space="preserve">. The graph below compares the general trend in death rates between the control states with no policy and the policy-implemented states. Overall, we observe a substantial rise in </w:t>
      </w:r>
      <w:r w:rsidR="009D2144">
        <w:rPr>
          <w:rFonts w:ascii="Times" w:hAnsi="Times"/>
        </w:rPr>
        <w:t>death rates</w:t>
      </w:r>
      <w:r w:rsidRPr="00D8364B">
        <w:rPr>
          <w:rFonts w:ascii="Times" w:hAnsi="Times"/>
        </w:rPr>
        <w:t xml:space="preserve"> for states without policies compared to states with policies.</w:t>
      </w:r>
    </w:p>
    <w:p w14:paraId="47162D14" w14:textId="77777777" w:rsidR="00C61FB3" w:rsidRDefault="00C61FB3" w:rsidP="00D8364B">
      <w:pPr>
        <w:spacing w:line="360" w:lineRule="auto"/>
        <w:jc w:val="both"/>
        <w:rPr>
          <w:rFonts w:ascii="Times" w:hAnsi="Times"/>
        </w:rPr>
      </w:pPr>
    </w:p>
    <w:p w14:paraId="4623169D" w14:textId="77777777" w:rsidR="00C61FB3" w:rsidRDefault="00B55C9F" w:rsidP="00C61FB3">
      <w:pPr>
        <w:jc w:val="center"/>
        <w:rPr>
          <w:rFonts w:ascii="Times" w:hAnsi="Times"/>
          <w:i/>
          <w:iCs/>
          <w:sz w:val="22"/>
          <w:szCs w:val="22"/>
        </w:rPr>
      </w:pPr>
      <w:r w:rsidRPr="00C61FB3">
        <w:rPr>
          <w:rFonts w:ascii="Times" w:hAnsi="Times"/>
          <w:i/>
          <w:iCs/>
          <w:sz w:val="22"/>
          <w:szCs w:val="22"/>
        </w:rPr>
        <w:lastRenderedPageBreak/>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rates</w:t>
      </w:r>
      <w:r w:rsidRPr="00C61FB3">
        <w:rPr>
          <w:rFonts w:ascii="Times" w:hAnsi="Times"/>
          <w:i/>
          <w:iCs/>
          <w:sz w:val="22"/>
          <w:szCs w:val="22"/>
        </w:rPr>
        <w:t xml:space="preserve"> per 100,000 persons</w:t>
      </w:r>
    </w:p>
    <w:p w14:paraId="754EC8F3" w14:textId="1A22DA72" w:rsidR="00920E0B" w:rsidRPr="00C61FB3" w:rsidRDefault="00B55C9F" w:rsidP="00C61FB3">
      <w:pPr>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41836C45" w14:textId="64341854" w:rsidR="00050AD9" w:rsidRDefault="00920E0B" w:rsidP="00C61FB3">
      <w:pPr>
        <w:jc w:val="center"/>
      </w:pPr>
      <w:r w:rsidRPr="00920E0B">
        <w:rPr>
          <w:noProof/>
        </w:rPr>
        <w:drawing>
          <wp:inline distT="0" distB="0" distL="0" distR="0" wp14:anchorId="3D963C36" wp14:editId="6DC5781D">
            <wp:extent cx="3597933" cy="2887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5545" cy="2918165"/>
                    </a:xfrm>
                    <a:prstGeom prst="rect">
                      <a:avLst/>
                    </a:prstGeom>
                  </pic:spPr>
                </pic:pic>
              </a:graphicData>
            </a:graphic>
          </wp:inline>
        </w:drawing>
      </w:r>
    </w:p>
    <w:p w14:paraId="676B15ED" w14:textId="77777777" w:rsidR="008007A6" w:rsidRDefault="008007A6" w:rsidP="00247F9F">
      <w:pPr>
        <w:rPr>
          <w:sz w:val="28"/>
          <w:szCs w:val="28"/>
        </w:rPr>
      </w:pPr>
    </w:p>
    <w:p w14:paraId="34DB3D6F" w14:textId="396A4AA6" w:rsidR="00247F9F" w:rsidRPr="00836386" w:rsidRDefault="00247F9F" w:rsidP="00E3135D">
      <w:pPr>
        <w:spacing w:line="360" w:lineRule="auto"/>
        <w:jc w:val="both"/>
        <w:rPr>
          <w:rFonts w:ascii="Times" w:hAnsi="Times"/>
          <w:b/>
          <w:bCs/>
          <w:sz w:val="32"/>
          <w:szCs w:val="32"/>
        </w:rPr>
      </w:pPr>
      <w:r w:rsidRPr="00836386">
        <w:rPr>
          <w:rFonts w:ascii="Times" w:hAnsi="Times"/>
          <w:b/>
          <w:bCs/>
          <w:sz w:val="32"/>
          <w:szCs w:val="32"/>
        </w:rPr>
        <w:t xml:space="preserve">Opioids Shipments </w:t>
      </w:r>
      <w:r w:rsidR="00836386">
        <w:rPr>
          <w:rFonts w:ascii="Times" w:hAnsi="Times"/>
          <w:b/>
          <w:bCs/>
          <w:sz w:val="32"/>
          <w:szCs w:val="32"/>
        </w:rPr>
        <w:t>Rate</w:t>
      </w:r>
    </w:p>
    <w:p w14:paraId="6CE1E64F" w14:textId="5E3A15A8" w:rsidR="00A17BCD" w:rsidRDefault="00247F9F" w:rsidP="00E3135D">
      <w:pPr>
        <w:spacing w:line="360"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about 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enacted compared to Florida</w:t>
      </w:r>
      <w:r w:rsidR="008B4BC2" w:rsidRPr="00E3135D">
        <w:rPr>
          <w:rFonts w:ascii="Times" w:hAnsi="Times"/>
        </w:rPr>
        <w:t>.</w:t>
      </w:r>
      <w:r w:rsidR="00AA7F2C" w:rsidRPr="00E3135D">
        <w:rPr>
          <w:rFonts w:ascii="Times" w:hAnsi="Times"/>
        </w:rPr>
        <w:t xml:space="preserve"> </w:t>
      </w:r>
      <w:r w:rsidR="00A17BCD">
        <w:rPr>
          <w:rFonts w:ascii="Times" w:hAnsi="Times"/>
        </w:rPr>
        <w:t xml:space="preserve">See </w:t>
      </w:r>
      <w:r w:rsidR="00C003C1">
        <w:rPr>
          <w:rFonts w:ascii="Times" w:hAnsi="Times"/>
        </w:rPr>
        <w:t xml:space="preserve">the </w:t>
      </w:r>
      <w:r w:rsidR="00A17BCD">
        <w:rPr>
          <w:rFonts w:ascii="Times" w:hAnsi="Times"/>
        </w:rPr>
        <w:t>graph</w:t>
      </w:r>
      <w:r w:rsidR="00B87048">
        <w:rPr>
          <w:rFonts w:ascii="Times" w:hAnsi="Times"/>
        </w:rPr>
        <w:t xml:space="preserve"> below.</w:t>
      </w:r>
    </w:p>
    <w:p w14:paraId="6C7E2AE8" w14:textId="2C3B5136" w:rsidR="00A17BCD" w:rsidRPr="00C003C1" w:rsidRDefault="00C003C1" w:rsidP="00E3135D">
      <w:pPr>
        <w:spacing w:line="360" w:lineRule="auto"/>
        <w:jc w:val="both"/>
        <w:rPr>
          <w:rFonts w:ascii="Times" w:hAnsi="Times"/>
          <w:i/>
          <w:iCs/>
        </w:rPr>
      </w:pPr>
      <w:r w:rsidRPr="00C003C1">
        <w:rPr>
          <w:rFonts w:ascii="Times" w:hAnsi="Times"/>
          <w:i/>
          <w:iCs/>
        </w:rPr>
        <w:t>Fig 2a: Opioid shipment</w:t>
      </w:r>
      <w:r>
        <w:rPr>
          <w:rFonts w:ascii="Times" w:hAnsi="Times"/>
          <w:i/>
          <w:iCs/>
        </w:rPr>
        <w:t xml:space="preserve"> per capita</w:t>
      </w:r>
      <w:r w:rsidRPr="00C003C1">
        <w:rPr>
          <w:rFonts w:ascii="Times" w:hAnsi="Times"/>
          <w:i/>
          <w:iCs/>
        </w:rPr>
        <w:t xml:space="preserve"> for Washington state before and after </w:t>
      </w:r>
      <w:r>
        <w:rPr>
          <w:rFonts w:ascii="Times" w:hAnsi="Times"/>
          <w:i/>
          <w:iCs/>
        </w:rPr>
        <w:t>the policy</w:t>
      </w:r>
    </w:p>
    <w:p w14:paraId="01ABDDAA" w14:textId="6C80EB1D" w:rsidR="00A17BCD" w:rsidRDefault="00A17BCD" w:rsidP="00A17BCD">
      <w:pPr>
        <w:spacing w:line="360" w:lineRule="auto"/>
        <w:jc w:val="center"/>
        <w:rPr>
          <w:rFonts w:ascii="Times" w:hAnsi="Times"/>
        </w:rPr>
      </w:pPr>
      <w:r w:rsidRPr="00A17BCD">
        <w:rPr>
          <w:rFonts w:ascii="Times" w:hAnsi="Times"/>
          <w:noProof/>
        </w:rPr>
        <w:drawing>
          <wp:inline distT="0" distB="0" distL="0" distR="0" wp14:anchorId="28C8A5FB" wp14:editId="34945E22">
            <wp:extent cx="38227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2700" cy="3048000"/>
                    </a:xfrm>
                    <a:prstGeom prst="rect">
                      <a:avLst/>
                    </a:prstGeom>
                  </pic:spPr>
                </pic:pic>
              </a:graphicData>
            </a:graphic>
          </wp:inline>
        </w:drawing>
      </w:r>
    </w:p>
    <w:p w14:paraId="732E4BB6" w14:textId="793B091C" w:rsidR="00B55C9F" w:rsidRPr="00A17BCD" w:rsidRDefault="00A17BCD" w:rsidP="00E3135D">
      <w:pPr>
        <w:spacing w:line="360" w:lineRule="auto"/>
        <w:jc w:val="both"/>
        <w:rPr>
          <w:rFonts w:ascii="Times" w:hAnsi="Times"/>
        </w:rPr>
      </w:pPr>
      <w:r>
        <w:rPr>
          <w:rFonts w:ascii="Times" w:hAnsi="Times"/>
        </w:rPr>
        <w:lastRenderedPageBreak/>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39AD56E1" w14:textId="03502219" w:rsidR="008B4BC2" w:rsidRPr="00C61FB3" w:rsidRDefault="00B55C9F" w:rsidP="00C61FB3">
      <w:pPr>
        <w:spacing w:line="360"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summary statistics of Opioids Per Capita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E3135D">
      <w:pPr>
        <w:spacing w:line="360" w:lineRule="auto"/>
        <w:jc w:val="both"/>
        <w:rPr>
          <w:rFonts w:ascii="Times" w:hAnsi="Times"/>
        </w:rPr>
      </w:pPr>
    </w:p>
    <w:p w14:paraId="2EEEFC92" w14:textId="215C2D1B" w:rsidR="00C003C1" w:rsidRDefault="00247F9F" w:rsidP="00C003C1">
      <w:pPr>
        <w:spacing w:line="360" w:lineRule="auto"/>
        <w:jc w:val="both"/>
        <w:rPr>
          <w:rFonts w:ascii="Times" w:hAnsi="Times"/>
        </w:rPr>
      </w:pPr>
      <w:r w:rsidRPr="00E3135D">
        <w:rPr>
          <w:rFonts w:ascii="Times" w:hAnsi="Times"/>
        </w:rPr>
        <w:t>Looking at the table above, it appears as though the mean opioid shipment per capita increased slightly after the policy was implemented. It is possible this can be attributed to the opioid shipments peaking at the beginning of 2010 when news of the policy was announced. However, looking at the graph of opioid shipments per capita for Florida, we can see a clear trend of a decrease in the total amount of opioid</w:t>
      </w:r>
      <w:r w:rsidR="00AA7F2C" w:rsidRPr="00E3135D">
        <w:rPr>
          <w:rFonts w:ascii="Times" w:hAnsi="Times"/>
        </w:rPr>
        <w:t>s</w:t>
      </w:r>
      <w:r w:rsidRPr="00E3135D">
        <w:rPr>
          <w:rFonts w:ascii="Times" w:hAnsi="Times"/>
        </w:rPr>
        <w:t xml:space="preserve"> shipped per capita</w:t>
      </w:r>
      <w:r w:rsidR="00C003C1">
        <w:rPr>
          <w:rFonts w:ascii="Times" w:hAnsi="Times"/>
        </w:rPr>
        <w:t xml:space="preserve"> after 2010.</w:t>
      </w:r>
    </w:p>
    <w:p w14:paraId="2B764114" w14:textId="55A04F78" w:rsidR="00C003C1" w:rsidRPr="00C003C1" w:rsidRDefault="00C003C1" w:rsidP="00C003C1">
      <w:pPr>
        <w:spacing w:line="360" w:lineRule="auto"/>
        <w:jc w:val="both"/>
        <w:rPr>
          <w:rFonts w:ascii="Times" w:hAnsi="Times"/>
          <w:i/>
          <w:iCs/>
        </w:rPr>
      </w:pPr>
      <w:r w:rsidRPr="00C003C1">
        <w:rPr>
          <w:rFonts w:ascii="Times" w:hAnsi="Times"/>
          <w:i/>
          <w:iCs/>
        </w:rPr>
        <w:t>Fig 2</w:t>
      </w:r>
      <w:r>
        <w:rPr>
          <w:rFonts w:ascii="Times" w:hAnsi="Times"/>
          <w:i/>
          <w:iCs/>
        </w:rPr>
        <w:t>b</w:t>
      </w:r>
      <w:r w:rsidRPr="00C003C1">
        <w:rPr>
          <w:rFonts w:ascii="Times" w:hAnsi="Times"/>
          <w:i/>
          <w:iCs/>
        </w:rPr>
        <w:t>: Opioid shipments per capita over time for all counties in Florida</w:t>
      </w:r>
    </w:p>
    <w:p w14:paraId="7A0DE9F2" w14:textId="77777777" w:rsidR="00A17BCD" w:rsidRDefault="004F61BD" w:rsidP="00C003C1">
      <w:pPr>
        <w:spacing w:line="360" w:lineRule="auto"/>
        <w:jc w:val="center"/>
        <w:rPr>
          <w:rFonts w:ascii="Times" w:hAnsi="Times"/>
        </w:rPr>
      </w:pPr>
      <w:r w:rsidRPr="00E3135D">
        <w:rPr>
          <w:rFonts w:ascii="Times" w:hAnsi="Times"/>
          <w:noProof/>
        </w:rPr>
        <w:drawing>
          <wp:inline distT="0" distB="0" distL="0" distR="0" wp14:anchorId="7004BBDF" wp14:editId="767B3252">
            <wp:extent cx="5219664" cy="408238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95" cy="4107752"/>
                    </a:xfrm>
                    <a:prstGeom prst="rect">
                      <a:avLst/>
                    </a:prstGeom>
                  </pic:spPr>
                </pic:pic>
              </a:graphicData>
            </a:graphic>
          </wp:inline>
        </w:drawing>
      </w:r>
    </w:p>
    <w:p w14:paraId="65F58466" w14:textId="6BF03AD5" w:rsidR="004C3135" w:rsidRPr="00A17BCD" w:rsidRDefault="002177CC" w:rsidP="00A17BCD">
      <w:pPr>
        <w:spacing w:line="360" w:lineRule="auto"/>
        <w:jc w:val="both"/>
        <w:rPr>
          <w:rFonts w:ascii="Times" w:hAnsi="Times"/>
        </w:rPr>
      </w:pPr>
      <w:r w:rsidRPr="00836386">
        <w:rPr>
          <w:rFonts w:ascii="Times" w:hAnsi="Times"/>
          <w:b/>
          <w:bCs/>
          <w:sz w:val="32"/>
          <w:szCs w:val="32"/>
        </w:rPr>
        <w:lastRenderedPageBreak/>
        <w:t>Rate of Opioid Shipment</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555851AE" w:rsidR="00506649" w:rsidRDefault="00506649" w:rsidP="00C61FB3">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 control groups</w:t>
      </w:r>
      <w:r w:rsidRPr="007F05C8">
        <w:rPr>
          <w:rFonts w:ascii="Times" w:eastAsia="Times New Roman" w:hAnsi="Times" w:cs="Arial"/>
          <w:color w:val="000000" w:themeColor="text1"/>
        </w:rPr>
        <w:t xml:space="preserve">. Otherwise, the hypothesis will be rejected if </w:t>
      </w:r>
      <w:r w:rsidR="001469AF" w:rsidRPr="001469AF">
        <w:rPr>
          <w:rFonts w:ascii="Times" w:eastAsia="Times New Roman" w:hAnsi="Times" w:cs="Arial"/>
          <w:color w:val="000000" w:themeColor="text1"/>
        </w:rPr>
        <w:t xml:space="preserve">the quantity’s trend continues at a </w:t>
      </w:r>
      <w:r w:rsidR="00C003C1">
        <w:rPr>
          <w:rFonts w:ascii="Times" w:eastAsia="Times New Roman" w:hAnsi="Times" w:cs="Arial"/>
          <w:color w:val="000000" w:themeColor="text1"/>
        </w:rPr>
        <w:t>rate similar</w:t>
      </w:r>
      <w:r w:rsidR="001469AF" w:rsidRPr="001469AF">
        <w:rPr>
          <w:rFonts w:ascii="Times" w:eastAsia="Times New Roman" w:hAnsi="Times" w:cs="Arial"/>
          <w:color w:val="000000" w:themeColor="text1"/>
        </w:rPr>
        <w:t xml:space="preserve"> </w:t>
      </w:r>
      <w:r>
        <w:rPr>
          <w:rFonts w:ascii="Times" w:eastAsia="Times New Roman" w:hAnsi="Times" w:cs="Arial"/>
          <w:color w:val="000000" w:themeColor="text1"/>
        </w:rPr>
        <w:t>to the control group</w:t>
      </w:r>
      <w:r w:rsidRPr="007F05C8">
        <w:rPr>
          <w:rFonts w:ascii="Times" w:eastAsia="Times New Roman" w:hAnsi="Times" w:cs="Arial"/>
          <w:color w:val="000000" w:themeColor="text1"/>
        </w:rPr>
        <w:t>.</w:t>
      </w:r>
    </w:p>
    <w:p w14:paraId="464F83FE" w14:textId="77777777" w:rsidR="00E3135D" w:rsidRDefault="00E3135D"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Pr="00836386" w:rsidRDefault="004C3135"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836386" w:rsidRDefault="00B039DB"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Florida</w:t>
      </w:r>
    </w:p>
    <w:p w14:paraId="7F812757" w14:textId="38CA5A4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64A9FFFB">
            <wp:extent cx="3611426" cy="264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658067" cy="2679147"/>
                    </a:xfrm>
                    <a:prstGeom prst="rect">
                      <a:avLst/>
                    </a:prstGeom>
                  </pic:spPr>
                </pic:pic>
              </a:graphicData>
            </a:graphic>
          </wp:inline>
        </w:drawing>
      </w:r>
    </w:p>
    <w:p w14:paraId="13821B87" w14:textId="6D48E62B" w:rsidR="00671B54" w:rsidRPr="00C61FB3" w:rsidRDefault="00671B54"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 xml:space="preserve">Fig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Opioids per capita for the intervention state Florida</w:t>
      </w:r>
    </w:p>
    <w:p w14:paraId="5A46937C" w14:textId="2E85689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states’ and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2A6056B" wp14:editId="4B2D43F0">
            <wp:extent cx="3754364" cy="2544857"/>
            <wp:effectExtent l="0" t="0" r="508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07899" cy="2581145"/>
                    </a:xfrm>
                    <a:prstGeom prst="rect">
                      <a:avLst/>
                    </a:prstGeom>
                  </pic:spPr>
                </pic:pic>
              </a:graphicData>
            </a:graphic>
          </wp:inline>
        </w:drawing>
      </w:r>
    </w:p>
    <w:p w14:paraId="3ECB5A5C" w14:textId="563F70F6" w:rsidR="008611E9" w:rsidRPr="00840EDF" w:rsidRDefault="008611E9" w:rsidP="00C61FB3">
      <w:pPr>
        <w:shd w:val="clear" w:color="auto" w:fill="FFFFFF"/>
        <w:spacing w:line="360"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CD6E8E0" w14:textId="02B7DEA1" w:rsidR="0060566E"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62E47C96" w14:textId="728C715F" w:rsidR="00506649" w:rsidRDefault="00506649" w:rsidP="004C3135">
      <w:pPr>
        <w:shd w:val="clear" w:color="auto" w:fill="FFFFFF"/>
        <w:jc w:val="both"/>
        <w:rPr>
          <w:rFonts w:ascii="Times" w:eastAsia="Times New Roman" w:hAnsi="Times" w:cs="Arial"/>
          <w:b/>
          <w:bCs/>
          <w:color w:val="000000" w:themeColor="text1"/>
          <w:sz w:val="28"/>
          <w:szCs w:val="28"/>
        </w:rPr>
      </w:pPr>
    </w:p>
    <w:p w14:paraId="6DB80273" w14:textId="371F4E15"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and </w:t>
      </w:r>
      <w:r w:rsidR="00C003C1">
        <w:rPr>
          <w:rFonts w:ascii="Times" w:eastAsia="Times New Roman" w:hAnsi="Times" w:cs="Arial"/>
          <w:color w:val="000000" w:themeColor="text1"/>
        </w:rPr>
        <w:t>insignificant</w:t>
      </w:r>
      <w:r>
        <w:rPr>
          <w:rFonts w:ascii="Times" w:eastAsia="Times New Roman" w:hAnsi="Times" w:cs="Arial"/>
          <w:color w:val="000000" w:themeColor="text1"/>
        </w:rPr>
        <w:t xml:space="preserve">.  This </w:t>
      </w:r>
      <w:r w:rsidR="001469AF">
        <w:rPr>
          <w:rFonts w:ascii="Times" w:eastAsia="Times New Roman" w:hAnsi="Times" w:cs="Arial"/>
          <w:color w:val="000000" w:themeColor="text1"/>
        </w:rPr>
        <w:t>slight</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C61FB3">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77BE6C23" wp14:editId="398C257B">
            <wp:extent cx="3662045" cy="266064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33806" cy="2712784"/>
                    </a:xfrm>
                    <a:prstGeom prst="rect">
                      <a:avLst/>
                    </a:prstGeom>
                  </pic:spPr>
                </pic:pic>
              </a:graphicData>
            </a:graphic>
          </wp:inline>
        </w:drawing>
      </w:r>
    </w:p>
    <w:p w14:paraId="651C8889" w14:textId="281E2E3C" w:rsidR="00914D89" w:rsidRDefault="00914D89" w:rsidP="00C61FB3">
      <w:pPr>
        <w:shd w:val="clear" w:color="auto" w:fill="FFFFFF"/>
        <w:spacing w:line="360" w:lineRule="auto"/>
        <w:jc w:val="center"/>
        <w:rPr>
          <w:rFonts w:ascii="Times" w:eastAsia="Times New Roman" w:hAnsi="Times" w:cs="Arial"/>
          <w:color w:val="000000" w:themeColor="text1"/>
        </w:rPr>
      </w:pPr>
      <w:r>
        <w:rPr>
          <w:rFonts w:ascii="Times" w:eastAsia="Times New Roman" w:hAnsi="Times" w:cs="Arial"/>
          <w:color w:val="000000" w:themeColor="text1"/>
        </w:rPr>
        <w:t>Fig 5</w:t>
      </w:r>
      <w:r w:rsidR="00C61FB3">
        <w:rPr>
          <w:rFonts w:ascii="Times" w:eastAsia="Times New Roman" w:hAnsi="Times" w:cs="Arial"/>
          <w:color w:val="000000" w:themeColor="text1"/>
        </w:rPr>
        <w:t>:</w:t>
      </w:r>
      <w:r w:rsidR="00E3135D">
        <w:rPr>
          <w:rFonts w:ascii="Times" w:eastAsia="Times New Roman" w:hAnsi="Times" w:cs="Arial"/>
          <w:color w:val="000000" w:themeColor="text1"/>
        </w:rPr>
        <w:t xml:space="preserve"> </w:t>
      </w:r>
      <w:r w:rsidR="00E3135D" w:rsidRPr="00840EDF">
        <w:rPr>
          <w:rFonts w:ascii="Times" w:eastAsia="Times New Roman" w:hAnsi="Times" w:cs="Arial"/>
          <w:i/>
          <w:iCs/>
          <w:color w:val="000000" w:themeColor="text1"/>
        </w:rPr>
        <w:t xml:space="preserve">Opioids per capita for the intervention state </w:t>
      </w:r>
      <w:r w:rsidR="00E3135D">
        <w:rPr>
          <w:rFonts w:ascii="Times" w:eastAsia="Times New Roman" w:hAnsi="Times" w:cs="Arial"/>
          <w:i/>
          <w:iCs/>
          <w:color w:val="000000" w:themeColor="text1"/>
        </w:rPr>
        <w:t>Washington</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5D214142"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substantially less negative than their control states’ and had a much smaller reduction in trend than their control states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not </w:t>
      </w:r>
      <w:r>
        <w:rPr>
          <w:rFonts w:ascii="Times" w:eastAsia="Times New Roman" w:hAnsi="Times" w:cs="Arial"/>
          <w:color w:val="000000" w:themeColor="text1"/>
        </w:rPr>
        <w:t>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C61FB3">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inline distT="0" distB="0" distL="0" distR="0" wp14:anchorId="57BE7987" wp14:editId="1A735F5E">
            <wp:extent cx="3775089" cy="254469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12842" cy="2570138"/>
                    </a:xfrm>
                    <a:prstGeom prst="rect">
                      <a:avLst/>
                    </a:prstGeom>
                  </pic:spPr>
                </pic:pic>
              </a:graphicData>
            </a:graphic>
          </wp:inline>
        </w:drawing>
      </w:r>
    </w:p>
    <w:p w14:paraId="2C5440CF" w14:textId="572E4AB9" w:rsidR="00C32784" w:rsidRPr="00C61FB3" w:rsidRDefault="00914D89"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 6.</w:t>
      </w:r>
      <w:r w:rsidR="00E3135D" w:rsidRPr="00C61FB3">
        <w:rPr>
          <w:rFonts w:ascii="Times" w:eastAsia="Times New Roman" w:hAnsi="Times" w:cs="Arial"/>
          <w:i/>
          <w:iCs/>
          <w:color w:val="000000" w:themeColor="text1"/>
          <w:sz w:val="22"/>
          <w:szCs w:val="22"/>
        </w:rPr>
        <w:t xml:space="preserve"> Average opioids per capita for Washington and its control states</w:t>
      </w:r>
    </w:p>
    <w:p w14:paraId="6E7F5998" w14:textId="1A6123B0" w:rsidR="004C3135" w:rsidRPr="00836386" w:rsidRDefault="004C3135" w:rsidP="00C32784">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lastRenderedPageBreak/>
        <w:t>Effect of regulation policy on the mortality rate of opioid overdose</w:t>
      </w:r>
    </w:p>
    <w:p w14:paraId="296EA369" w14:textId="57EB861A" w:rsidR="00C32784" w:rsidRPr="00836386" w:rsidRDefault="00C32784" w:rsidP="00C32784">
      <w:pPr>
        <w:shd w:val="clear" w:color="auto" w:fill="FFFFFF"/>
        <w:spacing w:line="360" w:lineRule="auto"/>
        <w:jc w:val="both"/>
        <w:rPr>
          <w:rFonts w:ascii="Times" w:eastAsia="Times New Roman" w:hAnsi="Times" w:cs="Arial"/>
          <w:color w:val="000000" w:themeColor="text1"/>
          <w:sz w:val="32"/>
          <w:szCs w:val="32"/>
        </w:rPr>
      </w:pPr>
      <w:r w:rsidRPr="00836386">
        <w:rPr>
          <w:rFonts w:ascii="Times" w:eastAsia="Times New Roman" w:hAnsi="Times" w:cs="Arial"/>
          <w:b/>
          <w:bCs/>
          <w:color w:val="000000" w:themeColor="text1"/>
          <w:sz w:val="32"/>
          <w:szCs w:val="32"/>
        </w:rPr>
        <w:t>Florida</w:t>
      </w:r>
    </w:p>
    <w:p w14:paraId="355A214F" w14:textId="75EE8A88" w:rsidR="00C32784" w:rsidRPr="002D011C" w:rsidRDefault="00C32784"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and its control states before and after policy implementation in Florida.  B</w:t>
      </w:r>
      <w:r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Pr>
          <w:rFonts w:ascii="Times" w:eastAsia="Times New Roman" w:hAnsi="Times" w:cs="Arial"/>
          <w:color w:val="000000" w:themeColor="text1"/>
        </w:rPr>
        <w:t xml:space="preserve">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25466978" w14:textId="01848770" w:rsidR="00C32784" w:rsidRPr="00C32784" w:rsidRDefault="00C32784" w:rsidP="00C32784">
      <w:pPr>
        <w:shd w:val="clear" w:color="auto" w:fill="FFFFFF"/>
        <w:jc w:val="both"/>
        <w:rPr>
          <w:rFonts w:ascii="Times" w:eastAsia="Times New Roman" w:hAnsi="Times" w:cs="Arial"/>
          <w:b/>
          <w:bCs/>
          <w:noProof/>
          <w:color w:val="000000" w:themeColor="text1"/>
          <w:sz w:val="28"/>
          <w:szCs w:val="28"/>
        </w:rPr>
      </w:pPr>
      <w:r>
        <w:rPr>
          <w:rFonts w:ascii="Times" w:eastAsia="Times New Roman" w:hAnsi="Times" w:cs="Arial"/>
          <w:b/>
          <w:bCs/>
          <w:noProof/>
          <w:color w:val="000000" w:themeColor="text1"/>
        </w:rPr>
        <w:drawing>
          <wp:anchor distT="0" distB="0" distL="114300" distR="114300" simplePos="0" relativeHeight="251659264" behindDoc="0" locked="0" layoutInCell="1" allowOverlap="1" wp14:anchorId="741B0653" wp14:editId="4BCE9F2E">
            <wp:simplePos x="0" y="0"/>
            <wp:positionH relativeFrom="column">
              <wp:posOffset>2903855</wp:posOffset>
            </wp:positionH>
            <wp:positionV relativeFrom="paragraph">
              <wp:posOffset>207010</wp:posOffset>
            </wp:positionV>
            <wp:extent cx="3451225" cy="2520950"/>
            <wp:effectExtent l="0" t="0" r="3175" b="635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1225" cy="2520950"/>
                    </a:xfrm>
                    <a:prstGeom prst="rect">
                      <a:avLst/>
                    </a:prstGeom>
                  </pic:spPr>
                </pic:pic>
              </a:graphicData>
            </a:graphic>
            <wp14:sizeRelH relativeFrom="page">
              <wp14:pctWidth>0</wp14:pctWidth>
            </wp14:sizeRelH>
            <wp14:sizeRelV relativeFrom="page">
              <wp14:pctHeight>0</wp14:pctHeight>
            </wp14:sizeRelV>
          </wp:anchor>
        </w:drawing>
      </w:r>
    </w:p>
    <w:p w14:paraId="6E8F3B0E" w14:textId="77777777" w:rsidR="00C32784" w:rsidRPr="007F05C8" w:rsidRDefault="00C32784" w:rsidP="00C32784">
      <w:pPr>
        <w:shd w:val="clear" w:color="auto" w:fill="FFFFFF"/>
        <w:jc w:val="both"/>
        <w:rPr>
          <w:rFonts w:ascii="Times" w:eastAsia="Times New Roman" w:hAnsi="Times" w:cs="Arial"/>
          <w:b/>
          <w:bCs/>
          <w:color w:val="000000" w:themeColor="text1"/>
        </w:rPr>
      </w:pPr>
      <w:r>
        <w:rPr>
          <w:rFonts w:ascii="Times" w:eastAsia="Times New Roman" w:hAnsi="Times" w:cs="Arial"/>
          <w:b/>
          <w:bCs/>
          <w:noProof/>
          <w:color w:val="000000" w:themeColor="text1"/>
        </w:rPr>
        <w:drawing>
          <wp:anchor distT="0" distB="0" distL="114300" distR="114300" simplePos="0" relativeHeight="251660288" behindDoc="0" locked="0" layoutInCell="1" allowOverlap="1" wp14:anchorId="50BD7975" wp14:editId="0FE95DDD">
            <wp:simplePos x="0" y="0"/>
            <wp:positionH relativeFrom="column">
              <wp:posOffset>0</wp:posOffset>
            </wp:positionH>
            <wp:positionV relativeFrom="paragraph">
              <wp:posOffset>1905</wp:posOffset>
            </wp:positionV>
            <wp:extent cx="2756079" cy="2520222"/>
            <wp:effectExtent l="0" t="0" r="0" b="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6079" cy="2520222"/>
                    </a:xfrm>
                    <a:prstGeom prst="rect">
                      <a:avLst/>
                    </a:prstGeom>
                  </pic:spPr>
                </pic:pic>
              </a:graphicData>
            </a:graphic>
            <wp14:sizeRelH relativeFrom="page">
              <wp14:pctWidth>0</wp14:pctWidth>
            </wp14:sizeRelH>
            <wp14:sizeRelV relativeFrom="page">
              <wp14:pctHeight>0</wp14:pctHeight>
            </wp14:sizeRelV>
          </wp:anchor>
        </w:drawing>
      </w:r>
    </w:p>
    <w:p w14:paraId="07D96D2B" w14:textId="74C128E7" w:rsidR="00C32784" w:rsidRPr="007F05C8" w:rsidRDefault="00C32784" w:rsidP="00C32784">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66466F">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Florida in February 2010.</w:t>
      </w:r>
    </w:p>
    <w:p w14:paraId="3B3DBF72" w14:textId="77777777" w:rsidR="00C32784" w:rsidRPr="007F05C8" w:rsidRDefault="00C32784" w:rsidP="00C32784">
      <w:pPr>
        <w:shd w:val="clear" w:color="auto" w:fill="FFFFFF"/>
        <w:jc w:val="both"/>
        <w:rPr>
          <w:rFonts w:ascii="Times" w:eastAsia="Times New Roman" w:hAnsi="Times" w:cs="Arial"/>
          <w:color w:val="000000" w:themeColor="text1"/>
        </w:rPr>
      </w:pPr>
    </w:p>
    <w:p w14:paraId="4AE6546D" w14:textId="61B2A954"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rate of opioid-drug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of opioid-drug overdose in these control states continues to </w:t>
      </w:r>
      <w:r w:rsidR="0066466F">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opioid-drug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w:t>
      </w:r>
      <w:r w:rsidRPr="007F05C8">
        <w:rPr>
          <w:rFonts w:ascii="Times" w:eastAsia="Times New Roman" w:hAnsi="Times" w:cs="Arial"/>
          <w:color w:val="000000" w:themeColor="text1"/>
        </w:rPr>
        <w:lastRenderedPageBreak/>
        <w:t xml:space="preserve">policy for opioid drugs in 2010, the mortality rate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Moreover, according to difference-in-difference analysis, the average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opioid-drug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 xml:space="preserve">lower than the average mortality rate of Florida from 2003 to 2009 while all of them held increasing tendencies of the mortality rate of opioid-drug overdose. However, the three comparison states still had an upward </w:t>
      </w:r>
      <w:r w:rsidR="0066466F">
        <w:rPr>
          <w:rFonts w:ascii="Times" w:eastAsia="Times New Roman" w:hAnsi="Times" w:cs="Arial"/>
          <w:color w:val="000000" w:themeColor="text1"/>
        </w:rPr>
        <w:t>mortality rate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 xml:space="preserve">drug overdose deaths between pre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1469A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rate of opioid-drug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Texas</w:t>
      </w:r>
    </w:p>
    <w:p w14:paraId="5104FB10" w14:textId="55C8CC8F"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0141B58A" w14:textId="41DA52FF" w:rsidR="00C32784" w:rsidRPr="00F05EC6" w:rsidRDefault="00C32784"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anchor distT="0" distB="0" distL="114300" distR="114300" simplePos="0" relativeHeight="251662336" behindDoc="0" locked="0" layoutInCell="1" allowOverlap="1" wp14:anchorId="06C2B165" wp14:editId="761C1574">
            <wp:simplePos x="0" y="0"/>
            <wp:positionH relativeFrom="column">
              <wp:posOffset>0</wp:posOffset>
            </wp:positionH>
            <wp:positionV relativeFrom="paragraph">
              <wp:posOffset>308297</wp:posOffset>
            </wp:positionV>
            <wp:extent cx="2783840" cy="2562860"/>
            <wp:effectExtent l="0" t="0" r="0" b="254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3840" cy="256286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1312" behindDoc="0" locked="0" layoutInCell="1" allowOverlap="1" wp14:anchorId="2E6FF1F6" wp14:editId="17A236B9">
            <wp:simplePos x="0" y="0"/>
            <wp:positionH relativeFrom="column">
              <wp:posOffset>2858770</wp:posOffset>
            </wp:positionH>
            <wp:positionV relativeFrom="paragraph">
              <wp:posOffset>308020</wp:posOffset>
            </wp:positionV>
            <wp:extent cx="3486150" cy="2562860"/>
            <wp:effectExtent l="0" t="0" r="6350" b="254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6150" cy="2562860"/>
                    </a:xfrm>
                    <a:prstGeom prst="rect">
                      <a:avLst/>
                    </a:prstGeom>
                  </pic:spPr>
                </pic:pic>
              </a:graphicData>
            </a:graphic>
            <wp14:sizeRelH relativeFrom="page">
              <wp14:pctWidth>0</wp14:pctWidth>
            </wp14:sizeRelH>
            <wp14:sizeRelV relativeFrom="page">
              <wp14:pctHeight>0</wp14:pctHeight>
            </wp14:sizeRelV>
          </wp:anchor>
        </w:drawing>
      </w:r>
    </w:p>
    <w:p w14:paraId="50DE1DBD" w14:textId="77777777" w:rsidR="00C32784" w:rsidRPr="00B238AE" w:rsidRDefault="00C32784" w:rsidP="00C32784">
      <w:pPr>
        <w:shd w:val="clear" w:color="auto" w:fill="FFFFFF"/>
        <w:jc w:val="both"/>
        <w:rPr>
          <w:rFonts w:ascii="Times" w:eastAsia="Times New Roman" w:hAnsi="Times" w:cs="Arial"/>
          <w:b/>
          <w:bCs/>
          <w:color w:val="000000" w:themeColor="text1"/>
          <w:sz w:val="28"/>
          <w:szCs w:val="28"/>
        </w:rPr>
      </w:pPr>
    </w:p>
    <w:p w14:paraId="7427B4C0" w14:textId="02A93062" w:rsidR="00C32784" w:rsidRPr="007F05C8" w:rsidRDefault="00C32784" w:rsidP="00C32784">
      <w:pPr>
        <w:shd w:val="clear" w:color="auto" w:fill="FFFFFF"/>
        <w:jc w:val="center"/>
        <w:rPr>
          <w:rFonts w:ascii="Times" w:eastAsia="Times New Roman" w:hAnsi="Times" w:cs="Arial"/>
          <w:color w:val="000000" w:themeColor="text1"/>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8</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E126B4">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Texas in </w:t>
      </w:r>
      <w:r w:rsidRPr="007F05C8">
        <w:rPr>
          <w:rFonts w:ascii="Times" w:hAnsi="Times"/>
          <w:i/>
          <w:iCs/>
          <w:sz w:val="22"/>
          <w:szCs w:val="22"/>
        </w:rPr>
        <w:t>January 2007.</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777937C1" w14:textId="63861E79"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rate of opioid-drug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of opioid-drug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rate</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 </w:t>
      </w:r>
      <w:r w:rsidR="00E126B4">
        <w:rPr>
          <w:rFonts w:ascii="Times" w:eastAsia="Times New Roman" w:hAnsi="Times" w:cs="Arial"/>
          <w:color w:val="000000" w:themeColor="text1"/>
        </w:rPr>
        <w:t xml:space="preserve">an </w:t>
      </w:r>
      <w:r w:rsidRPr="007F05C8">
        <w:rPr>
          <w:rFonts w:ascii="Times" w:eastAsia="Times New Roman" w:hAnsi="Times" w:cs="Arial"/>
          <w:color w:val="000000" w:themeColor="text1"/>
        </w:rPr>
        <w:t>opioid-drug overdose in TX dropped immediately to about 0.0105%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 xml:space="preserve">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Nevertheless, the three comparison states still had an upward </w:t>
      </w:r>
      <w:r w:rsidR="005F1418">
        <w:rPr>
          <w:rFonts w:ascii="Times" w:eastAsia="Times New Roman" w:hAnsi="Times" w:cs="Arial"/>
          <w:color w:val="000000" w:themeColor="text1"/>
        </w:rPr>
        <w:t>mortality rate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 xml:space="preserve">drug overdose deaths between pre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w:t>
      </w:r>
      <w:r w:rsidRPr="007F05C8">
        <w:rPr>
          <w:rFonts w:ascii="Times" w:eastAsia="Times New Roman" w:hAnsi="Times" w:cs="Arial"/>
          <w:color w:val="000000" w:themeColor="text1"/>
        </w:rPr>
        <w:lastRenderedPageBreak/>
        <w:t>rate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5F1418">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rate of opioid-drug overdose in Texas.</w:t>
      </w:r>
    </w:p>
    <w:p w14:paraId="005CCE38" w14:textId="1F77B512" w:rsidR="00C32784" w:rsidRDefault="00C32784" w:rsidP="00C32784">
      <w:pPr>
        <w:shd w:val="clear" w:color="auto" w:fill="FFFFFF"/>
        <w:jc w:val="both"/>
        <w:rPr>
          <w:rFonts w:ascii="Times" w:eastAsia="Times New Roman" w:hAnsi="Times" w:cs="Arial"/>
          <w:color w:val="000000" w:themeColor="text1"/>
        </w:rPr>
      </w:pP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Washington</w:t>
      </w:r>
    </w:p>
    <w:p w14:paraId="397D12F0" w14:textId="0C8EAFFB" w:rsidR="00385575"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0.25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035FEB6D" w14:textId="6D5D7A0D" w:rsidR="00C32784" w:rsidRPr="00B238AE" w:rsidRDefault="00385575"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noProof/>
          <w:color w:val="000000" w:themeColor="text1"/>
        </w:rPr>
        <w:drawing>
          <wp:anchor distT="0" distB="0" distL="114300" distR="114300" simplePos="0" relativeHeight="251664384" behindDoc="0" locked="0" layoutInCell="1" allowOverlap="1" wp14:anchorId="73A89422" wp14:editId="171CFE64">
            <wp:simplePos x="0" y="0"/>
            <wp:positionH relativeFrom="column">
              <wp:posOffset>-32198</wp:posOffset>
            </wp:positionH>
            <wp:positionV relativeFrom="paragraph">
              <wp:posOffset>297150</wp:posOffset>
            </wp:positionV>
            <wp:extent cx="2788276" cy="2450168"/>
            <wp:effectExtent l="0" t="0" r="6350" b="127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8276" cy="2450168"/>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noProof/>
          <w:color w:val="000000" w:themeColor="text1"/>
        </w:rPr>
        <w:drawing>
          <wp:anchor distT="0" distB="0" distL="114300" distR="114300" simplePos="0" relativeHeight="251663360" behindDoc="0" locked="0" layoutInCell="1" allowOverlap="1" wp14:anchorId="451A0E34" wp14:editId="139FC72C">
            <wp:simplePos x="0" y="0"/>
            <wp:positionH relativeFrom="column">
              <wp:posOffset>2787650</wp:posOffset>
            </wp:positionH>
            <wp:positionV relativeFrom="paragraph">
              <wp:posOffset>300355</wp:posOffset>
            </wp:positionV>
            <wp:extent cx="3444875" cy="2449830"/>
            <wp:effectExtent l="0" t="0" r="0" b="127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4875" cy="2449830"/>
                    </a:xfrm>
                    <a:prstGeom prst="rect">
                      <a:avLst/>
                    </a:prstGeom>
                  </pic:spPr>
                </pic:pic>
              </a:graphicData>
            </a:graphic>
            <wp14:sizeRelH relativeFrom="page">
              <wp14:pctWidth>0</wp14:pctWidth>
            </wp14:sizeRelH>
            <wp14:sizeRelV relativeFrom="page">
              <wp14:pctHeight>0</wp14:pctHeight>
            </wp14:sizeRelV>
          </wp:anchor>
        </w:drawing>
      </w:r>
    </w:p>
    <w:p w14:paraId="11D7671B" w14:textId="2F94751C"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2009BE4E"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E126B4">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Washington in </w:t>
      </w:r>
      <w:r w:rsidRPr="007F05C8">
        <w:rPr>
          <w:rFonts w:ascii="Times" w:hAnsi="Times"/>
          <w:i/>
          <w:iCs/>
          <w:sz w:val="22"/>
          <w:szCs w:val="22"/>
        </w:rPr>
        <w:t>January 2012.</w:t>
      </w:r>
    </w:p>
    <w:p w14:paraId="4D8C4767" w14:textId="77777777" w:rsidR="00C32784" w:rsidRPr="007F05C8" w:rsidRDefault="00C32784" w:rsidP="00C32784">
      <w:pPr>
        <w:pStyle w:val="BodyText"/>
        <w:spacing w:line="304" w:lineRule="auto"/>
        <w:ind w:right="131"/>
        <w:jc w:val="both"/>
        <w:rPr>
          <w:rFonts w:ascii="Times" w:hAnsi="Times"/>
          <w:color w:val="161616"/>
          <w:w w:val="110"/>
        </w:rPr>
      </w:pPr>
    </w:p>
    <w:p w14:paraId="199C1280" w14:textId="4C68696B"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lastRenderedPageBreak/>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opioid-drug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rate of opioid-drug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 xml:space="preserve">average mortality rate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The three comparison states still had an upward trend of mortality rate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general, the mortality rate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E126B4">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rates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5F1418">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w:t>
      </w:r>
      <w:bookmarkStart w:id="0" w:name="_GoBack"/>
      <w:bookmarkEnd w:id="0"/>
      <w:r w:rsidRPr="007F05C8">
        <w:rPr>
          <w:rFonts w:ascii="Times" w:eastAsia="Times New Roman" w:hAnsi="Times" w:cs="Arial"/>
          <w:color w:val="000000" w:themeColor="text1"/>
        </w:rPr>
        <w:t>dose</w:t>
      </w:r>
      <w:proofErr w:type="gramEnd"/>
      <w:r w:rsidRPr="007F05C8">
        <w:rPr>
          <w:rFonts w:ascii="Times" w:eastAsia="Times New Roman" w:hAnsi="Times" w:cs="Arial"/>
          <w:color w:val="000000" w:themeColor="text1"/>
        </w:rPr>
        <w:t xml:space="preserv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32EB11F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6D35AF97" w14:textId="347AE31F" w:rsidR="00506649" w:rsidRPr="007F05C8" w:rsidRDefault="00506649" w:rsidP="00506649">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w:t>
      </w:r>
      <w:r w:rsidRPr="003D3906">
        <w:rPr>
          <w:rFonts w:ascii="Times" w:eastAsia="Times New Roman" w:hAnsi="Times" w:cs="Arial"/>
          <w:color w:val="000000" w:themeColor="text1"/>
        </w:rPr>
        <w:lastRenderedPageBreak/>
        <w:t xml:space="preserve">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w:t>
      </w:r>
      <w:r w:rsidR="00E126B4">
        <w:rPr>
          <w:rFonts w:ascii="Times" w:eastAsia="Times New Roman" w:hAnsi="Times" w:cs="Arial"/>
          <w:color w:val="000000" w:themeColor="text1"/>
        </w:rPr>
        <w:t>,</w:t>
      </w:r>
      <w:r w:rsidRPr="003D3906">
        <w:rPr>
          <w:rFonts w:ascii="Times" w:eastAsia="Times New Roman" w:hAnsi="Times" w:cs="Arial"/>
          <w:color w:val="000000" w:themeColor="text1"/>
        </w:rPr>
        <w:t xml:space="preserve"> most states had implemented at least 3 of these </w:t>
      </w:r>
      <w:r w:rsidR="005F1418">
        <w:rPr>
          <w:rFonts w:ascii="Times" w:eastAsia="Times New Roman" w:hAnsi="Times" w:cs="Arial"/>
          <w:color w:val="000000" w:themeColor="text1"/>
        </w:rPr>
        <w:t>four</w:t>
      </w:r>
      <w:r w:rsidRPr="003D3906">
        <w:rPr>
          <w:rFonts w:ascii="Times" w:eastAsia="Times New Roman" w:hAnsi="Times" w:cs="Arial"/>
          <w:color w:val="000000" w:themeColor="text1"/>
        </w:rPr>
        <w:t xml:space="preserve">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 xml:space="preserve">is </w:t>
      </w:r>
      <w:r w:rsidR="005F1418">
        <w:rPr>
          <w:rFonts w:ascii="Times" w:eastAsia="Times New Roman" w:hAnsi="Times" w:cs="Arial"/>
          <w:color w:val="000000" w:themeColor="text1"/>
        </w:rPr>
        <w:t>challenging</w:t>
      </w:r>
      <w:r>
        <w:rPr>
          <w:rFonts w:ascii="Times" w:eastAsia="Times New Roman" w:hAnsi="Times" w:cs="Arial"/>
          <w:color w:val="000000" w:themeColor="text1"/>
        </w:rPr>
        <w:t xml:space="preserve">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 These factors complicate </w:t>
      </w:r>
      <w:r>
        <w:rPr>
          <w:rFonts w:ascii="Times" w:eastAsia="Times New Roman" w:hAnsi="Times" w:cs="Arial"/>
          <w:color w:val="000000" w:themeColor="text1"/>
        </w:rPr>
        <w:t xml:space="preserve">valid </w:t>
      </w:r>
      <w:r w:rsidR="00E126B4">
        <w:rPr>
          <w:rFonts w:ascii="Times" w:eastAsia="Times New Roman" w:hAnsi="Times" w:cs="Arial"/>
          <w:color w:val="000000" w:themeColor="text1"/>
        </w:rPr>
        <w:t>inferences</w:t>
      </w:r>
      <w:r>
        <w:rPr>
          <w:rFonts w:ascii="Times" w:eastAsia="Times New Roman" w:hAnsi="Times" w:cs="Arial"/>
          <w:color w:val="000000" w:themeColor="text1"/>
        </w:rPr>
        <w:t xml:space="preserve"> on </w:t>
      </w:r>
      <w:r w:rsidR="00E126B4">
        <w:rPr>
          <w:rFonts w:ascii="Times" w:eastAsia="Times New Roman" w:hAnsi="Times" w:cs="Arial"/>
          <w:color w:val="000000" w:themeColor="text1"/>
        </w:rPr>
        <w:t xml:space="preserve">the </w:t>
      </w:r>
      <w:r>
        <w:rPr>
          <w:rFonts w:ascii="Times" w:eastAsia="Times New Roman" w:hAnsi="Times" w:cs="Arial"/>
          <w:color w:val="000000" w:themeColor="text1"/>
        </w:rPr>
        <w:t>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4E87BAA9" w:rsidR="004C3135" w:rsidRPr="00C32784" w:rsidRDefault="004C3135" w:rsidP="004C3135">
      <w:pPr>
        <w:shd w:val="clear" w:color="auto" w:fill="FFFFFF"/>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4810C826" w14:textId="77777777" w:rsidR="00506649" w:rsidRPr="003D3906" w:rsidRDefault="00506649" w:rsidP="004C3135">
      <w:pPr>
        <w:shd w:val="clear" w:color="auto" w:fill="FFFFFF"/>
        <w:jc w:val="both"/>
        <w:rPr>
          <w:rFonts w:ascii="Times" w:eastAsia="Times New Roman" w:hAnsi="Times" w:cs="Arial"/>
          <w:b/>
          <w:bCs/>
          <w:color w:val="FF0000"/>
          <w:sz w:val="32"/>
          <w:szCs w:val="32"/>
        </w:rPr>
      </w:pPr>
    </w:p>
    <w:p w14:paraId="324D2D61" w14:textId="043BE755" w:rsidR="00506649" w:rsidRDefault="00506649" w:rsidP="00506649">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Based on this analysis, Florida and Texas have been able to implement successful policies to combat the opioid epidemic</w:t>
      </w:r>
      <w:r w:rsidR="00E126B4">
        <w:rPr>
          <w:rFonts w:ascii="Times" w:eastAsia="Times New Roman" w:hAnsi="Times" w:cs="Arial"/>
          <w:color w:val="000000" w:themeColor="text1"/>
        </w:rPr>
        <w:t>. They should</w:t>
      </w:r>
      <w:r>
        <w:rPr>
          <w:rFonts w:ascii="Times" w:eastAsia="Times New Roman" w:hAnsi="Times" w:cs="Arial"/>
          <w:color w:val="000000" w:themeColor="text1"/>
        </w:rPr>
        <w:t xml:space="preserve"> be used as a best practice case study for other states </w:t>
      </w:r>
      <w:r w:rsidR="005F1418">
        <w:rPr>
          <w:rFonts w:ascii="Times" w:eastAsia="Times New Roman" w:hAnsi="Times" w:cs="Arial"/>
          <w:color w:val="000000" w:themeColor="text1"/>
        </w:rPr>
        <w:t>that struggle to reduce</w:t>
      </w:r>
      <w:r>
        <w:rPr>
          <w:rFonts w:ascii="Times" w:eastAsia="Times New Roman" w:hAnsi="Times" w:cs="Arial"/>
          <w:color w:val="000000" w:themeColor="text1"/>
        </w:rPr>
        <w:t xml:space="preserve"> opioid deaths and over-prescription of opioids.  Conversely, Washington’s policy in 2012 </w:t>
      </w:r>
      <w:r w:rsidR="005F1418">
        <w:rPr>
          <w:rFonts w:ascii="Times" w:eastAsia="Times New Roman" w:hAnsi="Times" w:cs="Arial"/>
          <w:color w:val="000000" w:themeColor="text1"/>
        </w:rPr>
        <w:t>is</w:t>
      </w:r>
      <w:r>
        <w:rPr>
          <w:rFonts w:ascii="Times" w:eastAsia="Times New Roman" w:hAnsi="Times" w:cs="Arial"/>
          <w:color w:val="000000" w:themeColor="text1"/>
        </w:rPr>
        <w:t xml:space="preserve"> relatively ineffective at combating the opioid epidemic and should be updated to follow Florida’s implementation, which has been substantially more successful.</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20"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21"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6CB13" w14:textId="77777777" w:rsidR="00C46F90" w:rsidRDefault="00C46F90" w:rsidP="00AC5A3C">
      <w:r>
        <w:separator/>
      </w:r>
    </w:p>
  </w:endnote>
  <w:endnote w:type="continuationSeparator" w:id="0">
    <w:p w14:paraId="4EE643ED" w14:textId="77777777" w:rsidR="00C46F90" w:rsidRDefault="00C46F90"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charset w:val="00"/>
    <w:family w:val="auto"/>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5062624"/>
      <w:docPartObj>
        <w:docPartGallery w:val="Page Numbers (Bottom of Page)"/>
        <w:docPartUnique/>
      </w:docPartObj>
    </w:sdtPr>
    <w:sdtEndPr>
      <w:rPr>
        <w:rStyle w:val="PageNumber"/>
      </w:rPr>
    </w:sdtEnd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93249092"/>
      <w:docPartObj>
        <w:docPartGallery w:val="Page Numbers (Bottom of Page)"/>
        <w:docPartUnique/>
      </w:docPartObj>
    </w:sdtPr>
    <w:sdtEndPr>
      <w:rPr>
        <w:rStyle w:val="PageNumber"/>
      </w:rPr>
    </w:sdtEnd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14A9FB" w14:textId="77777777" w:rsidR="00C46F90" w:rsidRDefault="00C46F90" w:rsidP="00AC5A3C">
      <w:r>
        <w:separator/>
      </w:r>
    </w:p>
  </w:footnote>
  <w:footnote w:type="continuationSeparator" w:id="0">
    <w:p w14:paraId="44CC14BD" w14:textId="77777777" w:rsidR="00C46F90" w:rsidRDefault="00C46F90"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B2994"/>
    <w:rsid w:val="0010500E"/>
    <w:rsid w:val="0012342B"/>
    <w:rsid w:val="001469AF"/>
    <w:rsid w:val="00155DED"/>
    <w:rsid w:val="00170BAA"/>
    <w:rsid w:val="001B5271"/>
    <w:rsid w:val="001C6BA3"/>
    <w:rsid w:val="002159A5"/>
    <w:rsid w:val="002177CC"/>
    <w:rsid w:val="00223F14"/>
    <w:rsid w:val="00247F9F"/>
    <w:rsid w:val="00252006"/>
    <w:rsid w:val="002944D6"/>
    <w:rsid w:val="002E4C74"/>
    <w:rsid w:val="002E5A66"/>
    <w:rsid w:val="002F1BB0"/>
    <w:rsid w:val="00322EB3"/>
    <w:rsid w:val="00351B38"/>
    <w:rsid w:val="00385575"/>
    <w:rsid w:val="00387D8C"/>
    <w:rsid w:val="0039743D"/>
    <w:rsid w:val="00410949"/>
    <w:rsid w:val="0042380B"/>
    <w:rsid w:val="00455DAE"/>
    <w:rsid w:val="0048051D"/>
    <w:rsid w:val="004C3135"/>
    <w:rsid w:val="004C4033"/>
    <w:rsid w:val="004F61BD"/>
    <w:rsid w:val="00506649"/>
    <w:rsid w:val="005660CB"/>
    <w:rsid w:val="005C16F9"/>
    <w:rsid w:val="005D01B5"/>
    <w:rsid w:val="005D671F"/>
    <w:rsid w:val="005F1418"/>
    <w:rsid w:val="005F5733"/>
    <w:rsid w:val="0060566E"/>
    <w:rsid w:val="00661AAE"/>
    <w:rsid w:val="0066466F"/>
    <w:rsid w:val="00671B54"/>
    <w:rsid w:val="007153C4"/>
    <w:rsid w:val="00727FEC"/>
    <w:rsid w:val="007773E0"/>
    <w:rsid w:val="007A44DB"/>
    <w:rsid w:val="007D0DDD"/>
    <w:rsid w:val="007D535F"/>
    <w:rsid w:val="007F0B5D"/>
    <w:rsid w:val="007F1131"/>
    <w:rsid w:val="008007A6"/>
    <w:rsid w:val="00820830"/>
    <w:rsid w:val="00836386"/>
    <w:rsid w:val="00840EDF"/>
    <w:rsid w:val="008611E9"/>
    <w:rsid w:val="00873C55"/>
    <w:rsid w:val="008A09CE"/>
    <w:rsid w:val="008B4BC2"/>
    <w:rsid w:val="008F3D25"/>
    <w:rsid w:val="00914D89"/>
    <w:rsid w:val="00920E0B"/>
    <w:rsid w:val="00991CE3"/>
    <w:rsid w:val="009D2144"/>
    <w:rsid w:val="009E7933"/>
    <w:rsid w:val="00A0329D"/>
    <w:rsid w:val="00A17BCD"/>
    <w:rsid w:val="00A3307D"/>
    <w:rsid w:val="00A42CD2"/>
    <w:rsid w:val="00A63D5F"/>
    <w:rsid w:val="00AA7F2C"/>
    <w:rsid w:val="00AC5A3C"/>
    <w:rsid w:val="00AE606D"/>
    <w:rsid w:val="00B039DB"/>
    <w:rsid w:val="00B2179A"/>
    <w:rsid w:val="00B466E8"/>
    <w:rsid w:val="00B53592"/>
    <w:rsid w:val="00B55C9F"/>
    <w:rsid w:val="00B80E08"/>
    <w:rsid w:val="00B87048"/>
    <w:rsid w:val="00BD3714"/>
    <w:rsid w:val="00BF5ACB"/>
    <w:rsid w:val="00C003C1"/>
    <w:rsid w:val="00C116FD"/>
    <w:rsid w:val="00C300AF"/>
    <w:rsid w:val="00C32784"/>
    <w:rsid w:val="00C46F90"/>
    <w:rsid w:val="00C61FB3"/>
    <w:rsid w:val="00CA5218"/>
    <w:rsid w:val="00CD5E99"/>
    <w:rsid w:val="00D50D64"/>
    <w:rsid w:val="00D81335"/>
    <w:rsid w:val="00D8364B"/>
    <w:rsid w:val="00D93D1A"/>
    <w:rsid w:val="00D9639F"/>
    <w:rsid w:val="00DB3D1B"/>
    <w:rsid w:val="00DF0671"/>
    <w:rsid w:val="00DF7EC7"/>
    <w:rsid w:val="00E126B4"/>
    <w:rsid w:val="00E3135D"/>
    <w:rsid w:val="00E90E07"/>
    <w:rsid w:val="00E92823"/>
    <w:rsid w:val="00F04220"/>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cdc.gov/drugoverdose/rxrate-maps/state2020.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orldpopulationreview.com/stat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16</Pages>
  <Words>4042</Words>
  <Characters>23040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Emmanuel Ruhamyankaka</cp:lastModifiedBy>
  <cp:revision>9</cp:revision>
  <dcterms:created xsi:type="dcterms:W3CDTF">2022-11-29T15:23:00Z</dcterms:created>
  <dcterms:modified xsi:type="dcterms:W3CDTF">2022-11-29T17:02:00Z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