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7EB105E3" w14:textId="4162967E" w:rsidR="004C3135" w:rsidRDefault="004C3135" w:rsidP="00D8364B">
      <w:pPr>
        <w:shd w:val="clear" w:color="auto" w:fill="FFFFFF"/>
        <w:jc w:val="center"/>
        <w:rPr>
          <w:rFonts w:ascii="Times" w:hAnsi="Times" w:cs="Arial"/>
          <w:color w:val="1D1C1D"/>
        </w:rPr>
      </w:pPr>
      <w:r w:rsidRPr="00791E5A">
        <w:rPr>
          <w:rFonts w:ascii="Times" w:hAnsi="Times" w:cs="Arial"/>
          <w:color w:val="1D1C1D"/>
        </w:rPr>
        <w:t>Grey Team (Nick Carroll, Jiaxin Ying, Emmanuel Ruhamyankaka, Song Young Oh)</w:t>
      </w:r>
    </w:p>
    <w:p w14:paraId="7E3428FA" w14:textId="77777777" w:rsidR="00D8364B" w:rsidRPr="00D8364B" w:rsidRDefault="00D8364B" w:rsidP="00D8364B">
      <w:pPr>
        <w:shd w:val="clear" w:color="auto" w:fill="FFFFFF"/>
        <w:jc w:val="center"/>
        <w:rPr>
          <w:rFonts w:ascii="Times" w:hAnsi="Times" w:cs="Arial"/>
          <w:color w:val="1D1C1D"/>
        </w:rPr>
      </w:pPr>
    </w:p>
    <w:p w14:paraId="683BD751" w14:textId="77777777" w:rsidR="004C3135" w:rsidRPr="005B40ED" w:rsidRDefault="004C3135" w:rsidP="004C3135">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08D1DD80"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762B2A00" w14:textId="77777777" w:rsidR="00506649" w:rsidRPr="00791E5A" w:rsidRDefault="00506649" w:rsidP="00506649">
      <w:pPr>
        <w:spacing w:line="360" w:lineRule="auto"/>
        <w:jc w:val="both"/>
        <w:rPr>
          <w:rFonts w:ascii="Times" w:hAnsi="Times"/>
          <w:color w:val="000000" w:themeColor="text1"/>
          <w:lang w:eastAsia="ko-KR"/>
        </w:rPr>
      </w:pPr>
    </w:p>
    <w:p w14:paraId="70F739D4"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In addition to these efforts at the federal level, there has been enforcement of state-level opioid control policies in various parts of the US. For instance, the Texas Medical Board adopted regulations with regards to treating pain with controlled substances in 2007. The Florida legislature also require</w:t>
      </w:r>
      <w:r>
        <w:rPr>
          <w:rFonts w:ascii="Times" w:hAnsi="Times"/>
          <w:color w:val="000000" w:themeColor="text1"/>
        </w:rPr>
        <w:t>d</w:t>
      </w:r>
      <w:r w:rsidRPr="00791E5A">
        <w:rPr>
          <w:rFonts w:ascii="Times" w:hAnsi="Times"/>
          <w:color w:val="000000" w:themeColor="text1"/>
        </w:rPr>
        <w:t xml:space="preserve"> pain clinics </w:t>
      </w:r>
      <w:r>
        <w:rPr>
          <w:rFonts w:ascii="Times" w:hAnsi="Times"/>
          <w:color w:val="000000" w:themeColor="text1"/>
        </w:rPr>
        <w:t xml:space="preserve">who </w:t>
      </w:r>
      <w:r w:rsidRPr="00791E5A">
        <w:rPr>
          <w:rFonts w:ascii="Times" w:hAnsi="Times"/>
          <w:color w:val="000000" w:themeColor="text1"/>
        </w:rPr>
        <w:t xml:space="preserve">treat pain with controlled substances </w:t>
      </w:r>
      <w:r>
        <w:rPr>
          <w:rFonts w:ascii="Times" w:hAnsi="Times"/>
          <w:color w:val="000000" w:themeColor="text1"/>
        </w:rPr>
        <w:t xml:space="preserve">to </w:t>
      </w:r>
      <w:r w:rsidRPr="00791E5A">
        <w:rPr>
          <w:rFonts w:ascii="Times" w:hAnsi="Times"/>
          <w:color w:val="000000" w:themeColor="text1"/>
        </w:rPr>
        <w:t xml:space="preserve">register with the state </w:t>
      </w:r>
      <w:r>
        <w:rPr>
          <w:rFonts w:ascii="Times" w:hAnsi="Times"/>
          <w:color w:val="000000" w:themeColor="text1"/>
        </w:rPr>
        <w:t xml:space="preserve">starting in </w:t>
      </w:r>
      <w:r w:rsidRPr="00791E5A">
        <w:rPr>
          <w:rFonts w:ascii="Times" w:hAnsi="Times"/>
          <w:color w:val="000000" w:themeColor="text1"/>
        </w:rPr>
        <w:t>2010, and the Washington Department of Health adopted a rule regulating the prescri</w:t>
      </w:r>
      <w:r>
        <w:rPr>
          <w:rFonts w:ascii="Times" w:hAnsi="Times"/>
          <w:color w:val="000000" w:themeColor="text1"/>
        </w:rPr>
        <w:t>ption</w:t>
      </w:r>
      <w:r w:rsidRPr="00791E5A">
        <w:rPr>
          <w:rFonts w:ascii="Times" w:hAnsi="Times"/>
          <w:color w:val="000000" w:themeColor="text1"/>
        </w:rPr>
        <w:t xml:space="preserve"> of opioids for pain treatment in 201</w:t>
      </w:r>
      <w:r>
        <w:rPr>
          <w:rFonts w:ascii="Times" w:hAnsi="Times"/>
          <w:color w:val="000000" w:themeColor="text1"/>
        </w:rPr>
        <w:t>2</w:t>
      </w:r>
      <w:r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77777777"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allows policy makers to implement best practices and update policies that are ineffective</w:t>
      </w:r>
      <w:r w:rsidRPr="00791E5A">
        <w:rPr>
          <w:rFonts w:ascii="Times" w:hAnsi="Times"/>
          <w:color w:val="000000" w:themeColor="text1"/>
        </w:rPr>
        <w:t xml:space="preserve">. </w:t>
      </w:r>
      <w:r>
        <w:rPr>
          <w:rFonts w:ascii="Times" w:hAnsi="Times"/>
          <w:color w:val="000000" w:themeColor="text1"/>
        </w:rPr>
        <w:t xml:space="preserve"> In particular, the intent of these regulations is to reduce opioid abuse; however, they have the possibility for unintended effects by limiting legal access of drugs to addicts.</w:t>
      </w:r>
    </w:p>
    <w:p w14:paraId="28043D23" w14:textId="77777777" w:rsidR="00506649" w:rsidRDefault="00506649" w:rsidP="00506649">
      <w:pPr>
        <w:spacing w:line="360" w:lineRule="auto"/>
        <w:jc w:val="both"/>
        <w:rPr>
          <w:rFonts w:ascii="Times" w:hAnsi="Times"/>
          <w:color w:val="000000" w:themeColor="text1"/>
        </w:rPr>
      </w:pPr>
    </w:p>
    <w:p w14:paraId="45AA39E9" w14:textId="77777777"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in three states (Texas, Florida, Washington)</w:t>
      </w:r>
      <w:r>
        <w:rPr>
          <w:rFonts w:ascii="Times" w:hAnsi="Times"/>
          <w:color w:val="000000" w:themeColor="text1"/>
        </w:rPr>
        <w:t xml:space="preserve"> in the early 2000’s (2007, 2010, and 2012 respectively).  </w:t>
      </w:r>
      <w:proofErr w:type="gramStart"/>
      <w:r>
        <w:rPr>
          <w:rFonts w:ascii="Times" w:hAnsi="Times"/>
          <w:color w:val="000000" w:themeColor="text1"/>
        </w:rPr>
        <w:t>In particular, this</w:t>
      </w:r>
      <w:proofErr w:type="gramEnd"/>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6771DE6A" w14:textId="77777777" w:rsidR="00D8364B" w:rsidRDefault="00D8364B" w:rsidP="004C3135">
      <w:pPr>
        <w:spacing w:line="360" w:lineRule="auto"/>
        <w:jc w:val="both"/>
        <w:rPr>
          <w:rFonts w:ascii="Times" w:hAnsi="Times"/>
          <w:b/>
          <w:bCs/>
          <w:color w:val="000000" w:themeColor="text1"/>
          <w:sz w:val="32"/>
          <w:szCs w:val="32"/>
        </w:rPr>
      </w:pPr>
    </w:p>
    <w:p w14:paraId="112F8BEA" w14:textId="3214EA6B"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62871B0F" w14:textId="5CFB9002" w:rsidR="004C3135" w:rsidRDefault="004C3135" w:rsidP="004C3135">
      <w:pPr>
        <w:spacing w:line="360" w:lineRule="auto"/>
        <w:jc w:val="both"/>
        <w:rPr>
          <w:rFonts w:ascii="Times" w:hAnsi="Times"/>
          <w:color w:val="000000" w:themeColor="text1"/>
        </w:rPr>
      </w:pPr>
      <w:r>
        <w:rPr>
          <w:rFonts w:ascii="Times" w:hAnsi="Times"/>
          <w:color w:val="000000" w:themeColor="text1"/>
        </w:rPr>
        <w:lastRenderedPageBreak/>
        <w:t>The analysis will be implemented to answer the following two research questions.</w:t>
      </w: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246FC3DF" w14:textId="379B543E" w:rsidR="00D8364B" w:rsidRPr="00D8364B" w:rsidRDefault="004C3135" w:rsidP="00D8364B">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11B6F86E" w14:textId="77777777" w:rsidR="00D8364B" w:rsidRDefault="00D8364B" w:rsidP="004C3135">
      <w:pPr>
        <w:spacing w:line="360" w:lineRule="auto"/>
        <w:jc w:val="both"/>
        <w:rPr>
          <w:rFonts w:ascii="Times" w:hAnsi="Times"/>
          <w:color w:val="000000" w:themeColor="text1"/>
        </w:rPr>
      </w:pPr>
    </w:p>
    <w:p w14:paraId="75CA89CD" w14:textId="39D0937D" w:rsidR="004C3135" w:rsidRDefault="004C3135" w:rsidP="004C3135">
      <w:pPr>
        <w:spacing w:line="360" w:lineRule="auto"/>
        <w:jc w:val="both"/>
        <w:rPr>
          <w:rFonts w:ascii="Times" w:hAnsi="Times"/>
          <w:color w:val="000000" w:themeColor="text1"/>
        </w:rPr>
      </w:pPr>
      <w:r>
        <w:rPr>
          <w:rFonts w:ascii="Times" w:hAnsi="Times"/>
          <w:color w:val="000000" w:themeColor="text1"/>
        </w:rPr>
        <w:t xml:space="preserve">To draw valid inference on causal effects of these three policies, two kinds of approaches will be mainly used in the analysis. From an intuitive perspective, the first approach is pre-post comparison which focuses on difference between pre-policy and post-policy outcomes. Thus, this analysis will compare the </w:t>
      </w:r>
      <w:proofErr w:type="gramStart"/>
      <w:r>
        <w:rPr>
          <w:rFonts w:ascii="Times" w:hAnsi="Times"/>
          <w:color w:val="000000" w:themeColor="text1"/>
        </w:rPr>
        <w:t>amount</w:t>
      </w:r>
      <w:proofErr w:type="gramEnd"/>
      <w:r>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Pr="00791E5A">
        <w:rPr>
          <w:rFonts w:ascii="Times" w:hAnsi="Times"/>
          <w:color w:val="000000" w:themeColor="text1"/>
        </w:rPr>
        <w:t xml:space="preserve">The </w:t>
      </w:r>
      <w:r>
        <w:rPr>
          <w:rFonts w:ascii="Times" w:hAnsi="Times"/>
          <w:color w:val="000000" w:themeColor="text1"/>
        </w:rPr>
        <w:t xml:space="preserve">second approach </w:t>
      </w:r>
      <w:r w:rsidRPr="00791E5A">
        <w:rPr>
          <w:rFonts w:ascii="Times" w:hAnsi="Times"/>
          <w:color w:val="000000" w:themeColor="text1"/>
        </w:rPr>
        <w:t>is a difference-in-difference method which compares the changes in outcomes over time between a state with a policy change and other states without the policy change.</w:t>
      </w:r>
      <w:r>
        <w:rPr>
          <w:rFonts w:ascii="Times" w:hAnsi="Times"/>
          <w:color w:val="000000" w:themeColor="text1"/>
        </w:rPr>
        <w:t xml:space="preserve"> Each jurisdiction will be compared to the quantities in comparison states where no policies are in place.</w:t>
      </w:r>
    </w:p>
    <w:p w14:paraId="7615689E" w14:textId="77777777" w:rsidR="004C3135" w:rsidRDefault="004C3135" w:rsidP="004C3135">
      <w:pPr>
        <w:spacing w:line="360" w:lineRule="auto"/>
        <w:jc w:val="both"/>
        <w:rPr>
          <w:rFonts w:ascii="Times" w:hAnsi="Times"/>
          <w:color w:val="000000" w:themeColor="text1"/>
        </w:rPr>
      </w:pP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7A8E9AD2" w14:textId="77777777" w:rsidR="00506649" w:rsidRDefault="00506649" w:rsidP="00506649">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4BD65284" w14:textId="77777777" w:rsidR="00506649" w:rsidRPr="00A53FC4" w:rsidRDefault="00506649" w:rsidP="00506649">
      <w:pPr>
        <w:spacing w:line="360" w:lineRule="auto"/>
        <w:jc w:val="both"/>
        <w:rPr>
          <w:rFonts w:ascii="Times" w:hAnsi="Times"/>
          <w:color w:val="000000" w:themeColor="text1"/>
        </w:rPr>
      </w:pP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77777777"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Vital Statistics Mortality Data: The US Underlying Cause of Death statistics includes quantities of deaths in each year, broken down by each county, and includes the cause of death as qualified by drug or alcohol induced.</w:t>
      </w:r>
    </w:p>
    <w:p w14:paraId="514BE937" w14:textId="77777777" w:rsidR="00506649" w:rsidRPr="00BA0810"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proofErr w:type="gramStart"/>
      <w:r w:rsidRPr="00BA0810">
        <w:rPr>
          <w:rFonts w:ascii="Times" w:hAnsi="Times"/>
          <w:color w:val="000000" w:themeColor="text1"/>
        </w:rPr>
        <w:t>a number of</w:t>
      </w:r>
      <w:proofErr w:type="gramEnd"/>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156D36C" w14:textId="77777777" w:rsidR="004C3135" w:rsidRDefault="004C3135" w:rsidP="004C3135">
      <w:pPr>
        <w:spacing w:line="360" w:lineRule="auto"/>
        <w:jc w:val="both"/>
        <w:rPr>
          <w:rFonts w:ascii="Times" w:hAnsi="Times"/>
          <w:color w:val="000000" w:themeColor="text1"/>
        </w:rPr>
      </w:pPr>
    </w:p>
    <w:p w14:paraId="65F07113" w14:textId="645E2E82" w:rsidR="004C3135" w:rsidRDefault="004C3135" w:rsidP="004C3135">
      <w:pPr>
        <w:jc w:val="both"/>
        <w:rPr>
          <w:rFonts w:ascii="Times" w:hAnsi="Times"/>
          <w:b/>
          <w:bCs/>
          <w:color w:val="000000" w:themeColor="text1"/>
          <w:sz w:val="28"/>
          <w:szCs w:val="28"/>
        </w:rPr>
      </w:pPr>
      <w:r>
        <w:rPr>
          <w:rFonts w:ascii="Times" w:hAnsi="Times"/>
          <w:b/>
          <w:bCs/>
          <w:color w:val="000000" w:themeColor="text1"/>
          <w:sz w:val="28"/>
          <w:szCs w:val="28"/>
        </w:rPr>
        <w:t>Methods</w:t>
      </w:r>
    </w:p>
    <w:p w14:paraId="0C2B1722" w14:textId="77777777" w:rsidR="00D8364B" w:rsidRPr="00D8364B" w:rsidRDefault="00D8364B" w:rsidP="004C3135">
      <w:pPr>
        <w:jc w:val="both"/>
        <w:rPr>
          <w:rFonts w:ascii="Times" w:hAnsi="Times"/>
          <w:b/>
          <w:bCs/>
          <w:color w:val="000000" w:themeColor="text1"/>
          <w:sz w:val="28"/>
          <w:szCs w:val="28"/>
        </w:rPr>
      </w:pPr>
    </w:p>
    <w:p w14:paraId="7F5BEE2E" w14:textId="77777777"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that these policies had on opioid shipments and overdose deaths, a linear regression of average annualized opioid shipments per capita and overdose deaths per capita were calculated and plotted for each impacted jurisdiction.  Two plots were made for each jurisdiction, for each variable analyzed: one which compared the linear trend prior to policy implementation against the linear trend after the policy implementation, and one which compared these linear trends against the linear trends for their control group.  </w:t>
      </w:r>
    </w:p>
    <w:p w14:paraId="04CD4E71" w14:textId="77777777"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totaled.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prior to policy implementation and after policy implementation, and linear regression trend lines, along with confidence intervals, were calculated for each.</w:t>
      </w:r>
    </w:p>
    <w:p w14:paraId="5346FA53" w14:textId="77777777"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Similarly, to calculate the linear regressions for average annualized overdose deaths per capita, the mortality data was filtered for deaths that were considered drug induced, and the census data was used to calculate the drug induced deaths per capita for each county.  Then, the drug induced deaths were averaged over all the counties for an average drug induced death rate per capita for each year.  And finally, the data was split into the periods prior to policy implementation and after policy 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525F43" w:rsidRDefault="004C3135" w:rsidP="004C3135">
      <w:pPr>
        <w:jc w:val="both"/>
        <w:rPr>
          <w:rFonts w:ascii="Times" w:hAnsi="Times"/>
          <w:b/>
          <w:bCs/>
          <w:color w:val="000000" w:themeColor="text1"/>
          <w:sz w:val="28"/>
          <w:szCs w:val="28"/>
        </w:rPr>
      </w:pPr>
      <w:r w:rsidRPr="00525F43">
        <w:rPr>
          <w:rFonts w:ascii="Times" w:hAnsi="Times"/>
          <w:b/>
          <w:bCs/>
          <w:color w:val="000000" w:themeColor="text1"/>
          <w:sz w:val="28"/>
          <w:szCs w:val="28"/>
        </w:rPr>
        <w:t>Comparison States</w:t>
      </w:r>
    </w:p>
    <w:p w14:paraId="6E3A70DF" w14:textId="77777777" w:rsidR="004C3135" w:rsidRPr="007F05C8" w:rsidRDefault="004C3135" w:rsidP="004C3135">
      <w:pPr>
        <w:jc w:val="both"/>
        <w:rPr>
          <w:rFonts w:ascii="Times" w:hAnsi="Times"/>
          <w:color w:val="000000" w:themeColor="text1"/>
        </w:rPr>
      </w:pPr>
    </w:p>
    <w:p w14:paraId="01ECC026" w14:textId="77777777" w:rsidR="00506649" w:rsidRPr="00860C6E" w:rsidRDefault="00506649" w:rsidP="00506649">
      <w:pPr>
        <w:shd w:val="clear" w:color="auto" w:fill="FFFFFF"/>
        <w:spacing w:line="360" w:lineRule="auto"/>
        <w:jc w:val="both"/>
        <w:rPr>
          <w:rFonts w:ascii="Batang" w:eastAsia="Batang" w:hAnsi="Batang" w:cs="Batang"/>
          <w:color w:val="000000" w:themeColor="text1"/>
          <w:lang w:eastAsia="ko-KR"/>
        </w:rPr>
      </w:pPr>
      <w:r>
        <w:rPr>
          <w:rFonts w:ascii="Times" w:eastAsia="Times New Roman" w:hAnsi="Times" w:cs="Arial"/>
          <w:color w:val="000000" w:themeColor="text1"/>
          <w:lang w:eastAsia="ko-KR"/>
        </w:rPr>
        <w:lastRenderedPageBreak/>
        <w:t>For this causal inference analysis, the trends of each jurisdiction which implemented a policy was compared against the averages of three states for their own control group.  Each control group’s three states were selected based on their similarity to the treated state.  The metrics used to define “similarity” were population size and opioid dispensing rate.  For this decision, population size was provided by World Population Review [3], and the opioid dispensing rate was provided by Centers for Disease Control and Prevention [4]. As shown in Table 1, the states which have the most “similarity” with each treated state in question was sorted with a sum of the difference in these two metrics. Based on this result, Florida’s comparison states will be Pennsylvania, Ohio, and Georgia. Texas will have Illinois, New York, and Virginia as its control states, and Washington will be compared with Arizona, Maryland, and Wisconsin throughout the analysis.</w:t>
      </w:r>
    </w:p>
    <w:p w14:paraId="361C376C" w14:textId="77777777" w:rsidR="004C3135" w:rsidRPr="002846BC" w:rsidRDefault="004C3135" w:rsidP="004C3135">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2020</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 Score</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F44C62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4C71A55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43.1</w:t>
            </w:r>
          </w:p>
        </w:tc>
        <w:tc>
          <w:tcPr>
            <w:tcW w:w="1369" w:type="dxa"/>
            <w:shd w:val="clear" w:color="auto" w:fill="F4B083" w:themeFill="accent2" w:themeFillTint="99"/>
            <w:vAlign w:val="center"/>
          </w:tcPr>
          <w:p w14:paraId="3EE20EF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shd w:val="clear" w:color="auto" w:fill="F4B083" w:themeFill="accent2" w:themeFillTint="99"/>
            <w:vAlign w:val="center"/>
          </w:tcPr>
          <w:p w14:paraId="01660C2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2.3</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71FAB90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A9A62F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47.4</w:t>
            </w:r>
          </w:p>
        </w:tc>
        <w:tc>
          <w:tcPr>
            <w:tcW w:w="1369" w:type="dxa"/>
            <w:shd w:val="clear" w:color="auto" w:fill="F4B083" w:themeFill="accent2" w:themeFillTint="99"/>
            <w:vAlign w:val="center"/>
          </w:tcPr>
          <w:p w14:paraId="4FD39AE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03EBB0A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w:t>
            </w:r>
          </w:p>
        </w:tc>
        <w:tc>
          <w:tcPr>
            <w:tcW w:w="1177" w:type="dxa"/>
            <w:tcBorders>
              <w:left w:val="single" w:sz="36" w:space="0" w:color="auto"/>
              <w:right w:val="single" w:sz="36" w:space="0" w:color="auto"/>
            </w:tcBorders>
            <w:shd w:val="clear" w:color="auto" w:fill="8EAADB" w:themeFill="accent1" w:themeFillTint="99"/>
            <w:vAlign w:val="center"/>
          </w:tcPr>
          <w:p w14:paraId="03E574E7"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2DBC9E6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3815DE17"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53.9</w:t>
            </w:r>
          </w:p>
        </w:tc>
        <w:tc>
          <w:tcPr>
            <w:tcW w:w="1369" w:type="dxa"/>
            <w:shd w:val="clear" w:color="auto" w:fill="F4B083" w:themeFill="accent2" w:themeFillTint="99"/>
            <w:vAlign w:val="center"/>
          </w:tcPr>
          <w:p w14:paraId="39F5D7D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765675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10.5</w:t>
            </w:r>
          </w:p>
        </w:tc>
        <w:tc>
          <w:tcPr>
            <w:tcW w:w="1177" w:type="dxa"/>
            <w:tcBorders>
              <w:left w:val="single" w:sz="36" w:space="0" w:color="auto"/>
              <w:right w:val="single" w:sz="36" w:space="0" w:color="auto"/>
            </w:tcBorders>
            <w:shd w:val="clear" w:color="auto" w:fill="8EAADB" w:themeFill="accent1" w:themeFillTint="99"/>
            <w:vAlign w:val="center"/>
          </w:tcPr>
          <w:p w14:paraId="783B069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15.5</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California</w:t>
            </w:r>
          </w:p>
        </w:tc>
        <w:tc>
          <w:tcPr>
            <w:tcW w:w="1217" w:type="dxa"/>
            <w:vAlign w:val="center"/>
          </w:tcPr>
          <w:p w14:paraId="191218C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217" w:type="dxa"/>
            <w:vAlign w:val="center"/>
          </w:tcPr>
          <w:p w14:paraId="664CB49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28.5</w:t>
            </w:r>
          </w:p>
        </w:tc>
        <w:tc>
          <w:tcPr>
            <w:tcW w:w="1369" w:type="dxa"/>
            <w:vAlign w:val="center"/>
          </w:tcPr>
          <w:p w14:paraId="27B84D0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14.9</w:t>
            </w:r>
          </w:p>
        </w:tc>
        <w:tc>
          <w:tcPr>
            <w:tcW w:w="1177" w:type="dxa"/>
            <w:tcBorders>
              <w:left w:val="single" w:sz="36" w:space="0" w:color="auto"/>
              <w:right w:val="single" w:sz="36" w:space="0" w:color="auto"/>
            </w:tcBorders>
            <w:shd w:val="clear" w:color="auto" w:fill="8EAADB" w:themeFill="accent1" w:themeFillTint="99"/>
            <w:vAlign w:val="center"/>
          </w:tcPr>
          <w:p w14:paraId="3C7EB52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16.9</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vAlign w:val="center"/>
          </w:tcPr>
          <w:p w14:paraId="26B83B8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vAlign w:val="center"/>
          </w:tcPr>
          <w:p w14:paraId="04CFFD3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54.4</w:t>
            </w:r>
          </w:p>
        </w:tc>
        <w:tc>
          <w:tcPr>
            <w:tcW w:w="1369" w:type="dxa"/>
            <w:vAlign w:val="center"/>
          </w:tcPr>
          <w:p w14:paraId="3A32CF2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vAlign w:val="center"/>
          </w:tcPr>
          <w:p w14:paraId="4A42A5C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11.0</w:t>
            </w:r>
          </w:p>
        </w:tc>
        <w:tc>
          <w:tcPr>
            <w:tcW w:w="1177" w:type="dxa"/>
            <w:tcBorders>
              <w:left w:val="single" w:sz="36" w:space="0" w:color="auto"/>
              <w:right w:val="single" w:sz="36" w:space="0" w:color="auto"/>
            </w:tcBorders>
            <w:shd w:val="clear" w:color="auto" w:fill="8EAADB" w:themeFill="accent1" w:themeFillTint="99"/>
            <w:vAlign w:val="center"/>
          </w:tcPr>
          <w:p w14:paraId="79DF62A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18.0</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shd w:val="clear" w:color="auto" w:fill="F7CAAC" w:themeFill="accent2" w:themeFillTint="66"/>
            <w:vAlign w:val="center"/>
          </w:tcPr>
          <w:p w14:paraId="3241B9E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shd w:val="clear" w:color="auto" w:fill="F7CAAC" w:themeFill="accent2" w:themeFillTint="66"/>
            <w:vAlign w:val="center"/>
          </w:tcPr>
          <w:p w14:paraId="1E85F34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40.2</w:t>
            </w:r>
          </w:p>
        </w:tc>
        <w:tc>
          <w:tcPr>
            <w:tcW w:w="1369" w:type="dxa"/>
            <w:shd w:val="clear" w:color="auto" w:fill="F4B083" w:themeFill="accent2" w:themeFillTint="99"/>
            <w:vAlign w:val="center"/>
          </w:tcPr>
          <w:p w14:paraId="13D2467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04E5A65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2.3</w:t>
            </w:r>
          </w:p>
        </w:tc>
        <w:tc>
          <w:tcPr>
            <w:tcW w:w="1177" w:type="dxa"/>
            <w:tcBorders>
              <w:left w:val="single" w:sz="36" w:space="0" w:color="auto"/>
              <w:right w:val="single" w:sz="36" w:space="0" w:color="auto"/>
            </w:tcBorders>
            <w:shd w:val="clear" w:color="auto" w:fill="8EAADB" w:themeFill="accent1" w:themeFillTint="99"/>
            <w:vAlign w:val="center"/>
          </w:tcPr>
          <w:p w14:paraId="7929FA3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6.3</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New York</w:t>
            </w:r>
          </w:p>
        </w:tc>
        <w:tc>
          <w:tcPr>
            <w:tcW w:w="1217" w:type="dxa"/>
            <w:shd w:val="clear" w:color="auto" w:fill="F7CAAC" w:themeFill="accent2" w:themeFillTint="66"/>
            <w:vAlign w:val="center"/>
          </w:tcPr>
          <w:p w14:paraId="76D5D7F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217" w:type="dxa"/>
            <w:shd w:val="clear" w:color="auto" w:fill="F7CAAC" w:themeFill="accent2" w:themeFillTint="66"/>
            <w:vAlign w:val="center"/>
          </w:tcPr>
          <w:p w14:paraId="04CACA3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31.9</w:t>
            </w:r>
          </w:p>
        </w:tc>
        <w:tc>
          <w:tcPr>
            <w:tcW w:w="1369" w:type="dxa"/>
            <w:shd w:val="clear" w:color="auto" w:fill="F4B083" w:themeFill="accent2" w:themeFillTint="99"/>
            <w:vAlign w:val="center"/>
          </w:tcPr>
          <w:p w14:paraId="72BB7AC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shd w:val="clear" w:color="auto" w:fill="F4B083" w:themeFill="accent2" w:themeFillTint="99"/>
            <w:vAlign w:val="center"/>
          </w:tcPr>
          <w:p w14:paraId="1D61773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c>
          <w:tcPr>
            <w:tcW w:w="1177" w:type="dxa"/>
            <w:tcBorders>
              <w:left w:val="single" w:sz="36" w:space="0" w:color="auto"/>
              <w:right w:val="single" w:sz="36" w:space="0" w:color="auto"/>
            </w:tcBorders>
            <w:shd w:val="clear" w:color="auto" w:fill="8EAADB" w:themeFill="accent1" w:themeFillTint="99"/>
            <w:vAlign w:val="center"/>
          </w:tcPr>
          <w:p w14:paraId="3F263917"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1AA62EB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745B294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37.6</w:t>
            </w:r>
          </w:p>
        </w:tc>
        <w:tc>
          <w:tcPr>
            <w:tcW w:w="1369" w:type="dxa"/>
            <w:shd w:val="clear" w:color="auto" w:fill="F4B083" w:themeFill="accent2" w:themeFillTint="99"/>
            <w:vAlign w:val="center"/>
          </w:tcPr>
          <w:p w14:paraId="684B59D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2DC361C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10.3</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California</w:t>
            </w:r>
          </w:p>
        </w:tc>
        <w:tc>
          <w:tcPr>
            <w:tcW w:w="1217" w:type="dxa"/>
            <w:vAlign w:val="center"/>
          </w:tcPr>
          <w:p w14:paraId="41CE14C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217" w:type="dxa"/>
            <w:vAlign w:val="center"/>
          </w:tcPr>
          <w:p w14:paraId="1A01334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28.5</w:t>
            </w:r>
          </w:p>
        </w:tc>
        <w:tc>
          <w:tcPr>
            <w:tcW w:w="1369" w:type="dxa"/>
            <w:vAlign w:val="center"/>
          </w:tcPr>
          <w:p w14:paraId="3B19CC3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vAlign w:val="center"/>
          </w:tcPr>
          <w:p w14:paraId="67BD33F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9.4</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1521B7B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4990C79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47.4</w:t>
            </w:r>
          </w:p>
        </w:tc>
        <w:tc>
          <w:tcPr>
            <w:tcW w:w="1369" w:type="dxa"/>
            <w:vAlign w:val="center"/>
          </w:tcPr>
          <w:p w14:paraId="5245878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vAlign w:val="center"/>
          </w:tcPr>
          <w:p w14:paraId="506C3AA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6576F66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1FD8ACD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40.5</w:t>
            </w:r>
          </w:p>
        </w:tc>
        <w:tc>
          <w:tcPr>
            <w:tcW w:w="1369" w:type="dxa"/>
            <w:shd w:val="clear" w:color="auto" w:fill="F4B083" w:themeFill="accent2" w:themeFillTint="99"/>
            <w:vAlign w:val="center"/>
          </w:tcPr>
          <w:p w14:paraId="566B3D2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6B1699F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5D1EC3B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2.0</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Maryland</w:t>
            </w:r>
          </w:p>
        </w:tc>
        <w:tc>
          <w:tcPr>
            <w:tcW w:w="1217" w:type="dxa"/>
            <w:shd w:val="clear" w:color="auto" w:fill="F7CAAC" w:themeFill="accent2" w:themeFillTint="66"/>
            <w:vAlign w:val="center"/>
          </w:tcPr>
          <w:p w14:paraId="504DBD0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19</w:t>
            </w:r>
          </w:p>
        </w:tc>
        <w:tc>
          <w:tcPr>
            <w:tcW w:w="1217" w:type="dxa"/>
            <w:shd w:val="clear" w:color="auto" w:fill="F7CAAC" w:themeFill="accent2" w:themeFillTint="66"/>
            <w:vAlign w:val="center"/>
          </w:tcPr>
          <w:p w14:paraId="5159F38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39.5</w:t>
            </w:r>
          </w:p>
        </w:tc>
        <w:tc>
          <w:tcPr>
            <w:tcW w:w="1369" w:type="dxa"/>
            <w:shd w:val="clear" w:color="auto" w:fill="F4B083" w:themeFill="accent2" w:themeFillTint="99"/>
            <w:vAlign w:val="center"/>
          </w:tcPr>
          <w:p w14:paraId="02E1A75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25DE82A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Wisconsin</w:t>
            </w:r>
          </w:p>
        </w:tc>
        <w:tc>
          <w:tcPr>
            <w:tcW w:w="1217" w:type="dxa"/>
            <w:shd w:val="clear" w:color="auto" w:fill="F7CAAC" w:themeFill="accent2" w:themeFillTint="66"/>
            <w:vAlign w:val="center"/>
          </w:tcPr>
          <w:p w14:paraId="05F03AA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20</w:t>
            </w:r>
          </w:p>
        </w:tc>
        <w:tc>
          <w:tcPr>
            <w:tcW w:w="1217" w:type="dxa"/>
            <w:shd w:val="clear" w:color="auto" w:fill="F7CAAC" w:themeFill="accent2" w:themeFillTint="66"/>
            <w:vAlign w:val="center"/>
          </w:tcPr>
          <w:p w14:paraId="6C05E2D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39.6</w:t>
            </w:r>
          </w:p>
        </w:tc>
        <w:tc>
          <w:tcPr>
            <w:tcW w:w="1369" w:type="dxa"/>
            <w:shd w:val="clear" w:color="auto" w:fill="F4B083" w:themeFill="accent2" w:themeFillTint="99"/>
            <w:vAlign w:val="center"/>
          </w:tcPr>
          <w:p w14:paraId="38DB4BD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4FF9176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0.1</w:t>
            </w:r>
          </w:p>
        </w:tc>
        <w:tc>
          <w:tcPr>
            <w:tcW w:w="1177" w:type="dxa"/>
            <w:tcBorders>
              <w:left w:val="single" w:sz="36" w:space="0" w:color="auto"/>
              <w:right w:val="single" w:sz="36" w:space="0" w:color="auto"/>
            </w:tcBorders>
            <w:shd w:val="clear" w:color="auto" w:fill="8EAADB" w:themeFill="accent1" w:themeFillTint="99"/>
            <w:vAlign w:val="center"/>
          </w:tcPr>
          <w:p w14:paraId="220388E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7.1</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250E4E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346A194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40.2</w:t>
            </w:r>
          </w:p>
        </w:tc>
        <w:tc>
          <w:tcPr>
            <w:tcW w:w="1369" w:type="dxa"/>
            <w:vAlign w:val="center"/>
          </w:tcPr>
          <w:p w14:paraId="6557BA5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vAlign w:val="center"/>
          </w:tcPr>
          <w:p w14:paraId="719377E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0.7</w:t>
            </w:r>
          </w:p>
        </w:tc>
        <w:tc>
          <w:tcPr>
            <w:tcW w:w="1177" w:type="dxa"/>
            <w:tcBorders>
              <w:left w:val="single" w:sz="36" w:space="0" w:color="auto"/>
              <w:right w:val="single" w:sz="36" w:space="0" w:color="auto"/>
            </w:tcBorders>
            <w:shd w:val="clear" w:color="auto" w:fill="8EAADB" w:themeFill="accent1" w:themeFillTint="99"/>
            <w:vAlign w:val="center"/>
          </w:tcPr>
          <w:p w14:paraId="416B1DB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7.7</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vAlign w:val="center"/>
          </w:tcPr>
          <w:p w14:paraId="4E5C9C8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217" w:type="dxa"/>
            <w:vAlign w:val="center"/>
          </w:tcPr>
          <w:p w14:paraId="51EEC46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33.3</w:t>
            </w:r>
          </w:p>
        </w:tc>
        <w:tc>
          <w:tcPr>
            <w:tcW w:w="1369" w:type="dxa"/>
            <w:vAlign w:val="center"/>
          </w:tcPr>
          <w:p w14:paraId="4FF2AFC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2C4EAD9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6.2</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8.3</w:t>
            </w:r>
          </w:p>
        </w:tc>
      </w:tr>
    </w:tbl>
    <w:p w14:paraId="29AB480E" w14:textId="77777777" w:rsidR="0005203D" w:rsidRDefault="0005203D" w:rsidP="00050AD9">
      <w:pPr>
        <w:rPr>
          <w:sz w:val="32"/>
          <w:szCs w:val="32"/>
        </w:rPr>
      </w:pPr>
    </w:p>
    <w:p w14:paraId="0ABCFE47" w14:textId="52E9BF0C" w:rsidR="00050AD9" w:rsidRPr="00D8364B" w:rsidRDefault="00050AD9" w:rsidP="00D8364B">
      <w:pPr>
        <w:spacing w:line="360" w:lineRule="auto"/>
        <w:rPr>
          <w:rFonts w:ascii="Times" w:hAnsi="Times"/>
          <w:b/>
          <w:bCs/>
          <w:sz w:val="28"/>
          <w:szCs w:val="28"/>
        </w:rPr>
      </w:pPr>
      <w:r w:rsidRPr="00D8364B">
        <w:rPr>
          <w:rFonts w:ascii="Times" w:hAnsi="Times"/>
          <w:b/>
          <w:bCs/>
          <w:sz w:val="28"/>
          <w:szCs w:val="28"/>
        </w:rPr>
        <w:t>Summary statistics</w:t>
      </w:r>
    </w:p>
    <w:p w14:paraId="0F73AB6F" w14:textId="7374287A" w:rsidR="00050AD9" w:rsidRPr="00D8364B" w:rsidRDefault="00D8364B" w:rsidP="00D8364B">
      <w:pPr>
        <w:spacing w:line="360" w:lineRule="auto"/>
        <w:rPr>
          <w:rFonts w:ascii="Times" w:hAnsi="Times"/>
          <w:b/>
          <w:bCs/>
          <w:sz w:val="28"/>
          <w:szCs w:val="28"/>
        </w:rPr>
      </w:pPr>
      <w:r w:rsidRPr="00D8364B">
        <w:rPr>
          <w:rFonts w:ascii="Times" w:hAnsi="Times"/>
          <w:b/>
          <w:bCs/>
          <w:sz w:val="28"/>
          <w:szCs w:val="28"/>
        </w:rPr>
        <w:t>Mortality</w:t>
      </w:r>
      <w:r>
        <w:rPr>
          <w:rFonts w:ascii="Times" w:hAnsi="Times"/>
          <w:b/>
          <w:bCs/>
          <w:sz w:val="28"/>
          <w:szCs w:val="28"/>
        </w:rPr>
        <w:t xml:space="preserve"> Rate of Opioid Overdose </w:t>
      </w:r>
    </w:p>
    <w:p w14:paraId="4286A092" w14:textId="28792C59" w:rsidR="008611E9" w:rsidRPr="00D8364B" w:rsidRDefault="00050AD9" w:rsidP="00D8364B">
      <w:pPr>
        <w:spacing w:line="360" w:lineRule="auto"/>
        <w:jc w:val="both"/>
        <w:rPr>
          <w:rFonts w:ascii="Times" w:hAnsi="Times"/>
        </w:rPr>
      </w:pPr>
      <w:r w:rsidRPr="00D8364B">
        <w:rPr>
          <w:rFonts w:ascii="Times" w:hAnsi="Times"/>
        </w:rPr>
        <w:t xml:space="preserve">The mortality dataset includes 362 counties. The average number of fatalities among the counties is 52.695, with a standard deviation of 78.9. At the county level, Ellis County in Texas and 25 </w:t>
      </w:r>
      <w:r w:rsidRPr="00D8364B">
        <w:rPr>
          <w:rFonts w:ascii="Times" w:hAnsi="Times"/>
        </w:rPr>
        <w:lastRenderedPageBreak/>
        <w:t>other states have the lowest mean number of deaths which is 10, while Maricopa County has the highest mean number of deaths of 571. At the state level, the maximum number of deaths is 748 and 10 is the lowest number of deaths across the years. Normalized to the population level, Dickenson County in VA has the highest death rate of 0.065% and Hidalgo County in Texas has the lowest death rate of 0.0023%. The graph below compares the general trend in death rates between the control states with no policy and the policy-implemented states. Overall, we may observe a substantial rise in deathrates for states without policies compared to states with policies.</w:t>
      </w:r>
    </w:p>
    <w:p w14:paraId="41836C45" w14:textId="77777777" w:rsidR="00050AD9" w:rsidRDefault="00050AD9" w:rsidP="00050AD9">
      <w:r w:rsidRPr="00007B19">
        <w:rPr>
          <w:noProof/>
        </w:rPr>
        <w:drawing>
          <wp:inline distT="0" distB="0" distL="0" distR="0" wp14:anchorId="1B56BB12" wp14:editId="695359CF">
            <wp:extent cx="40894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9400" cy="3048000"/>
                    </a:xfrm>
                    <a:prstGeom prst="rect">
                      <a:avLst/>
                    </a:prstGeom>
                  </pic:spPr>
                </pic:pic>
              </a:graphicData>
            </a:graphic>
          </wp:inline>
        </w:drawing>
      </w:r>
    </w:p>
    <w:p w14:paraId="4BA71132" w14:textId="393D34B3" w:rsidR="00D8364B" w:rsidRPr="00D8364B" w:rsidRDefault="00D8364B" w:rsidP="00D8364B">
      <w:pPr>
        <w:jc w:val="center"/>
        <w:rPr>
          <w:rFonts w:ascii="Times" w:hAnsi="Times"/>
          <w:i/>
          <w:iCs/>
        </w:rPr>
      </w:pPr>
      <w:r w:rsidRPr="00D8364B">
        <w:rPr>
          <w:rFonts w:ascii="Times" w:hAnsi="Times"/>
          <w:i/>
          <w:iCs/>
        </w:rPr>
        <w:t>Fig</w:t>
      </w:r>
      <w:r>
        <w:rPr>
          <w:rFonts w:ascii="Times" w:hAnsi="Times"/>
          <w:i/>
          <w:iCs/>
        </w:rPr>
        <w:t>ure</w:t>
      </w:r>
      <w:r w:rsidRPr="00D8364B">
        <w:rPr>
          <w:rFonts w:ascii="Times" w:hAnsi="Times"/>
          <w:i/>
          <w:iCs/>
        </w:rPr>
        <w:t xml:space="preserve"> </w:t>
      </w:r>
      <w:r>
        <w:rPr>
          <w:rFonts w:ascii="Times" w:hAnsi="Times"/>
          <w:i/>
          <w:iCs/>
        </w:rPr>
        <w:t>A</w:t>
      </w:r>
      <w:r w:rsidRPr="00D8364B">
        <w:rPr>
          <w:rFonts w:ascii="Times" w:hAnsi="Times"/>
          <w:i/>
          <w:iCs/>
        </w:rPr>
        <w:t>: Shows a general trend of deathrates between intervention and control states</w:t>
      </w:r>
    </w:p>
    <w:p w14:paraId="69DD77D8" w14:textId="77777777" w:rsidR="00050AD9" w:rsidRDefault="00050AD9" w:rsidP="00050AD9"/>
    <w:p w14:paraId="704B7F12" w14:textId="6E0B0378" w:rsidR="00050AD9" w:rsidRDefault="002177CC" w:rsidP="00050AD9">
      <w:r>
        <w:rPr>
          <w:rFonts w:ascii="Times" w:hAnsi="Times"/>
          <w:b/>
          <w:bCs/>
          <w:sz w:val="28"/>
          <w:szCs w:val="28"/>
        </w:rPr>
        <w:t>Rate of Opioid Shipment</w:t>
      </w:r>
    </w:p>
    <w:p w14:paraId="2B869B03" w14:textId="77777777" w:rsidR="004C3135" w:rsidRDefault="004C3135" w:rsidP="004C3135">
      <w:pPr>
        <w:jc w:val="both"/>
        <w:rPr>
          <w:rFonts w:ascii="Times" w:hAnsi="Times"/>
          <w:b/>
          <w:bCs/>
          <w:color w:val="000000" w:themeColor="text1"/>
          <w:sz w:val="32"/>
          <w:szCs w:val="32"/>
        </w:rPr>
      </w:pPr>
    </w:p>
    <w:p w14:paraId="5FB12793" w14:textId="77777777" w:rsidR="00873C55" w:rsidRDefault="00873C55" w:rsidP="004C3135">
      <w:pPr>
        <w:jc w:val="both"/>
        <w:rPr>
          <w:rFonts w:ascii="Times" w:hAnsi="Times"/>
          <w:b/>
          <w:bCs/>
          <w:color w:val="000000" w:themeColor="text1"/>
          <w:sz w:val="32"/>
          <w:szCs w:val="32"/>
        </w:rPr>
      </w:pPr>
    </w:p>
    <w:p w14:paraId="2CE18BF8" w14:textId="77777777" w:rsidR="00873C55" w:rsidRDefault="00873C55" w:rsidP="004C3135">
      <w:pPr>
        <w:jc w:val="both"/>
        <w:rPr>
          <w:rFonts w:ascii="Times" w:hAnsi="Times"/>
          <w:b/>
          <w:bCs/>
          <w:color w:val="000000" w:themeColor="text1"/>
          <w:sz w:val="32"/>
          <w:szCs w:val="32"/>
        </w:rPr>
      </w:pPr>
    </w:p>
    <w:p w14:paraId="5A330E28" w14:textId="0FE635C9" w:rsidR="00873C55" w:rsidRDefault="00873C55" w:rsidP="004C3135">
      <w:pPr>
        <w:jc w:val="both"/>
        <w:rPr>
          <w:rFonts w:ascii="Times" w:hAnsi="Times"/>
          <w:b/>
          <w:bCs/>
          <w:color w:val="000000" w:themeColor="text1"/>
          <w:sz w:val="32"/>
          <w:szCs w:val="32"/>
        </w:rPr>
      </w:pPr>
    </w:p>
    <w:p w14:paraId="0DAA136C" w14:textId="3790F31A" w:rsidR="00D8364B" w:rsidRDefault="00D8364B" w:rsidP="004C3135">
      <w:pPr>
        <w:jc w:val="both"/>
        <w:rPr>
          <w:rFonts w:ascii="Times" w:hAnsi="Times"/>
          <w:b/>
          <w:bCs/>
          <w:color w:val="000000" w:themeColor="text1"/>
          <w:sz w:val="32"/>
          <w:szCs w:val="32"/>
        </w:rPr>
      </w:pPr>
    </w:p>
    <w:p w14:paraId="4ECB047C" w14:textId="5D77F34B" w:rsidR="002177CC" w:rsidRDefault="002177CC" w:rsidP="004C3135">
      <w:pPr>
        <w:jc w:val="both"/>
        <w:rPr>
          <w:rFonts w:ascii="Times" w:hAnsi="Times"/>
          <w:b/>
          <w:bCs/>
          <w:color w:val="000000" w:themeColor="text1"/>
          <w:sz w:val="32"/>
          <w:szCs w:val="32"/>
        </w:rPr>
      </w:pPr>
    </w:p>
    <w:p w14:paraId="5DBD73D0" w14:textId="4810DE29" w:rsidR="002177CC" w:rsidRDefault="002177CC" w:rsidP="004C3135">
      <w:pPr>
        <w:jc w:val="both"/>
        <w:rPr>
          <w:rFonts w:ascii="Times" w:hAnsi="Times"/>
          <w:b/>
          <w:bCs/>
          <w:color w:val="000000" w:themeColor="text1"/>
          <w:sz w:val="32"/>
          <w:szCs w:val="32"/>
        </w:rPr>
      </w:pPr>
    </w:p>
    <w:p w14:paraId="4A279E70" w14:textId="6CF61CD4" w:rsidR="002177CC" w:rsidRDefault="002177CC" w:rsidP="004C3135">
      <w:pPr>
        <w:jc w:val="both"/>
        <w:rPr>
          <w:rFonts w:ascii="Times" w:hAnsi="Times"/>
          <w:b/>
          <w:bCs/>
          <w:color w:val="000000" w:themeColor="text1"/>
          <w:sz w:val="32"/>
          <w:szCs w:val="32"/>
        </w:rPr>
      </w:pPr>
    </w:p>
    <w:p w14:paraId="38BCF1AB" w14:textId="43900251" w:rsidR="002177CC" w:rsidRDefault="002177CC" w:rsidP="004C3135">
      <w:pPr>
        <w:jc w:val="both"/>
        <w:rPr>
          <w:rFonts w:ascii="Times" w:hAnsi="Times"/>
          <w:b/>
          <w:bCs/>
          <w:color w:val="000000" w:themeColor="text1"/>
          <w:sz w:val="32"/>
          <w:szCs w:val="32"/>
        </w:rPr>
      </w:pPr>
    </w:p>
    <w:p w14:paraId="06B5A510" w14:textId="0189FCCE" w:rsidR="002177CC" w:rsidRDefault="002177CC" w:rsidP="004C3135">
      <w:pPr>
        <w:jc w:val="both"/>
        <w:rPr>
          <w:rFonts w:ascii="Times" w:hAnsi="Times"/>
          <w:b/>
          <w:bCs/>
          <w:color w:val="000000" w:themeColor="text1"/>
          <w:sz w:val="32"/>
          <w:szCs w:val="32"/>
        </w:rPr>
      </w:pPr>
    </w:p>
    <w:p w14:paraId="25B421D6" w14:textId="0A82CEA9" w:rsidR="002177CC" w:rsidRDefault="002177CC" w:rsidP="004C3135">
      <w:pPr>
        <w:jc w:val="both"/>
        <w:rPr>
          <w:rFonts w:ascii="Times" w:hAnsi="Times"/>
          <w:b/>
          <w:bCs/>
          <w:color w:val="000000" w:themeColor="text1"/>
          <w:sz w:val="32"/>
          <w:szCs w:val="32"/>
        </w:rPr>
      </w:pPr>
    </w:p>
    <w:p w14:paraId="573EE60C" w14:textId="230C48D8" w:rsidR="002177CC" w:rsidRDefault="002177CC" w:rsidP="004C3135">
      <w:pPr>
        <w:jc w:val="both"/>
        <w:rPr>
          <w:rFonts w:ascii="Times" w:hAnsi="Times"/>
          <w:b/>
          <w:bCs/>
          <w:color w:val="000000" w:themeColor="text1"/>
          <w:sz w:val="32"/>
          <w:szCs w:val="32"/>
        </w:rPr>
      </w:pPr>
    </w:p>
    <w:p w14:paraId="2953469C" w14:textId="7AC894BA" w:rsidR="002177CC" w:rsidRDefault="002177CC" w:rsidP="004C3135">
      <w:pPr>
        <w:jc w:val="both"/>
        <w:rPr>
          <w:rFonts w:ascii="Times" w:hAnsi="Times"/>
          <w:b/>
          <w:bCs/>
          <w:color w:val="000000" w:themeColor="text1"/>
          <w:sz w:val="32"/>
          <w:szCs w:val="32"/>
        </w:rPr>
      </w:pPr>
    </w:p>
    <w:p w14:paraId="7BFE9D67" w14:textId="71E95FBE" w:rsidR="002177CC" w:rsidRDefault="002177CC" w:rsidP="004C3135">
      <w:pPr>
        <w:jc w:val="both"/>
        <w:rPr>
          <w:rFonts w:ascii="Times" w:hAnsi="Times"/>
          <w:b/>
          <w:bCs/>
          <w:color w:val="000000" w:themeColor="text1"/>
          <w:sz w:val="32"/>
          <w:szCs w:val="32"/>
        </w:rPr>
      </w:pPr>
    </w:p>
    <w:p w14:paraId="210AE872" w14:textId="77777777" w:rsidR="002177CC" w:rsidRDefault="002177CC" w:rsidP="004C3135">
      <w:pPr>
        <w:jc w:val="both"/>
        <w:rPr>
          <w:rFonts w:ascii="Times" w:hAnsi="Times"/>
          <w:b/>
          <w:bCs/>
          <w:color w:val="000000" w:themeColor="text1"/>
          <w:sz w:val="32"/>
          <w:szCs w:val="32"/>
        </w:rPr>
      </w:pPr>
    </w:p>
    <w:p w14:paraId="18FD216A" w14:textId="77777777" w:rsidR="008611E9" w:rsidRDefault="008611E9" w:rsidP="004C3135">
      <w:pPr>
        <w:jc w:val="both"/>
        <w:rPr>
          <w:rFonts w:ascii="Times" w:hAnsi="Times"/>
          <w:b/>
          <w:bCs/>
          <w:color w:val="000000" w:themeColor="text1"/>
          <w:sz w:val="32"/>
          <w:szCs w:val="32"/>
        </w:rPr>
      </w:pPr>
    </w:p>
    <w:p w14:paraId="65F58466" w14:textId="7E1ADB09" w:rsidR="004C3135" w:rsidRPr="001F1348" w:rsidRDefault="004C3135" w:rsidP="004C3135">
      <w:pPr>
        <w:jc w:val="both"/>
        <w:rPr>
          <w:rFonts w:ascii="Times" w:hAnsi="Times"/>
          <w:b/>
          <w:bCs/>
          <w:color w:val="000000" w:themeColor="text1"/>
          <w:sz w:val="32"/>
          <w:szCs w:val="32"/>
        </w:rPr>
      </w:pPr>
      <w:r>
        <w:rPr>
          <w:rFonts w:ascii="Times" w:hAnsi="Times"/>
          <w:b/>
          <w:bCs/>
          <w:color w:val="000000" w:themeColor="text1"/>
          <w:sz w:val="32"/>
          <w:szCs w:val="32"/>
        </w:rPr>
        <w:t>A</w:t>
      </w:r>
      <w:r w:rsidRPr="001F1348">
        <w:rPr>
          <w:rFonts w:ascii="Times" w:hAnsi="Times"/>
          <w:b/>
          <w:bCs/>
          <w:color w:val="000000" w:themeColor="text1"/>
          <w:sz w:val="32"/>
          <w:szCs w:val="32"/>
        </w:rPr>
        <w:t>nalysis</w:t>
      </w:r>
    </w:p>
    <w:p w14:paraId="16E533BE" w14:textId="77777777" w:rsidR="004C3135" w:rsidRPr="007F05C8" w:rsidRDefault="004C3135" w:rsidP="004C3135">
      <w:pPr>
        <w:jc w:val="both"/>
        <w:rPr>
          <w:rFonts w:ascii="Times" w:hAnsi="Times"/>
          <w:color w:val="000000" w:themeColor="text1"/>
        </w:rPr>
      </w:pPr>
    </w:p>
    <w:p w14:paraId="46C57B03" w14:textId="7263300D" w:rsidR="00D8364B" w:rsidRDefault="00506649"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and overdose deaths is lower in the states where regulations were implemented when compared against the same jurisdiction prior to implementation</w:t>
      </w:r>
      <w:r>
        <w:rPr>
          <w:rFonts w:ascii="Times" w:eastAsia="Times New Roman" w:hAnsi="Times" w:cs="Arial"/>
          <w:color w:val="000000" w:themeColor="text1"/>
        </w:rPr>
        <w:t>,</w:t>
      </w:r>
      <w:r w:rsidRPr="007F05C8">
        <w:rPr>
          <w:rFonts w:ascii="Times" w:eastAsia="Times New Roman" w:hAnsi="Times" w:cs="Arial"/>
          <w:color w:val="000000" w:themeColor="text1"/>
        </w:rPr>
        <w:t xml:space="preserve"> and against jurisdictions where no new policies were implemented. To analyze the validity of the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and that the trend should be substantially less for the treated states when compared to the control groups</w:t>
      </w:r>
      <w:r w:rsidRPr="007F05C8">
        <w:rPr>
          <w:rFonts w:ascii="Times" w:eastAsia="Times New Roman" w:hAnsi="Times" w:cs="Arial"/>
          <w:color w:val="000000" w:themeColor="text1"/>
        </w:rPr>
        <w:t xml:space="preserve">. Otherwise, the hypothesis will be rejected if </w:t>
      </w:r>
      <w:r>
        <w:rPr>
          <w:rFonts w:ascii="Times" w:eastAsia="Times New Roman" w:hAnsi="Times" w:cs="Arial"/>
          <w:color w:val="000000" w:themeColor="text1"/>
        </w:rPr>
        <w:t xml:space="preserve">either quantity’s trend </w:t>
      </w:r>
      <w:r w:rsidRPr="007F05C8">
        <w:rPr>
          <w:rFonts w:ascii="Times" w:eastAsia="Times New Roman" w:hAnsi="Times" w:cs="Arial"/>
          <w:color w:val="000000" w:themeColor="text1"/>
        </w:rPr>
        <w:t>continue</w:t>
      </w:r>
      <w:r>
        <w:rPr>
          <w:rFonts w:ascii="Times" w:eastAsia="Times New Roman" w:hAnsi="Times" w:cs="Arial"/>
          <w:color w:val="000000" w:themeColor="text1"/>
        </w:rPr>
        <w:t>s</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at a similar rate, or at a rate </w:t>
      </w:r>
      <w:proofErr w:type="gramStart"/>
      <w:r>
        <w:rPr>
          <w:rFonts w:ascii="Times" w:eastAsia="Times New Roman" w:hAnsi="Times" w:cs="Arial"/>
          <w:color w:val="000000" w:themeColor="text1"/>
        </w:rPr>
        <w:t>similar to</w:t>
      </w:r>
      <w:proofErr w:type="gramEnd"/>
      <w:r>
        <w:rPr>
          <w:rFonts w:ascii="Times" w:eastAsia="Times New Roman" w:hAnsi="Times" w:cs="Arial"/>
          <w:color w:val="000000" w:themeColor="text1"/>
        </w:rPr>
        <w:t xml:space="preserve"> the control group</w:t>
      </w:r>
      <w:r w:rsidRPr="007F05C8">
        <w:rPr>
          <w:rFonts w:ascii="Times" w:eastAsia="Times New Roman" w:hAnsi="Times" w:cs="Arial"/>
          <w:color w:val="000000" w:themeColor="text1"/>
        </w:rPr>
        <w:t>.</w:t>
      </w:r>
    </w:p>
    <w:p w14:paraId="623749E6" w14:textId="77777777" w:rsidR="00506649" w:rsidRDefault="00506649" w:rsidP="004C3135">
      <w:pPr>
        <w:shd w:val="clear" w:color="auto" w:fill="FFFFFF"/>
        <w:spacing w:line="360" w:lineRule="auto"/>
        <w:jc w:val="both"/>
        <w:rPr>
          <w:rFonts w:ascii="Times" w:eastAsia="Times New Roman" w:hAnsi="Times" w:cs="Arial"/>
          <w:color w:val="000000" w:themeColor="text1"/>
        </w:rPr>
      </w:pPr>
    </w:p>
    <w:p w14:paraId="530214C0" w14:textId="77777777" w:rsidR="00D8364B" w:rsidRDefault="004C3135" w:rsidP="00D8364B">
      <w:pPr>
        <w:shd w:val="clear" w:color="auto" w:fill="FFFFFF"/>
        <w:spacing w:line="360"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Effect of regulation policy on opioid shipments</w:t>
      </w:r>
      <w:r w:rsidR="00B039DB" w:rsidRPr="00D8364B">
        <w:rPr>
          <w:rFonts w:ascii="Times" w:eastAsia="Times New Roman" w:hAnsi="Times" w:cs="Arial"/>
          <w:b/>
          <w:bCs/>
          <w:color w:val="000000" w:themeColor="text1"/>
          <w:sz w:val="28"/>
          <w:szCs w:val="28"/>
        </w:rPr>
        <w:t xml:space="preserve"> </w:t>
      </w:r>
    </w:p>
    <w:p w14:paraId="539D6A65" w14:textId="11E2FE44" w:rsidR="008611E9" w:rsidRPr="00D8364B" w:rsidRDefault="00B039DB" w:rsidP="00D8364B">
      <w:pPr>
        <w:shd w:val="clear" w:color="auto" w:fill="FFFFFF"/>
        <w:spacing w:line="360"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Florida</w:t>
      </w:r>
    </w:p>
    <w:p w14:paraId="7F812757" w14:textId="7777777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Florida.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a rate of approximately 100 per year.  This substantial change in trend supports the hypothesis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Florida.</w:t>
      </w:r>
    </w:p>
    <w:p w14:paraId="76B40FD6" w14:textId="77777777" w:rsidR="00506649" w:rsidRDefault="00506649" w:rsidP="00B466E8">
      <w:pPr>
        <w:shd w:val="clear" w:color="auto" w:fill="FFFFFF"/>
        <w:spacing w:line="360" w:lineRule="auto"/>
        <w:jc w:val="both"/>
        <w:rPr>
          <w:rFonts w:ascii="Times" w:eastAsia="Times New Roman" w:hAnsi="Times" w:cs="Arial"/>
          <w:i/>
          <w:iCs/>
          <w:color w:val="000000" w:themeColor="text1"/>
        </w:rPr>
      </w:pPr>
    </w:p>
    <w:p w14:paraId="70EACADD" w14:textId="1BFA91B2" w:rsidR="00840EDF" w:rsidRPr="00840EDF" w:rsidRDefault="00840EDF" w:rsidP="00B466E8">
      <w:pPr>
        <w:shd w:val="clear" w:color="auto" w:fill="FFFFFF"/>
        <w:spacing w:line="360" w:lineRule="auto"/>
        <w:jc w:val="both"/>
        <w:rPr>
          <w:rFonts w:ascii="Times" w:eastAsia="Times New Roman" w:hAnsi="Times" w:cs="Arial"/>
          <w:i/>
          <w:iCs/>
          <w:color w:val="000000" w:themeColor="text1"/>
        </w:rPr>
      </w:pPr>
      <w:r w:rsidRPr="00840EDF">
        <w:rPr>
          <w:rFonts w:ascii="Times" w:eastAsia="Times New Roman" w:hAnsi="Times" w:cs="Arial"/>
          <w:i/>
          <w:iCs/>
          <w:color w:val="000000" w:themeColor="text1"/>
        </w:rPr>
        <w:t xml:space="preserve">Fig </w:t>
      </w:r>
      <w:r w:rsidR="00D8364B">
        <w:rPr>
          <w:rFonts w:ascii="Times" w:eastAsia="Times New Roman" w:hAnsi="Times" w:cs="Arial"/>
          <w:i/>
          <w:iCs/>
          <w:color w:val="000000" w:themeColor="text1"/>
        </w:rPr>
        <w:t>1</w:t>
      </w:r>
      <w:r w:rsidRPr="00840EDF">
        <w:rPr>
          <w:rFonts w:ascii="Times" w:eastAsia="Times New Roman" w:hAnsi="Times" w:cs="Arial"/>
          <w:i/>
          <w:iCs/>
          <w:color w:val="000000" w:themeColor="text1"/>
        </w:rPr>
        <w:t xml:space="preserve">: Opioids per capita for the intervention state Florida </w:t>
      </w:r>
    </w:p>
    <w:p w14:paraId="1871FAE2" w14:textId="77777777" w:rsidR="008611E9" w:rsidRDefault="008611E9" w:rsidP="00B466E8">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b/>
          <w:bCs/>
          <w:noProof/>
          <w:color w:val="000000" w:themeColor="text1"/>
        </w:rPr>
        <w:lastRenderedPageBreak/>
        <w:drawing>
          <wp:inline distT="0" distB="0" distL="0" distR="0" wp14:anchorId="156204B2" wp14:editId="61DC7CC4">
            <wp:extent cx="3387144" cy="2480725"/>
            <wp:effectExtent l="0" t="0" r="381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17642" cy="2503062"/>
                    </a:xfrm>
                    <a:prstGeom prst="rect">
                      <a:avLst/>
                    </a:prstGeom>
                  </pic:spPr>
                </pic:pic>
              </a:graphicData>
            </a:graphic>
          </wp:inline>
        </w:drawing>
      </w:r>
      <w:r>
        <w:rPr>
          <w:rFonts w:ascii="Times" w:eastAsia="Times New Roman" w:hAnsi="Times" w:cs="Arial"/>
          <w:color w:val="000000" w:themeColor="text1"/>
        </w:rPr>
        <w:t xml:space="preserve"> </w:t>
      </w:r>
    </w:p>
    <w:p w14:paraId="348BDECB" w14:textId="594FC55E" w:rsidR="00840EDF" w:rsidRDefault="00032295" w:rsidP="00D8364B">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w:t>
      </w:r>
      <w:r w:rsidR="0005203D" w:rsidRPr="0005203D">
        <w:rPr>
          <w:rFonts w:ascii="Times" w:eastAsia="Times New Roman" w:hAnsi="Times" w:cs="Arial"/>
          <w:color w:val="000000" w:themeColor="text1"/>
        </w:rPr>
        <w:t xml:space="preserve">efore the policy went into effect in January 2010, the slope of the regression line was positive, indicating that the quantity of opioid </w:t>
      </w:r>
      <w:r w:rsidR="008611E9" w:rsidRPr="0005203D">
        <w:rPr>
          <w:rFonts w:ascii="Times" w:eastAsia="Times New Roman" w:hAnsi="Times" w:cs="Arial"/>
          <w:color w:val="000000" w:themeColor="text1"/>
        </w:rPr>
        <w:t>shipment.</w:t>
      </w:r>
      <w:r w:rsidR="008611E9">
        <w:rPr>
          <w:rFonts w:ascii="Times" w:eastAsia="Times New Roman" w:hAnsi="Times" w:cs="Arial"/>
          <w:color w:val="000000" w:themeColor="text1"/>
        </w:rPr>
        <w:t xml:space="preserve"> </w:t>
      </w:r>
      <w:r w:rsidR="0005203D" w:rsidRPr="0005203D">
        <w:rPr>
          <w:rFonts w:ascii="Times" w:eastAsia="Times New Roman" w:hAnsi="Times" w:cs="Arial"/>
          <w:color w:val="000000" w:themeColor="text1"/>
        </w:rPr>
        <w:t>After 2010, the slope was negative, indicating that the quantity of opioid shipment per cap decreased.</w:t>
      </w:r>
      <w:r w:rsidR="0005203D">
        <w:rPr>
          <w:rFonts w:ascii="Times" w:eastAsia="Times New Roman" w:hAnsi="Times" w:cs="Arial"/>
          <w:color w:val="000000" w:themeColor="text1"/>
        </w:rPr>
        <w:t xml:space="preserve"> </w:t>
      </w:r>
      <w:r w:rsidR="00873C55">
        <w:rPr>
          <w:rFonts w:ascii="Times" w:eastAsia="Times New Roman" w:hAnsi="Times" w:cs="Arial"/>
          <w:color w:val="000000" w:themeColor="text1"/>
        </w:rPr>
        <w:t xml:space="preserve">It </w:t>
      </w:r>
      <w:r w:rsidR="007F1131">
        <w:rPr>
          <w:rFonts w:ascii="Times" w:eastAsia="Times New Roman" w:hAnsi="Times" w:cs="Arial"/>
          <w:color w:val="000000" w:themeColor="text1"/>
        </w:rPr>
        <w:t>a</w:t>
      </w:r>
      <w:r w:rsidR="0060566E" w:rsidRPr="0060566E">
        <w:rPr>
          <w:rFonts w:ascii="Times" w:eastAsia="Times New Roman" w:hAnsi="Times" w:cs="Arial"/>
          <w:color w:val="000000" w:themeColor="text1"/>
        </w:rPr>
        <w:t xml:space="preserve">ppears that Florida’s shipments are in accordance with the </w:t>
      </w:r>
      <w:r w:rsidR="0060566E">
        <w:rPr>
          <w:rFonts w:ascii="Times" w:eastAsia="Times New Roman" w:hAnsi="Times" w:cs="Arial"/>
          <w:color w:val="000000" w:themeColor="text1"/>
        </w:rPr>
        <w:t xml:space="preserve">expectations of an accurate </w:t>
      </w:r>
      <w:r w:rsidR="0060566E" w:rsidRPr="0060566E">
        <w:rPr>
          <w:rFonts w:ascii="Times" w:eastAsia="Times New Roman" w:hAnsi="Times" w:cs="Arial"/>
          <w:color w:val="000000" w:themeColor="text1"/>
        </w:rPr>
        <w:t>hypothesis and suggests that the opioid shipments were reduced</w:t>
      </w:r>
      <w:r w:rsidR="0060566E">
        <w:rPr>
          <w:rFonts w:ascii="Times" w:eastAsia="Times New Roman" w:hAnsi="Times" w:cs="Arial"/>
          <w:color w:val="000000" w:themeColor="text1"/>
        </w:rPr>
        <w:t xml:space="preserve"> from the policy</w:t>
      </w:r>
      <w:r w:rsidR="0060566E" w:rsidRPr="0060566E">
        <w:rPr>
          <w:rFonts w:ascii="Times" w:eastAsia="Times New Roman" w:hAnsi="Times" w:cs="Arial"/>
          <w:color w:val="000000" w:themeColor="text1"/>
        </w:rPr>
        <w:t>; and therefore, the policy was effective.</w:t>
      </w:r>
      <w:r w:rsidR="00D50D64" w:rsidRPr="00D50D64">
        <w:t xml:space="preserve"> </w:t>
      </w:r>
      <w:r w:rsidR="00D50D64" w:rsidRPr="00D50D64">
        <w:rPr>
          <w:rFonts w:ascii="Times" w:eastAsia="Times New Roman" w:hAnsi="Times" w:cs="Arial"/>
          <w:color w:val="000000" w:themeColor="text1"/>
        </w:rPr>
        <w:t>To reach a more reliable conclusion, additional analysis was necessary. We then carried out a difference-in-difference analysis in order to get a more concrete conclusion</w:t>
      </w:r>
      <w:r w:rsidR="00840EDF">
        <w:rPr>
          <w:rFonts w:ascii="Times" w:eastAsia="Times New Roman" w:hAnsi="Times" w:cs="Arial"/>
          <w:color w:val="000000" w:themeColor="text1"/>
        </w:rPr>
        <w:t xml:space="preserve">. </w:t>
      </w:r>
      <w:r w:rsidR="008611E9" w:rsidRPr="008611E9">
        <w:rPr>
          <w:rFonts w:ascii="Times" w:eastAsia="Times New Roman" w:hAnsi="Times" w:cs="Arial"/>
          <w:color w:val="000000" w:themeColor="text1"/>
        </w:rPr>
        <w:t>By using the Difference-in-Difference approach, we are</w:t>
      </w:r>
      <w:r w:rsidR="00840EDF">
        <w:rPr>
          <w:rFonts w:ascii="Times" w:eastAsia="Times New Roman" w:hAnsi="Times" w:cs="Arial"/>
          <w:color w:val="000000" w:themeColor="text1"/>
        </w:rPr>
        <w:t xml:space="preserve"> basically</w:t>
      </w:r>
      <w:r w:rsidR="008611E9" w:rsidRPr="008611E9">
        <w:rPr>
          <w:rFonts w:ascii="Times" w:eastAsia="Times New Roman" w:hAnsi="Times" w:cs="Arial"/>
          <w:color w:val="000000" w:themeColor="text1"/>
        </w:rPr>
        <w:t xml:space="preserve"> seeking to answer whether the change we saw in intervention state Florida is larger than the change that occurred in other states over the same period. In graphs</w:t>
      </w:r>
      <w:r w:rsidR="00840EDF">
        <w:rPr>
          <w:rFonts w:ascii="Times" w:eastAsia="Times New Roman" w:hAnsi="Times" w:cs="Arial"/>
          <w:color w:val="000000" w:themeColor="text1"/>
        </w:rPr>
        <w:t xml:space="preserve"> below</w:t>
      </w:r>
      <w:r w:rsidR="008611E9" w:rsidRPr="008611E9">
        <w:rPr>
          <w:rFonts w:ascii="Times" w:eastAsia="Times New Roman" w:hAnsi="Times" w:cs="Arial"/>
          <w:color w:val="000000" w:themeColor="text1"/>
        </w:rPr>
        <w:t>, we plot the pre and post trends of policy change for Florida state and its control group Georgia, Ohio and Pennsylvania.</w:t>
      </w:r>
    </w:p>
    <w:p w14:paraId="3ECB5A5C" w14:textId="36AEE10D" w:rsidR="008611E9" w:rsidRPr="00840EDF" w:rsidRDefault="008611E9" w:rsidP="00B466E8">
      <w:pPr>
        <w:shd w:val="clear" w:color="auto" w:fill="FFFFFF"/>
        <w:spacing w:line="360" w:lineRule="auto"/>
        <w:jc w:val="both"/>
        <w:rPr>
          <w:rFonts w:ascii="Times" w:eastAsia="Times New Roman" w:hAnsi="Times" w:cs="Arial"/>
          <w:i/>
          <w:iCs/>
          <w:color w:val="000000" w:themeColor="text1"/>
        </w:rPr>
      </w:pPr>
      <w:r w:rsidRPr="00840EDF">
        <w:rPr>
          <w:rFonts w:ascii="Times" w:eastAsia="Times New Roman" w:hAnsi="Times" w:cs="Arial"/>
          <w:i/>
          <w:iCs/>
          <w:color w:val="000000" w:themeColor="text1"/>
        </w:rPr>
        <w:t>Fig</w:t>
      </w:r>
      <w:r w:rsidR="00D8364B">
        <w:rPr>
          <w:rFonts w:ascii="Times" w:eastAsia="Times New Roman" w:hAnsi="Times" w:cs="Arial"/>
          <w:i/>
          <w:iCs/>
          <w:color w:val="000000" w:themeColor="text1"/>
        </w:rPr>
        <w:t>2</w:t>
      </w:r>
      <w:r w:rsidRPr="00840EDF">
        <w:rPr>
          <w:rFonts w:ascii="Times" w:eastAsia="Times New Roman" w:hAnsi="Times" w:cs="Arial"/>
          <w:i/>
          <w:iCs/>
          <w:color w:val="000000" w:themeColor="text1"/>
        </w:rPr>
        <w:t xml:space="preserve">. </w:t>
      </w:r>
      <w:r w:rsidR="00840EDF" w:rsidRPr="00840EDF">
        <w:rPr>
          <w:rFonts w:ascii="Times" w:eastAsia="Times New Roman" w:hAnsi="Times" w:cs="Arial"/>
          <w:i/>
          <w:iCs/>
          <w:color w:val="000000" w:themeColor="text1"/>
        </w:rPr>
        <w:t>Average opioids per capita for Florida and its control states</w:t>
      </w:r>
    </w:p>
    <w:p w14:paraId="2A618769" w14:textId="41CC651C" w:rsidR="0060566E" w:rsidRPr="00D8364B" w:rsidRDefault="008611E9" w:rsidP="00D8364B">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b/>
          <w:bCs/>
          <w:noProof/>
          <w:color w:val="FF0000"/>
          <w:sz w:val="28"/>
          <w:szCs w:val="28"/>
        </w:rPr>
        <w:drawing>
          <wp:inline distT="0" distB="0" distL="0" distR="0" wp14:anchorId="2D7347C5" wp14:editId="0CF2D353">
            <wp:extent cx="3561008" cy="2404837"/>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86142" cy="2421811"/>
                    </a:xfrm>
                    <a:prstGeom prst="rect">
                      <a:avLst/>
                    </a:prstGeom>
                  </pic:spPr>
                </pic:pic>
              </a:graphicData>
            </a:graphic>
          </wp:inline>
        </w:drawing>
      </w:r>
    </w:p>
    <w:p w14:paraId="28185E8F" w14:textId="7777777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The following plot below is the plot comparing the trend of the average annual per capita opioid shipments for Florida against Florida’s control states, both before and after policy implementation.  When comparing these two trends, Florida’s trend after the policy was implemented was both substantially less than their control states’ and had a much larger reduction in trend than their control states when compared to prior to the policy implementation.  This substantial reduction in trend when compared to the control states also supports the hypothesis that the policy reduced the quantity of opioids shipped to Florida.  Therefore, with respect to reduction of opioids distributed to Florida, this suggests that Florida’s policy has been effective.</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CD6E8E0" w14:textId="02B7DEA1" w:rsidR="0060566E"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62E47C96" w14:textId="728C715F" w:rsidR="00506649" w:rsidRDefault="00506649" w:rsidP="004C3135">
      <w:pPr>
        <w:shd w:val="clear" w:color="auto" w:fill="FFFFFF"/>
        <w:jc w:val="both"/>
        <w:rPr>
          <w:rFonts w:ascii="Times" w:eastAsia="Times New Roman" w:hAnsi="Times" w:cs="Arial"/>
          <w:b/>
          <w:bCs/>
          <w:color w:val="000000" w:themeColor="text1"/>
          <w:sz w:val="28"/>
          <w:szCs w:val="28"/>
        </w:rPr>
      </w:pPr>
    </w:p>
    <w:p w14:paraId="6DB80273" w14:textId="7777777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efore the policy went into effect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prior to policy implementation and after policy implementation, this reduction appears moderate, and not substantial.  This small reduction in trend warrants further analysis prior to supports the hypothesis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1AB1F464" w:rsidR="0060566E" w:rsidRDefault="0060566E" w:rsidP="004C3135">
      <w:pPr>
        <w:shd w:val="clear" w:color="auto" w:fill="FFFFFF"/>
        <w:jc w:val="both"/>
        <w:rPr>
          <w:rFonts w:ascii="Times" w:eastAsia="Times New Roman" w:hAnsi="Times" w:cs="Arial"/>
          <w:b/>
          <w:bCs/>
          <w:color w:val="FF0000"/>
          <w:sz w:val="28"/>
          <w:szCs w:val="28"/>
        </w:rPr>
      </w:pPr>
      <w:r>
        <w:rPr>
          <w:rFonts w:ascii="Times" w:eastAsia="Times New Roman" w:hAnsi="Times" w:cs="Arial"/>
          <w:b/>
          <w:bCs/>
          <w:noProof/>
          <w:color w:val="FF0000"/>
          <w:sz w:val="28"/>
          <w:szCs w:val="28"/>
        </w:rPr>
        <w:drawing>
          <wp:inline distT="0" distB="0" distL="0" distR="0" wp14:anchorId="37F96111" wp14:editId="7600C682">
            <wp:extent cx="3380704" cy="2291577"/>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92813" cy="2299785"/>
                    </a:xfrm>
                    <a:prstGeom prst="rect">
                      <a:avLst/>
                    </a:prstGeom>
                  </pic:spPr>
                </pic:pic>
              </a:graphicData>
            </a:graphic>
          </wp:inline>
        </w:drawing>
      </w:r>
    </w:p>
    <w:p w14:paraId="0AAB02B8" w14:textId="77777777" w:rsidR="004C3135" w:rsidRPr="00B238AE" w:rsidRDefault="004C3135" w:rsidP="004C3135">
      <w:pPr>
        <w:shd w:val="clear" w:color="auto" w:fill="FFFFFF"/>
        <w:jc w:val="both"/>
        <w:rPr>
          <w:rFonts w:ascii="Times" w:eastAsia="Times New Roman" w:hAnsi="Times" w:cs="Arial"/>
          <w:b/>
          <w:bCs/>
          <w:color w:val="FF0000"/>
          <w:sz w:val="28"/>
          <w:szCs w:val="28"/>
        </w:rPr>
      </w:pPr>
    </w:p>
    <w:p w14:paraId="123E57AA" w14:textId="7777777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following plot below is the plot comparing the trend of the average annual per capita opioid shipments for Washington against Washington’s control states, both before and after policy </w:t>
      </w:r>
      <w:r>
        <w:rPr>
          <w:rFonts w:ascii="Times" w:eastAsia="Times New Roman" w:hAnsi="Times" w:cs="Arial"/>
          <w:color w:val="000000" w:themeColor="text1"/>
        </w:rPr>
        <w:lastRenderedPageBreak/>
        <w:t>implementation.  When comparing these two trends, Washington’s trend after the policy was implemented was both substantially less negative than their control states’ and had a much smaller reduction in trend than their control states when comparing against prior to the policy implementation.  This limited reduction in trend when compared to the control states does not supports the hypothesis that the policy reduced the quantity of opioids shipped to Washington.  Therefore, with respect to reduction of opioids distributed to Washington, this suggests that Washington’s policy has been 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0139FA0"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7DCE9AF5"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06B3CB2"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62F1AF5"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7A499D5A"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5F39B957"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33D9A231"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EBD40F6"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073408CB"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A2D269A"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5AE0C8EE"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35EE1237"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973699F"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EFF7E5C"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753EEA8" w14:textId="77777777" w:rsidR="0005203D" w:rsidRDefault="0005203D" w:rsidP="004C3135">
      <w:pPr>
        <w:shd w:val="clear" w:color="auto" w:fill="FFFFFF"/>
        <w:jc w:val="both"/>
        <w:rPr>
          <w:rFonts w:ascii="Times" w:eastAsia="Times New Roman" w:hAnsi="Times" w:cs="Arial"/>
          <w:b/>
          <w:bCs/>
          <w:color w:val="000000" w:themeColor="text1"/>
          <w:sz w:val="28"/>
          <w:szCs w:val="28"/>
        </w:rPr>
      </w:pPr>
    </w:p>
    <w:p w14:paraId="01374579" w14:textId="77777777" w:rsidR="0005203D" w:rsidRDefault="0005203D" w:rsidP="004C3135">
      <w:pPr>
        <w:shd w:val="clear" w:color="auto" w:fill="FFFFFF"/>
        <w:jc w:val="both"/>
        <w:rPr>
          <w:rFonts w:ascii="Times" w:eastAsia="Times New Roman" w:hAnsi="Times" w:cs="Arial"/>
          <w:b/>
          <w:bCs/>
          <w:color w:val="000000" w:themeColor="text1"/>
          <w:sz w:val="28"/>
          <w:szCs w:val="28"/>
        </w:rPr>
      </w:pPr>
    </w:p>
    <w:p w14:paraId="4342A4A8" w14:textId="45517F99" w:rsidR="0005203D" w:rsidRDefault="0005203D" w:rsidP="004C3135">
      <w:pPr>
        <w:shd w:val="clear" w:color="auto" w:fill="FFFFFF"/>
        <w:jc w:val="both"/>
        <w:rPr>
          <w:rFonts w:ascii="Times" w:eastAsia="Times New Roman" w:hAnsi="Times" w:cs="Arial"/>
          <w:b/>
          <w:bCs/>
          <w:color w:val="000000" w:themeColor="text1"/>
          <w:sz w:val="28"/>
          <w:szCs w:val="28"/>
        </w:rPr>
      </w:pPr>
    </w:p>
    <w:p w14:paraId="6298EE3E" w14:textId="1FF89C50" w:rsidR="002177CC" w:rsidRDefault="002177CC" w:rsidP="004C3135">
      <w:pPr>
        <w:shd w:val="clear" w:color="auto" w:fill="FFFFFF"/>
        <w:jc w:val="both"/>
        <w:rPr>
          <w:rFonts w:ascii="Times" w:eastAsia="Times New Roman" w:hAnsi="Times" w:cs="Arial"/>
          <w:b/>
          <w:bCs/>
          <w:color w:val="000000" w:themeColor="text1"/>
          <w:sz w:val="28"/>
          <w:szCs w:val="28"/>
        </w:rPr>
      </w:pPr>
    </w:p>
    <w:p w14:paraId="1F917019" w14:textId="29862A0D" w:rsidR="002177CC" w:rsidRDefault="002177CC" w:rsidP="004C3135">
      <w:pPr>
        <w:shd w:val="clear" w:color="auto" w:fill="FFFFFF"/>
        <w:jc w:val="both"/>
        <w:rPr>
          <w:rFonts w:ascii="Times" w:eastAsia="Times New Roman" w:hAnsi="Times" w:cs="Arial"/>
          <w:b/>
          <w:bCs/>
          <w:color w:val="000000" w:themeColor="text1"/>
          <w:sz w:val="28"/>
          <w:szCs w:val="28"/>
        </w:rPr>
      </w:pPr>
    </w:p>
    <w:p w14:paraId="1B080CB1" w14:textId="1EDB9F38" w:rsidR="002177CC" w:rsidRDefault="002177CC" w:rsidP="004C3135">
      <w:pPr>
        <w:shd w:val="clear" w:color="auto" w:fill="FFFFFF"/>
        <w:jc w:val="both"/>
        <w:rPr>
          <w:rFonts w:ascii="Times" w:eastAsia="Times New Roman" w:hAnsi="Times" w:cs="Arial"/>
          <w:b/>
          <w:bCs/>
          <w:color w:val="000000" w:themeColor="text1"/>
          <w:sz w:val="28"/>
          <w:szCs w:val="28"/>
        </w:rPr>
      </w:pPr>
    </w:p>
    <w:p w14:paraId="2BC00B6E" w14:textId="7777777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capita drug-induced deaths in Florida and its control states, before and after policy implementation in Florida.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drug-induced deaths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0.00075%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decreasing at a rate of approximately 0.00050% per year.  This substantial change in trend supports the hypothesis that the policy reduced the quantity of drug-induced deaths in Florida.</w:t>
      </w:r>
    </w:p>
    <w:p w14:paraId="01833748" w14:textId="77777777" w:rsidR="00506649" w:rsidRPr="002D011C"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 xml:space="preserve">When comparing Florida’s trend against its control group, Florida’s trend after the policy was implemented was both substantially less than their control states’ and had a reduction in trend when compared to an increase in trend in their control states’, when compared to prior to the policy implementation.  </w:t>
      </w:r>
    </w:p>
    <w:p w14:paraId="273AB073" w14:textId="118FEC25" w:rsidR="002177CC" w:rsidRDefault="002177CC" w:rsidP="004C3135">
      <w:pPr>
        <w:shd w:val="clear" w:color="auto" w:fill="FFFFFF"/>
        <w:jc w:val="both"/>
        <w:rPr>
          <w:rFonts w:ascii="Times" w:eastAsia="Times New Roman" w:hAnsi="Times" w:cs="Arial"/>
          <w:b/>
          <w:bCs/>
          <w:color w:val="000000" w:themeColor="text1"/>
          <w:sz w:val="28"/>
          <w:szCs w:val="28"/>
        </w:rPr>
      </w:pPr>
    </w:p>
    <w:p w14:paraId="5962FC0A" w14:textId="77777777" w:rsidR="002177CC" w:rsidRDefault="002177CC" w:rsidP="004C3135">
      <w:pPr>
        <w:shd w:val="clear" w:color="auto" w:fill="FFFFFF"/>
        <w:jc w:val="both"/>
        <w:rPr>
          <w:rFonts w:ascii="Times" w:eastAsia="Times New Roman" w:hAnsi="Times" w:cs="Arial"/>
          <w:b/>
          <w:bCs/>
          <w:color w:val="000000" w:themeColor="text1"/>
          <w:sz w:val="28"/>
          <w:szCs w:val="28"/>
        </w:rPr>
      </w:pPr>
    </w:p>
    <w:p w14:paraId="6E7F5998" w14:textId="456BF91A" w:rsidR="004C3135" w:rsidRDefault="004C3135" w:rsidP="004C3135">
      <w:pPr>
        <w:shd w:val="clear" w:color="auto" w:fill="FFFFFF"/>
        <w:jc w:val="both"/>
        <w:rPr>
          <w:rFonts w:ascii="Times" w:eastAsia="Times New Roman" w:hAnsi="Times" w:cs="Arial"/>
          <w:b/>
          <w:bCs/>
          <w:color w:val="000000" w:themeColor="text1"/>
          <w:sz w:val="28"/>
          <w:szCs w:val="28"/>
        </w:rPr>
      </w:pPr>
      <w:r w:rsidRPr="005B40ED">
        <w:rPr>
          <w:rFonts w:ascii="Times" w:eastAsia="Times New Roman" w:hAnsi="Times" w:cs="Arial"/>
          <w:b/>
          <w:bCs/>
          <w:color w:val="000000" w:themeColor="text1"/>
          <w:sz w:val="28"/>
          <w:szCs w:val="28"/>
        </w:rPr>
        <w:t>Effect of regulation policy on the mortality rate of opioid overdose</w:t>
      </w:r>
    </w:p>
    <w:p w14:paraId="269D2171" w14:textId="4EE4F17B" w:rsidR="004C3135" w:rsidRPr="007F05C8" w:rsidRDefault="004C3135" w:rsidP="004C3135">
      <w:pPr>
        <w:shd w:val="clear" w:color="auto" w:fill="FFFFFF"/>
        <w:jc w:val="both"/>
        <w:rPr>
          <w:rFonts w:ascii="Times" w:eastAsia="Times New Roman" w:hAnsi="Times" w:cs="Arial"/>
          <w:b/>
          <w:bCs/>
          <w:color w:val="000000" w:themeColor="text1"/>
        </w:rPr>
      </w:pPr>
      <w:r w:rsidRPr="001F1348">
        <w:rPr>
          <w:rFonts w:ascii="Times" w:eastAsia="Times New Roman" w:hAnsi="Times" w:cs="Arial"/>
          <w:b/>
          <w:bCs/>
          <w:color w:val="000000" w:themeColor="text1"/>
          <w:sz w:val="28"/>
          <w:szCs w:val="28"/>
        </w:rPr>
        <w:t>Florida</w:t>
      </w:r>
      <w:r w:rsidRPr="007F05C8">
        <w:rPr>
          <w:rFonts w:ascii="Times" w:eastAsia="Times New Roman" w:hAnsi="Times" w:cs="Arial"/>
          <w:b/>
          <w:bCs/>
          <w:noProof/>
          <w:color w:val="000000" w:themeColor="text1"/>
        </w:rPr>
        <w:t xml:space="preserve"> </w:t>
      </w:r>
      <w:r w:rsidRPr="007F05C8">
        <w:rPr>
          <w:rFonts w:ascii="Times" w:eastAsia="Times New Roman" w:hAnsi="Times" w:cs="Arial"/>
          <w:b/>
          <w:bCs/>
          <w:noProof/>
          <w:color w:val="000000" w:themeColor="text1"/>
        </w:rPr>
        <w:drawing>
          <wp:anchor distT="0" distB="0" distL="114300" distR="114300" simplePos="0" relativeHeight="251664384" behindDoc="0" locked="0" layoutInCell="1" allowOverlap="1" wp14:anchorId="1AB6D61A" wp14:editId="4010EC9A">
            <wp:simplePos x="0" y="0"/>
            <wp:positionH relativeFrom="column">
              <wp:posOffset>2968625</wp:posOffset>
            </wp:positionH>
            <wp:positionV relativeFrom="paragraph">
              <wp:posOffset>283541</wp:posOffset>
            </wp:positionV>
            <wp:extent cx="3664585" cy="2653665"/>
            <wp:effectExtent l="0" t="0" r="0" b="0"/>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64585" cy="2653665"/>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b/>
          <w:bCs/>
          <w:noProof/>
          <w:color w:val="000000" w:themeColor="text1"/>
        </w:rPr>
        <w:drawing>
          <wp:anchor distT="0" distB="0" distL="114300" distR="114300" simplePos="0" relativeHeight="251665408" behindDoc="0" locked="0" layoutInCell="1" allowOverlap="1" wp14:anchorId="0827F854" wp14:editId="006E746E">
            <wp:simplePos x="0" y="0"/>
            <wp:positionH relativeFrom="column">
              <wp:posOffset>-47044</wp:posOffset>
            </wp:positionH>
            <wp:positionV relativeFrom="paragraph">
              <wp:posOffset>335155</wp:posOffset>
            </wp:positionV>
            <wp:extent cx="3013710" cy="2653665"/>
            <wp:effectExtent l="0" t="0" r="0" b="635"/>
            <wp:wrapSquare wrapText="bothSides"/>
            <wp:docPr id="7" name="Picture 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urfac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3710" cy="2653665"/>
                    </a:xfrm>
                    <a:prstGeom prst="rect">
                      <a:avLst/>
                    </a:prstGeom>
                  </pic:spPr>
                </pic:pic>
              </a:graphicData>
            </a:graphic>
            <wp14:sizeRelH relativeFrom="page">
              <wp14:pctWidth>0</wp14:pctWidth>
            </wp14:sizeRelH>
            <wp14:sizeRelV relativeFrom="page">
              <wp14:pctHeight>0</wp14:pctHeight>
            </wp14:sizeRelV>
          </wp:anchor>
        </w:drawing>
      </w:r>
    </w:p>
    <w:p w14:paraId="7518C463"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2331016" w14:textId="77777777" w:rsidR="004C3135" w:rsidRPr="007F05C8" w:rsidRDefault="004C3135" w:rsidP="004C3135">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Figure 1: Chart of the mortality rate of opioid-drug overdose between the pre-policy and post-policy periods, the regulation policy was effective in Florida in February 2010.</w:t>
      </w:r>
    </w:p>
    <w:p w14:paraId="0BFCFB3B" w14:textId="77777777" w:rsidR="004C3135" w:rsidRPr="007F05C8" w:rsidRDefault="004C3135" w:rsidP="004C3135">
      <w:pPr>
        <w:shd w:val="clear" w:color="auto" w:fill="FFFFFF"/>
        <w:jc w:val="both"/>
        <w:rPr>
          <w:rFonts w:ascii="Times" w:eastAsia="Times New Roman" w:hAnsi="Times" w:cs="Arial"/>
          <w:color w:val="000000" w:themeColor="text1"/>
        </w:rPr>
      </w:pPr>
    </w:p>
    <w:p w14:paraId="033EB4BE"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Florida implement the regulation policy for opioid drugs in 2020, it is obvious that the mortality rate of opioid-drug overdose has a decreasing tendency based on the left graph. Also, the right graph indicates the comparison between FL and its control states (</w:t>
      </w:r>
      <w:r w:rsidRPr="007F05C8">
        <w:rPr>
          <w:rFonts w:ascii="Times" w:hAnsi="Times" w:cs="AppleSystemUIFont"/>
        </w:rPr>
        <w:t>PA, OH, GA</w:t>
      </w:r>
      <w:r w:rsidRPr="007F05C8">
        <w:rPr>
          <w:rFonts w:ascii="Times" w:eastAsia="Times New Roman" w:hAnsi="Times" w:cs="Arial"/>
          <w:color w:val="000000" w:themeColor="text1"/>
        </w:rPr>
        <w:t xml:space="preserve">) without implementing policies. It is evident that the mortality rate of opioid-drug overdose in these control states continues to hold an increasing trend after 2010. Based on the left graph, without implementing the regulation policy for opioid drugs, the average mortality rate of opioid-drug overdose had a rising trend from 0.012% year by year since 2003 and peaked at about 0.017% in 2009. After Florida implemented the regulation policy for opioid drugs in 2010, the mortality rate of opioid-drug overdose in FL dropped immediately to about 0.016% in 2010 and it continued to keep a downward tendency from 2010. This might not happen if the regulation policy was not implemented. Moreover, according to difference-in-difference analysis, the average mortality rate </w:t>
      </w:r>
      <w:r w:rsidRPr="007F05C8">
        <w:rPr>
          <w:rFonts w:ascii="Times" w:eastAsia="Times New Roman" w:hAnsi="Times" w:cs="Arial"/>
          <w:color w:val="000000" w:themeColor="text1"/>
        </w:rPr>
        <w:lastRenderedPageBreak/>
        <w:t>of opioid-drug overdose for the three comparison states was lower than the average mortality rate of Florida from 2003 to 2009 while all of them held increasing tendencies of the mortality rate of opioid-drug overdose. However, the three comparison states still had an upward trend of mortality rate after 2010, this tendency is the same as before 2010. In general, the mortality rate in control states increased from about 0.015% in 2010 to about 0.022% in 2015, while the mortality rate of opioid-drug overdose in Florida decreased from 2010 at about 0.016% to about 0.014% in 2015. Therefore, we conclude that the policy of opioid regulations had a positive impact on decreasing the mortality rate of opioid-drug overdose in Florida.</w:t>
      </w:r>
    </w:p>
    <w:p w14:paraId="17A89A3E" w14:textId="77777777" w:rsidR="004C3135" w:rsidRPr="007F05C8" w:rsidRDefault="004C3135" w:rsidP="004C3135">
      <w:pPr>
        <w:shd w:val="clear" w:color="auto" w:fill="FFFFFF"/>
        <w:jc w:val="both"/>
        <w:rPr>
          <w:rFonts w:ascii="Times" w:eastAsia="Times New Roman" w:hAnsi="Times" w:cs="Arial"/>
          <w:color w:val="000000" w:themeColor="text1"/>
        </w:rPr>
      </w:pPr>
    </w:p>
    <w:p w14:paraId="3A31FF5D" w14:textId="77777777" w:rsidR="004C3135" w:rsidRDefault="004C3135" w:rsidP="004C3135">
      <w:pPr>
        <w:shd w:val="clear" w:color="auto" w:fill="FFFFFF"/>
        <w:jc w:val="both"/>
        <w:rPr>
          <w:rFonts w:ascii="Times" w:eastAsia="Times New Roman" w:hAnsi="Times" w:cs="Arial"/>
          <w:b/>
          <w:bCs/>
          <w:color w:val="000000" w:themeColor="text1"/>
          <w:sz w:val="28"/>
          <w:szCs w:val="28"/>
        </w:rPr>
      </w:pPr>
      <w:r w:rsidRPr="001F1348">
        <w:rPr>
          <w:rFonts w:ascii="Times" w:eastAsia="Times New Roman" w:hAnsi="Times" w:cs="Arial"/>
          <w:b/>
          <w:bCs/>
          <w:color w:val="000000" w:themeColor="text1"/>
          <w:sz w:val="28"/>
          <w:szCs w:val="28"/>
        </w:rPr>
        <w:t>Texas</w:t>
      </w:r>
    </w:p>
    <w:p w14:paraId="2B1E5E2A" w14:textId="77777777" w:rsidR="004C3135" w:rsidRPr="001F1348" w:rsidRDefault="004C3135" w:rsidP="004C3135">
      <w:pPr>
        <w:shd w:val="clear" w:color="auto" w:fill="FFFFFF"/>
        <w:jc w:val="both"/>
        <w:rPr>
          <w:rFonts w:ascii="Times" w:eastAsia="Times New Roman" w:hAnsi="Times" w:cs="Arial"/>
          <w:b/>
          <w:bCs/>
          <w:color w:val="000000" w:themeColor="text1"/>
          <w:sz w:val="28"/>
          <w:szCs w:val="28"/>
        </w:rPr>
      </w:pPr>
    </w:p>
    <w:p w14:paraId="470F40C2" w14:textId="77777777" w:rsidR="004C3135" w:rsidRPr="007F05C8" w:rsidRDefault="004C3135" w:rsidP="004C3135">
      <w:pPr>
        <w:shd w:val="clear" w:color="auto" w:fill="FFFFFF"/>
        <w:jc w:val="center"/>
        <w:rPr>
          <w:rFonts w:ascii="Times" w:eastAsia="Times New Roman" w:hAnsi="Times" w:cs="Arial"/>
          <w:color w:val="000000" w:themeColor="text1"/>
        </w:rPr>
      </w:pPr>
      <w:r w:rsidRPr="007F05C8">
        <w:rPr>
          <w:rFonts w:ascii="Times" w:eastAsia="Times New Roman" w:hAnsi="Times" w:cs="Arial"/>
          <w:noProof/>
          <w:color w:val="000000" w:themeColor="text1"/>
        </w:rPr>
        <w:drawing>
          <wp:anchor distT="0" distB="0" distL="114300" distR="114300" simplePos="0" relativeHeight="251666432" behindDoc="0" locked="0" layoutInCell="1" allowOverlap="1" wp14:anchorId="28753F22" wp14:editId="3503C469">
            <wp:simplePos x="0" y="0"/>
            <wp:positionH relativeFrom="column">
              <wp:posOffset>3051810</wp:posOffset>
            </wp:positionH>
            <wp:positionV relativeFrom="paragraph">
              <wp:posOffset>0</wp:posOffset>
            </wp:positionV>
            <wp:extent cx="3438525" cy="2562860"/>
            <wp:effectExtent l="0" t="0" r="3175" b="2540"/>
            <wp:wrapSquare wrapText="bothSides"/>
            <wp:docPr id="8" name="Picture 8" descr="Chart, line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surfac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8525" cy="2562860"/>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noProof/>
          <w:color w:val="000000" w:themeColor="text1"/>
        </w:rPr>
        <w:drawing>
          <wp:inline distT="0" distB="0" distL="0" distR="0" wp14:anchorId="6C92B2F1" wp14:editId="52E7B1FC">
            <wp:extent cx="2898587" cy="2562896"/>
            <wp:effectExtent l="0" t="0" r="0" b="254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9321" cy="2598913"/>
                    </a:xfrm>
                    <a:prstGeom prst="rect">
                      <a:avLst/>
                    </a:prstGeom>
                  </pic:spPr>
                </pic:pic>
              </a:graphicData>
            </a:graphic>
          </wp:inline>
        </w:drawing>
      </w:r>
      <w:r w:rsidRPr="007F05C8">
        <w:rPr>
          <w:rFonts w:ascii="Times" w:eastAsia="Times New Roman" w:hAnsi="Times" w:cs="Arial"/>
          <w:i/>
          <w:iCs/>
          <w:color w:val="000000" w:themeColor="text1"/>
          <w:sz w:val="22"/>
          <w:szCs w:val="22"/>
        </w:rPr>
        <w:t xml:space="preserve">Figure 2: Chart of the mortality rate of opioid-drug overdose between the pre-policy and post-policy periods, the regulation policy was effective in Texas in </w:t>
      </w:r>
      <w:r w:rsidRPr="007F05C8">
        <w:rPr>
          <w:rFonts w:ascii="Times" w:hAnsi="Times"/>
          <w:i/>
          <w:iCs/>
          <w:sz w:val="22"/>
          <w:szCs w:val="22"/>
        </w:rPr>
        <w:t>January 2007.</w:t>
      </w:r>
    </w:p>
    <w:p w14:paraId="2F34219A" w14:textId="77777777" w:rsidR="004C3135" w:rsidRPr="007F05C8" w:rsidRDefault="004C3135" w:rsidP="004C3135">
      <w:pPr>
        <w:shd w:val="clear" w:color="auto" w:fill="FFFFFF"/>
        <w:jc w:val="center"/>
        <w:rPr>
          <w:rFonts w:ascii="Times" w:eastAsia="Times New Roman" w:hAnsi="Times" w:cs="Arial"/>
          <w:i/>
          <w:iCs/>
          <w:color w:val="000000" w:themeColor="text1"/>
          <w:sz w:val="22"/>
          <w:szCs w:val="22"/>
        </w:rPr>
      </w:pPr>
    </w:p>
    <w:p w14:paraId="7DF9E396"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Texas implement the regulation policy for opioid drugs in 2007, it is obvious that the mortality rate of opioid-drug overdose has a relatively decreasing tendency based on the left graph. Also, the right graph indicates the comparison between TX and its control states (I</w:t>
      </w:r>
      <w:r w:rsidRPr="007F05C8">
        <w:rPr>
          <w:rFonts w:ascii="Times" w:hAnsi="Times" w:cs="AppleSystemUIFont"/>
        </w:rPr>
        <w:t>L, NY, VA</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0.008% year by year since 2003 and peaked at about 0.012% in 2006. After implementing the regulation policy for opioid drugs in 2007 at TX, the mortality rate of opioid-drug overdose in TX dropped immediately to about 0.0105% in 2007 and </w:t>
      </w:r>
      <w:r w:rsidRPr="007F05C8">
        <w:rPr>
          <w:rFonts w:ascii="Times" w:eastAsia="Times New Roman" w:hAnsi="Times" w:cs="Arial"/>
          <w:color w:val="000000" w:themeColor="text1"/>
        </w:rPr>
        <w:lastRenderedPageBreak/>
        <w:t>it continued to keep a downward tendency from 2007. This might not happen if the regulation policy was not implemented. Moreover, according to difference-in-difference analysis, the average mortality rate for the three comparison states had similar values as the average mortality rate of Texas from 2003 to 2006 while all of them held increasing tendencies of the mortality rate of opioid-drug overdose. Nevertheless, the three comparison states still had an upward trend of mortality rate after 2007, this tendency is the same as before 2007. In general, the mortality rate in control states increased from about 0.011% in 2007 to about 0.015% in 2015, while the mortality rate of opioid-drug overdose in Texas decreased from 2007 at about 0.011% to about 0.010% in 2015. Therefore, although such a degree of decline is not large, we conclude that the policy of opioid regulations had a positive impact on decreasing the mortality rate of opioid-drug overdose in Texas.</w:t>
      </w:r>
    </w:p>
    <w:p w14:paraId="769CFF1B" w14:textId="77777777" w:rsidR="004C3135" w:rsidRPr="007F05C8" w:rsidRDefault="004C3135" w:rsidP="004C3135">
      <w:pPr>
        <w:shd w:val="clear" w:color="auto" w:fill="FFFFFF"/>
        <w:jc w:val="both"/>
        <w:rPr>
          <w:rFonts w:ascii="Times" w:eastAsia="Times New Roman" w:hAnsi="Times" w:cs="Arial"/>
          <w:color w:val="000000" w:themeColor="text1"/>
        </w:rPr>
      </w:pPr>
    </w:p>
    <w:p w14:paraId="7FF39455" w14:textId="77777777" w:rsidR="004C3135" w:rsidRDefault="004C3135" w:rsidP="004C3135">
      <w:pPr>
        <w:shd w:val="clear" w:color="auto" w:fill="FFFFFF"/>
        <w:jc w:val="both"/>
        <w:rPr>
          <w:rFonts w:ascii="Times" w:eastAsia="Times New Roman" w:hAnsi="Times" w:cs="Arial"/>
          <w:b/>
          <w:bCs/>
          <w:color w:val="000000" w:themeColor="text1"/>
          <w:sz w:val="28"/>
          <w:szCs w:val="28"/>
        </w:rPr>
      </w:pPr>
      <w:r w:rsidRPr="001F1348">
        <w:rPr>
          <w:rFonts w:ascii="Times" w:eastAsia="Times New Roman" w:hAnsi="Times" w:cs="Arial"/>
          <w:b/>
          <w:bCs/>
          <w:color w:val="000000" w:themeColor="text1"/>
          <w:sz w:val="28"/>
          <w:szCs w:val="28"/>
        </w:rPr>
        <w:t>Washington</w:t>
      </w:r>
    </w:p>
    <w:p w14:paraId="3E8E85E1" w14:textId="77777777" w:rsidR="004C3135" w:rsidRPr="001F1348" w:rsidRDefault="004C3135" w:rsidP="004C3135">
      <w:pPr>
        <w:shd w:val="clear" w:color="auto" w:fill="FFFFFF"/>
        <w:jc w:val="both"/>
        <w:rPr>
          <w:rFonts w:ascii="Times" w:eastAsia="Times New Roman" w:hAnsi="Times" w:cs="Arial"/>
          <w:b/>
          <w:bCs/>
          <w:color w:val="000000" w:themeColor="text1"/>
          <w:sz w:val="28"/>
          <w:szCs w:val="28"/>
        </w:rPr>
      </w:pPr>
      <w:r w:rsidRPr="001F1348">
        <w:rPr>
          <w:rFonts w:ascii="Times" w:eastAsia="Times New Roman" w:hAnsi="Times" w:cs="Arial"/>
          <w:b/>
          <w:bCs/>
          <w:noProof/>
          <w:color w:val="000000" w:themeColor="text1"/>
          <w:sz w:val="28"/>
          <w:szCs w:val="28"/>
        </w:rPr>
        <w:drawing>
          <wp:anchor distT="0" distB="0" distL="114300" distR="114300" simplePos="0" relativeHeight="251667456" behindDoc="0" locked="0" layoutInCell="1" allowOverlap="1" wp14:anchorId="1DA3FE78" wp14:editId="376606FA">
            <wp:simplePos x="0" y="0"/>
            <wp:positionH relativeFrom="column">
              <wp:posOffset>2980055</wp:posOffset>
            </wp:positionH>
            <wp:positionV relativeFrom="paragraph">
              <wp:posOffset>146685</wp:posOffset>
            </wp:positionV>
            <wp:extent cx="3081655" cy="2374900"/>
            <wp:effectExtent l="0" t="0" r="4445" b="0"/>
            <wp:wrapSquare wrapText="bothSides"/>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1655" cy="2374900"/>
                    </a:xfrm>
                    <a:prstGeom prst="rect">
                      <a:avLst/>
                    </a:prstGeom>
                  </pic:spPr>
                </pic:pic>
              </a:graphicData>
            </a:graphic>
            <wp14:sizeRelH relativeFrom="page">
              <wp14:pctWidth>0</wp14:pctWidth>
            </wp14:sizeRelH>
            <wp14:sizeRelV relativeFrom="page">
              <wp14:pctHeight>0</wp14:pctHeight>
            </wp14:sizeRelV>
          </wp:anchor>
        </w:drawing>
      </w:r>
    </w:p>
    <w:p w14:paraId="7CB2CC18" w14:textId="77777777" w:rsidR="004C3135" w:rsidRPr="007F05C8" w:rsidRDefault="004C3135" w:rsidP="004C3135">
      <w:pPr>
        <w:shd w:val="clear" w:color="auto" w:fill="FFFFFF"/>
        <w:jc w:val="both"/>
        <w:rPr>
          <w:rFonts w:ascii="Times" w:eastAsia="Times New Roman" w:hAnsi="Times" w:cs="Arial"/>
          <w:color w:val="000000" w:themeColor="text1"/>
        </w:rPr>
      </w:pPr>
      <w:r w:rsidRPr="007F05C8">
        <w:rPr>
          <w:rFonts w:ascii="Times" w:eastAsia="Times New Roman" w:hAnsi="Times" w:cs="Arial"/>
          <w:noProof/>
          <w:color w:val="000000" w:themeColor="text1"/>
        </w:rPr>
        <w:drawing>
          <wp:inline distT="0" distB="0" distL="0" distR="0" wp14:anchorId="6026864D" wp14:editId="40FB1DE0">
            <wp:extent cx="2826385" cy="2375251"/>
            <wp:effectExtent l="0" t="0" r="5715"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8215" cy="2435616"/>
                    </a:xfrm>
                    <a:prstGeom prst="rect">
                      <a:avLst/>
                    </a:prstGeom>
                  </pic:spPr>
                </pic:pic>
              </a:graphicData>
            </a:graphic>
          </wp:inline>
        </w:drawing>
      </w:r>
    </w:p>
    <w:p w14:paraId="724CC03C" w14:textId="77777777" w:rsidR="004C3135" w:rsidRPr="007F05C8" w:rsidRDefault="004C3135" w:rsidP="004C3135">
      <w:pPr>
        <w:shd w:val="clear" w:color="auto" w:fill="FFFFFF"/>
        <w:jc w:val="both"/>
        <w:rPr>
          <w:rFonts w:ascii="Times" w:eastAsia="Times New Roman" w:hAnsi="Times" w:cs="Arial"/>
          <w:color w:val="000000" w:themeColor="text1"/>
        </w:rPr>
      </w:pPr>
    </w:p>
    <w:p w14:paraId="0577A008" w14:textId="77777777" w:rsidR="004C3135" w:rsidRPr="007F05C8" w:rsidRDefault="004C3135" w:rsidP="004C3135">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3: Chart of the mortality rate of opioid-drug overdose between the pre-policy and post-policy periods, the regulation policy was effective in Washington in </w:t>
      </w:r>
      <w:r w:rsidRPr="007F05C8">
        <w:rPr>
          <w:rFonts w:ascii="Times" w:hAnsi="Times"/>
          <w:i/>
          <w:iCs/>
          <w:sz w:val="22"/>
          <w:szCs w:val="22"/>
        </w:rPr>
        <w:t>January 2012.</w:t>
      </w:r>
    </w:p>
    <w:p w14:paraId="59430B7A" w14:textId="77777777" w:rsidR="004C3135" w:rsidRPr="007F05C8" w:rsidRDefault="004C3135" w:rsidP="004C3135">
      <w:pPr>
        <w:pStyle w:val="BodyText"/>
        <w:spacing w:line="304" w:lineRule="auto"/>
        <w:ind w:right="131"/>
        <w:jc w:val="both"/>
        <w:rPr>
          <w:rFonts w:ascii="Times" w:hAnsi="Times"/>
          <w:color w:val="161616"/>
          <w:w w:val="110"/>
        </w:rPr>
      </w:pPr>
    </w:p>
    <w:p w14:paraId="7C1C267A"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implement the regulation policy for opioid drugs in 2012, the mortality rate 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sidRPr="007F05C8">
        <w:rPr>
          <w:rFonts w:ascii="Times" w:hAnsi="Times" w:cs="AppleSystemUIFont"/>
        </w:rPr>
        <w:t>AZ, MD, WI</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w:t>
      </w:r>
      <w:r w:rsidRPr="007F05C8">
        <w:rPr>
          <w:rFonts w:ascii="Times" w:eastAsia="Times New Roman" w:hAnsi="Times" w:cs="Arial"/>
          <w:color w:val="000000" w:themeColor="text1"/>
        </w:rPr>
        <w:lastRenderedPageBreak/>
        <w:t>overdose had an increasing trend from about 0.0125% year by year since 2003 and peaked at about 0.0145% in 2011. However, after implementing the regulation policy for opioid drugs in 2012 at WA, the mortality rate of opioid-drug overdose in WA did not drop, it continued to keep an upward, but lesser degree tendency from 2012. Furthermore, according to difference-in-difference analysis, the average mortality rate for the three comparison states were lower than the average mortality rate of Washington from 2003 to 2011 while all of them held increasing tendencies of the mortality rate of opioid-drug overdose. The three comparison states still had an upward trend of mortality rate after 2012, this tendency is the same as before 2007. In general, the mortality rate in control states increased from about 0.015% in 2012 to about 0.017% in 2015, and the mortality rate of opioid-drug overdose in Washington also rose from 2012 at about 0.0138% to about 0.014% in 2015. Therefore, although the mortality rates of opioid-drug overdose in Washington were lower than other control states on average 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3D3906" w:rsidRDefault="004C3135" w:rsidP="004C3135">
      <w:pPr>
        <w:shd w:val="clear" w:color="auto" w:fill="FFFFFF"/>
        <w:jc w:val="both"/>
        <w:rPr>
          <w:rFonts w:ascii="Times" w:hAnsi="Times" w:cs="Arial"/>
          <w:b/>
          <w:bCs/>
          <w:color w:val="FF0000"/>
          <w:sz w:val="32"/>
          <w:szCs w:val="32"/>
        </w:rPr>
      </w:pPr>
      <w:r w:rsidRPr="003D3906">
        <w:rPr>
          <w:rFonts w:ascii="Times" w:hAnsi="Times" w:cs="Arial"/>
          <w:b/>
          <w:bCs/>
          <w:color w:val="FF0000"/>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77777777" w:rsidR="00506649" w:rsidRPr="00D025F1" w:rsidRDefault="00506649" w:rsidP="00506649">
      <w:pPr>
        <w:shd w:val="clear" w:color="auto" w:fill="FFFFFF"/>
        <w:spacing w:line="360" w:lineRule="auto"/>
        <w:jc w:val="both"/>
        <w:rPr>
          <w:rFonts w:ascii="Times" w:eastAsia="Times New Roman" w:hAnsi="Times" w:cs="Arial"/>
          <w:b/>
          <w:bCs/>
          <w:color w:val="000000" w:themeColor="text1"/>
        </w:rPr>
      </w:pPr>
      <w:r>
        <w:rPr>
          <w:rFonts w:ascii="Times" w:eastAsia="Times New Roman" w:hAnsi="Times" w:cs="Arial"/>
          <w:color w:val="000000" w:themeColor="text1"/>
        </w:rPr>
        <w:t xml:space="preserve">Based on this analysis, Florida and Texas were able to implement policies that reduced drug-induced deaths, and Florida’s policy was able to limit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the state.  With appropriate data, similar analysis would be able to confirm if Texas was able to limit opioids shipped to the state.  Conversely, based on this analysis, the policy that Washington implemented in 2012 was unable to substantially reduce the quantity of opioids shipped to the state, or the drug-induced deaths in the state.</w:t>
      </w: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1359AA44"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71E5B529"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6D35AF97" w14:textId="77777777" w:rsidR="00506649" w:rsidRPr="007F05C8" w:rsidRDefault="00506649" w:rsidP="00506649">
      <w:pPr>
        <w:autoSpaceDE w:val="0"/>
        <w:autoSpaceDN w:val="0"/>
        <w:adjustRightInd w:val="0"/>
        <w:spacing w:line="360" w:lineRule="auto"/>
        <w:jc w:val="both"/>
        <w:rPr>
          <w:rFonts w:ascii="Times" w:hAnsi="Times" w:cs="AppleSystemUIFont"/>
          <w:lang w:eastAsia="ko-KR"/>
        </w:rPr>
      </w:pPr>
      <w:r>
        <w:rPr>
          <w:rFonts w:ascii="Times" w:eastAsia="Times New Roman" w:hAnsi="Times" w:cs="Arial"/>
          <w:color w:val="000000" w:themeColor="text1"/>
        </w:rPr>
        <w:t xml:space="preserve">Despite key takeaways from this analysis, extracting causal information from drug policy analysis is still challenging. Many </w:t>
      </w:r>
      <w:r w:rsidRPr="003D3906">
        <w:rPr>
          <w:rFonts w:ascii="Times" w:eastAsia="Times New Roman" w:hAnsi="Times" w:cs="Arial"/>
          <w:color w:val="000000" w:themeColor="text1"/>
        </w:rPr>
        <w:t xml:space="preserve">states have enacted multiple opioid control policies as the opioid crisis has evolved </w:t>
      </w:r>
      <w:r>
        <w:rPr>
          <w:rFonts w:ascii="Times" w:eastAsia="Times New Roman" w:hAnsi="Times" w:cs="Arial"/>
          <w:color w:val="000000" w:themeColor="text1"/>
        </w:rPr>
        <w:t xml:space="preserve">over the </w:t>
      </w:r>
      <w:r w:rsidRPr="003D3906">
        <w:rPr>
          <w:rFonts w:ascii="Times" w:eastAsia="Times New Roman" w:hAnsi="Times" w:cs="Arial"/>
          <w:color w:val="000000" w:themeColor="text1"/>
        </w:rPr>
        <w:t xml:space="preserve">decades. For example, </w:t>
      </w:r>
      <w:r>
        <w:rPr>
          <w:rFonts w:ascii="Times" w:eastAsia="Times New Roman" w:hAnsi="Times" w:cs="Arial"/>
          <w:color w:val="000000" w:themeColor="text1"/>
        </w:rPr>
        <w:t xml:space="preserve">several </w:t>
      </w:r>
      <w:r w:rsidRPr="003D3906">
        <w:rPr>
          <w:rFonts w:ascii="Times" w:eastAsia="Times New Roman" w:hAnsi="Times" w:cs="Arial"/>
          <w:color w:val="000000" w:themeColor="text1"/>
        </w:rPr>
        <w:t xml:space="preserve">states implemented </w:t>
      </w:r>
      <w:r>
        <w:rPr>
          <w:rFonts w:ascii="Times" w:eastAsia="Times New Roman" w:hAnsi="Times" w:cs="Arial"/>
          <w:color w:val="000000" w:themeColor="text1"/>
        </w:rPr>
        <w:t xml:space="preserve">a </w:t>
      </w:r>
      <w:r w:rsidRPr="003D3906">
        <w:rPr>
          <w:rFonts w:ascii="Times" w:eastAsia="Times New Roman" w:hAnsi="Times" w:cs="Arial"/>
          <w:color w:val="000000" w:themeColor="text1"/>
        </w:rPr>
        <w:t xml:space="preserve">combination of naloxone laws, Good Samaritan laws, and medical marijuana laws during 2015-2017. </w:t>
      </w:r>
      <w:r>
        <w:rPr>
          <w:rFonts w:ascii="Times" w:eastAsia="Times New Roman" w:hAnsi="Times" w:cs="Arial"/>
          <w:color w:val="000000" w:themeColor="text1"/>
        </w:rPr>
        <w:t xml:space="preserve"> Furthermore, i</w:t>
      </w:r>
      <w:r w:rsidRPr="003D3906">
        <w:rPr>
          <w:rFonts w:ascii="Times" w:eastAsia="Times New Roman" w:hAnsi="Times" w:cs="Arial"/>
          <w:color w:val="000000" w:themeColor="text1"/>
        </w:rPr>
        <w:t xml:space="preserve">n addition to pre-existing prescription drug monitoring program (PDMP) laws, by 2017 most states </w:t>
      </w:r>
      <w:r w:rsidRPr="003D3906">
        <w:rPr>
          <w:rFonts w:ascii="Times" w:eastAsia="Times New Roman" w:hAnsi="Times" w:cs="Arial"/>
          <w:color w:val="000000" w:themeColor="text1"/>
        </w:rPr>
        <w:lastRenderedPageBreak/>
        <w:t>had implemented at least 3 of these 4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Therefore, it </w:t>
      </w:r>
      <w:r>
        <w:rPr>
          <w:rFonts w:ascii="Times" w:eastAsia="Times New Roman" w:hAnsi="Times" w:cs="Arial"/>
          <w:color w:val="000000" w:themeColor="text1"/>
        </w:rPr>
        <w:t>is difficult to ascertain appropriate control groups and ensure all confounding variables are accounted for</w:t>
      </w:r>
      <w:r w:rsidRPr="003D3906">
        <w:rPr>
          <w:rFonts w:ascii="Times" w:eastAsia="Times New Roman" w:hAnsi="Times" w:cs="Arial"/>
          <w:color w:val="000000" w:themeColor="text1"/>
        </w:rPr>
        <w:t>.</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 These factors complicate </w:t>
      </w:r>
      <w:r>
        <w:rPr>
          <w:rFonts w:ascii="Times" w:eastAsia="Times New Roman" w:hAnsi="Times" w:cs="Arial"/>
          <w:color w:val="000000" w:themeColor="text1"/>
        </w:rPr>
        <w:t>valid inference on 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15A3705F" w14:textId="77777777" w:rsidR="004C3135" w:rsidRDefault="004C3135" w:rsidP="004C3135">
      <w:pPr>
        <w:shd w:val="clear" w:color="auto" w:fill="FFFFFF"/>
        <w:jc w:val="both"/>
        <w:rPr>
          <w:rFonts w:ascii="Times" w:eastAsia="Times New Roman" w:hAnsi="Times" w:cs="Arial"/>
          <w:b/>
          <w:bCs/>
          <w:color w:val="FF0000"/>
          <w:sz w:val="32"/>
          <w:szCs w:val="32"/>
        </w:rPr>
      </w:pPr>
    </w:p>
    <w:p w14:paraId="3A1A9F9D" w14:textId="4E87BAA9" w:rsidR="004C3135" w:rsidRDefault="004C3135" w:rsidP="004C3135">
      <w:pPr>
        <w:shd w:val="clear" w:color="auto" w:fill="FFFFFF"/>
        <w:jc w:val="both"/>
        <w:rPr>
          <w:rFonts w:ascii="Times" w:eastAsia="Times New Roman" w:hAnsi="Times" w:cs="Arial"/>
          <w:b/>
          <w:bCs/>
          <w:color w:val="FF0000"/>
          <w:sz w:val="32"/>
          <w:szCs w:val="32"/>
        </w:rPr>
      </w:pPr>
      <w:r w:rsidRPr="003D3906">
        <w:rPr>
          <w:rFonts w:ascii="Times" w:eastAsia="Times New Roman" w:hAnsi="Times" w:cs="Arial"/>
          <w:b/>
          <w:bCs/>
          <w:color w:val="FF0000"/>
          <w:sz w:val="32"/>
          <w:szCs w:val="32"/>
        </w:rPr>
        <w:t>Conclusion</w:t>
      </w:r>
    </w:p>
    <w:p w14:paraId="4810C826" w14:textId="77777777" w:rsidR="00506649" w:rsidRPr="003D3906" w:rsidRDefault="00506649" w:rsidP="004C3135">
      <w:pPr>
        <w:shd w:val="clear" w:color="auto" w:fill="FFFFFF"/>
        <w:jc w:val="both"/>
        <w:rPr>
          <w:rFonts w:ascii="Times" w:eastAsia="Times New Roman" w:hAnsi="Times" w:cs="Arial"/>
          <w:b/>
          <w:bCs/>
          <w:color w:val="FF0000"/>
          <w:sz w:val="32"/>
          <w:szCs w:val="32"/>
        </w:rPr>
      </w:pPr>
    </w:p>
    <w:p w14:paraId="324D2D61" w14:textId="77777777" w:rsidR="00506649" w:rsidRDefault="00506649" w:rsidP="00506649">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Based on this analysis, Florida and Texas have been able to implement successful policies to combat the opioid epidemic and should be used as a best practice case study for other states who continue to struggle in reducing opioid deaths and over-prescription of opioids.  Conversely, Washington’s policy in 2012 has been shown to be relatively ineffective at combating the opioid epidemic and should be updated to follow more closely Florida’s implementation, which has been substantially more successful.</w:t>
      </w:r>
    </w:p>
    <w:p w14:paraId="6EB97286" w14:textId="77777777" w:rsidR="004C3135" w:rsidRPr="007F05C8" w:rsidRDefault="004C3135" w:rsidP="004C3135">
      <w:pPr>
        <w:autoSpaceDE w:val="0"/>
        <w:autoSpaceDN w:val="0"/>
        <w:adjustRightInd w:val="0"/>
        <w:spacing w:line="360" w:lineRule="auto"/>
        <w:jc w:val="both"/>
        <w:rPr>
          <w:rFonts w:ascii="Times" w:hAnsi="Times" w:cs="AppleSystemUIFont"/>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17"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18"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A3D7D" w14:textId="77777777" w:rsidR="007D535F" w:rsidRDefault="007D535F" w:rsidP="00AC5A3C">
      <w:r>
        <w:separator/>
      </w:r>
    </w:p>
  </w:endnote>
  <w:endnote w:type="continuationSeparator" w:id="0">
    <w:p w14:paraId="1B670837" w14:textId="77777777" w:rsidR="007D535F" w:rsidRDefault="007D535F"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charset w:val="00"/>
    <w:family w:val="auto"/>
    <w:pitch w:val="default"/>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BF2C1" w14:textId="77777777" w:rsidR="007D535F" w:rsidRDefault="007D535F" w:rsidP="00AC5A3C">
      <w:r>
        <w:separator/>
      </w:r>
    </w:p>
  </w:footnote>
  <w:footnote w:type="continuationSeparator" w:id="0">
    <w:p w14:paraId="1BC41131" w14:textId="77777777" w:rsidR="007D535F" w:rsidRDefault="007D535F"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2198803">
    <w:abstractNumId w:val="0"/>
  </w:num>
  <w:num w:numId="2" w16cid:durableId="11144721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50AD9"/>
    <w:rsid w:val="0005203D"/>
    <w:rsid w:val="00056C08"/>
    <w:rsid w:val="00061D5D"/>
    <w:rsid w:val="0010500E"/>
    <w:rsid w:val="002177CC"/>
    <w:rsid w:val="0042380B"/>
    <w:rsid w:val="004C3135"/>
    <w:rsid w:val="00506649"/>
    <w:rsid w:val="005660CB"/>
    <w:rsid w:val="005F5733"/>
    <w:rsid w:val="0060566E"/>
    <w:rsid w:val="007773E0"/>
    <w:rsid w:val="007D0DDD"/>
    <w:rsid w:val="007D535F"/>
    <w:rsid w:val="007F0B5D"/>
    <w:rsid w:val="007F1131"/>
    <w:rsid w:val="00820830"/>
    <w:rsid w:val="00840EDF"/>
    <w:rsid w:val="008611E9"/>
    <w:rsid w:val="00873C55"/>
    <w:rsid w:val="00991CE3"/>
    <w:rsid w:val="00AC5A3C"/>
    <w:rsid w:val="00AE606D"/>
    <w:rsid w:val="00B039DB"/>
    <w:rsid w:val="00B466E8"/>
    <w:rsid w:val="00B53592"/>
    <w:rsid w:val="00BD3714"/>
    <w:rsid w:val="00C116FD"/>
    <w:rsid w:val="00C300AF"/>
    <w:rsid w:val="00CA5218"/>
    <w:rsid w:val="00CD5E99"/>
    <w:rsid w:val="00D50D64"/>
    <w:rsid w:val="00D8364B"/>
    <w:rsid w:val="00D93D1A"/>
    <w:rsid w:val="00E92823"/>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dc.gov/drugoverdose/rxrate-maps/state2020.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orldpopulationreview.com/stat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3521</Words>
  <Characters>20072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Nick</cp:lastModifiedBy>
  <cp:revision>2</cp:revision>
  <dcterms:created xsi:type="dcterms:W3CDTF">2022-11-28T17:50:00Z</dcterms:created>
  <dcterms:modified xsi:type="dcterms:W3CDTF">2022-11-28T17:50:00Z</dcterms:modified>
</cp:coreProperties>
</file>