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0E63AAA6" w14:textId="0AA98CDF" w:rsidR="004C4033" w:rsidRDefault="004C3135" w:rsidP="00C32784">
      <w:pPr>
        <w:shd w:val="clear" w:color="auto" w:fill="FFFFFF"/>
        <w:jc w:val="center"/>
        <w:rPr>
          <w:rFonts w:ascii="Times" w:hAnsi="Times" w:cs="Arial"/>
          <w:color w:val="1D1C1D"/>
        </w:rPr>
      </w:pPr>
      <w:r w:rsidRPr="00791E5A">
        <w:rPr>
          <w:rFonts w:ascii="Times" w:hAnsi="Times" w:cs="Arial"/>
          <w:color w:val="1D1C1D"/>
        </w:rPr>
        <w:t>Grey Team (Nick Carroll, Jiaxin Ying, Emmanuel Ruhamyankaka, Song Young Oh)</w:t>
      </w:r>
    </w:p>
    <w:p w14:paraId="258DEDAD" w14:textId="77777777" w:rsidR="00C32784" w:rsidRPr="00C32784" w:rsidRDefault="00C32784" w:rsidP="00C32784">
      <w:pPr>
        <w:shd w:val="clear" w:color="auto" w:fill="FFFFFF"/>
        <w:jc w:val="center"/>
        <w:rPr>
          <w:rFonts w:ascii="Times" w:hAnsi="Times" w:cs="Arial"/>
          <w:color w:val="1D1C1D"/>
        </w:rPr>
      </w:pPr>
    </w:p>
    <w:p w14:paraId="683BD751" w14:textId="2A154E25" w:rsidR="004C3135" w:rsidRPr="005B40ED" w:rsidRDefault="004C3135" w:rsidP="004C3135">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08D1DD80"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762B2A00" w14:textId="77777777" w:rsidR="00506649" w:rsidRPr="00791E5A" w:rsidRDefault="00506649" w:rsidP="00506649">
      <w:pPr>
        <w:spacing w:line="360" w:lineRule="auto"/>
        <w:jc w:val="both"/>
        <w:rPr>
          <w:rFonts w:ascii="Times" w:hAnsi="Times"/>
          <w:color w:val="000000" w:themeColor="text1"/>
          <w:lang w:eastAsia="ko-KR"/>
        </w:rPr>
      </w:pPr>
    </w:p>
    <w:p w14:paraId="70F739D4"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In addition to these efforts at the federal level, there has been enforcement of state-level opioid control policies in various parts of the US. For instance, the Texas Medical Board adopted regulations with regards to treating pain with controlled substances in 2007. The Florida legislature also require</w:t>
      </w:r>
      <w:r>
        <w:rPr>
          <w:rFonts w:ascii="Times" w:hAnsi="Times"/>
          <w:color w:val="000000" w:themeColor="text1"/>
        </w:rPr>
        <w:t>d</w:t>
      </w:r>
      <w:r w:rsidRPr="00791E5A">
        <w:rPr>
          <w:rFonts w:ascii="Times" w:hAnsi="Times"/>
          <w:color w:val="000000" w:themeColor="text1"/>
        </w:rPr>
        <w:t xml:space="preserve"> pain clinics </w:t>
      </w:r>
      <w:r>
        <w:rPr>
          <w:rFonts w:ascii="Times" w:hAnsi="Times"/>
          <w:color w:val="000000" w:themeColor="text1"/>
        </w:rPr>
        <w:t xml:space="preserve">who </w:t>
      </w:r>
      <w:r w:rsidRPr="00791E5A">
        <w:rPr>
          <w:rFonts w:ascii="Times" w:hAnsi="Times"/>
          <w:color w:val="000000" w:themeColor="text1"/>
        </w:rPr>
        <w:t xml:space="preserve">treat pain with controlled substances </w:t>
      </w:r>
      <w:r>
        <w:rPr>
          <w:rFonts w:ascii="Times" w:hAnsi="Times"/>
          <w:color w:val="000000" w:themeColor="text1"/>
        </w:rPr>
        <w:t xml:space="preserve">to </w:t>
      </w:r>
      <w:r w:rsidRPr="00791E5A">
        <w:rPr>
          <w:rFonts w:ascii="Times" w:hAnsi="Times"/>
          <w:color w:val="000000" w:themeColor="text1"/>
        </w:rPr>
        <w:t xml:space="preserve">register with the state </w:t>
      </w:r>
      <w:r>
        <w:rPr>
          <w:rFonts w:ascii="Times" w:hAnsi="Times"/>
          <w:color w:val="000000" w:themeColor="text1"/>
        </w:rPr>
        <w:t xml:space="preserve">starting in </w:t>
      </w:r>
      <w:r w:rsidRPr="00791E5A">
        <w:rPr>
          <w:rFonts w:ascii="Times" w:hAnsi="Times"/>
          <w:color w:val="000000" w:themeColor="text1"/>
        </w:rPr>
        <w:t>2010, and the Washington Department of Health adopted a rule regulating the prescri</w:t>
      </w:r>
      <w:r>
        <w:rPr>
          <w:rFonts w:ascii="Times" w:hAnsi="Times"/>
          <w:color w:val="000000" w:themeColor="text1"/>
        </w:rPr>
        <w:t>ption</w:t>
      </w:r>
      <w:r w:rsidRPr="00791E5A">
        <w:rPr>
          <w:rFonts w:ascii="Times" w:hAnsi="Times"/>
          <w:color w:val="000000" w:themeColor="text1"/>
        </w:rPr>
        <w:t xml:space="preserve"> of opioids for pain treatment in 201</w:t>
      </w:r>
      <w:r>
        <w:rPr>
          <w:rFonts w:ascii="Times" w:hAnsi="Times"/>
          <w:color w:val="000000" w:themeColor="text1"/>
        </w:rPr>
        <w:t>2</w:t>
      </w:r>
      <w:r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77777777"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allows policy makers to implement best practices and update policies that are ineffective</w:t>
      </w:r>
      <w:r w:rsidRPr="00791E5A">
        <w:rPr>
          <w:rFonts w:ascii="Times" w:hAnsi="Times"/>
          <w:color w:val="000000" w:themeColor="text1"/>
        </w:rPr>
        <w:t xml:space="preserve">. </w:t>
      </w:r>
      <w:r>
        <w:rPr>
          <w:rFonts w:ascii="Times" w:hAnsi="Times"/>
          <w:color w:val="000000" w:themeColor="text1"/>
        </w:rPr>
        <w:t xml:space="preserve"> In particular, the intent of these regulations is to reduce opioid abuse; however, they have the possibility for unintended effects by limiting legal access of drugs to addicts.</w:t>
      </w:r>
    </w:p>
    <w:p w14:paraId="28043D23" w14:textId="77777777" w:rsidR="00506649" w:rsidRDefault="00506649" w:rsidP="00506649">
      <w:pPr>
        <w:spacing w:line="360" w:lineRule="auto"/>
        <w:jc w:val="both"/>
        <w:rPr>
          <w:rFonts w:ascii="Times" w:hAnsi="Times"/>
          <w:color w:val="000000" w:themeColor="text1"/>
        </w:rPr>
      </w:pPr>
    </w:p>
    <w:p w14:paraId="45AA39E9" w14:textId="2C894B2A"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in three states (Texas, Florida, Washington)</w:t>
      </w:r>
      <w:r>
        <w:rPr>
          <w:rFonts w:ascii="Times" w:hAnsi="Times"/>
          <w:color w:val="000000" w:themeColor="text1"/>
        </w:rPr>
        <w:t xml:space="preserve"> in the early 2000’s (2007, 2010, and 2012 respectively).  In particular,</w:t>
      </w:r>
      <w:r w:rsidR="004C4033">
        <w:rPr>
          <w:rFonts w:ascii="Times" w:hAnsi="Times"/>
          <w:color w:val="000000" w:themeColor="text1"/>
        </w:rPr>
        <w:t xml:space="preserve"> </w:t>
      </w:r>
      <w:r>
        <w:rPr>
          <w:rFonts w:ascii="Times" w:hAnsi="Times"/>
          <w:color w:val="000000" w:themeColor="text1"/>
        </w:rPr>
        <w:t xml:space="preserve">this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6771DE6A" w14:textId="4F76C6B7" w:rsidR="00D8364B" w:rsidRDefault="00D8364B" w:rsidP="004C3135">
      <w:pPr>
        <w:spacing w:line="360" w:lineRule="auto"/>
        <w:jc w:val="both"/>
        <w:rPr>
          <w:rFonts w:ascii="Times" w:hAnsi="Times"/>
          <w:b/>
          <w:bCs/>
          <w:color w:val="000000" w:themeColor="text1"/>
          <w:sz w:val="32"/>
          <w:szCs w:val="32"/>
        </w:rPr>
      </w:pPr>
    </w:p>
    <w:p w14:paraId="1AB2355F" w14:textId="77777777" w:rsidR="00C32784" w:rsidRDefault="00C32784" w:rsidP="004C3135">
      <w:pPr>
        <w:spacing w:line="360" w:lineRule="auto"/>
        <w:jc w:val="both"/>
        <w:rPr>
          <w:rFonts w:ascii="Times" w:hAnsi="Times"/>
          <w:b/>
          <w:bCs/>
          <w:color w:val="000000" w:themeColor="text1"/>
          <w:sz w:val="32"/>
          <w:szCs w:val="32"/>
        </w:rPr>
      </w:pPr>
    </w:p>
    <w:p w14:paraId="112F8BEA" w14:textId="3214EA6B"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lastRenderedPageBreak/>
        <w:t>Motivation for Research Design</w:t>
      </w:r>
    </w:p>
    <w:p w14:paraId="450EECAE" w14:textId="50E3D532" w:rsidR="004C4033"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246FC3DF" w14:textId="379B543E" w:rsidR="00D8364B" w:rsidRPr="00D8364B" w:rsidRDefault="004C3135" w:rsidP="00D8364B">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11B6F86E" w14:textId="77777777" w:rsidR="00D8364B" w:rsidRDefault="00D8364B" w:rsidP="004C3135">
      <w:pPr>
        <w:spacing w:line="360" w:lineRule="auto"/>
        <w:jc w:val="both"/>
        <w:rPr>
          <w:rFonts w:ascii="Times" w:hAnsi="Times"/>
          <w:color w:val="000000" w:themeColor="text1"/>
        </w:rPr>
      </w:pPr>
    </w:p>
    <w:p w14:paraId="75CA89CD" w14:textId="39D0937D" w:rsidR="004C3135" w:rsidRDefault="004C3135" w:rsidP="004C3135">
      <w:pPr>
        <w:spacing w:line="360" w:lineRule="auto"/>
        <w:jc w:val="both"/>
        <w:rPr>
          <w:rFonts w:ascii="Times" w:hAnsi="Times"/>
          <w:color w:val="000000" w:themeColor="text1"/>
        </w:rPr>
      </w:pPr>
      <w:r>
        <w:rPr>
          <w:rFonts w:ascii="Times" w:hAnsi="Times"/>
          <w:color w:val="000000" w:themeColor="text1"/>
        </w:rPr>
        <w:t xml:space="preserve">To draw valid inference on causal effects of these three policies, two kinds of approaches will be mainly used in the analysis. From an intuitive perspective, the first approach is pre-post comparison which focuses on difference between pre-policy and post-policy outcomes. Thus, this analysis will compare the amount of opioids prescribed and the amount of drug overdose deaths to their respective quantities, both before and after the policies took place in their respective jurisdictions. </w:t>
      </w:r>
      <w:r w:rsidRPr="00791E5A">
        <w:rPr>
          <w:rFonts w:ascii="Times" w:hAnsi="Times"/>
          <w:color w:val="000000" w:themeColor="text1"/>
        </w:rPr>
        <w:t xml:space="preserve">The </w:t>
      </w:r>
      <w:r>
        <w:rPr>
          <w:rFonts w:ascii="Times" w:hAnsi="Times"/>
          <w:color w:val="000000" w:themeColor="text1"/>
        </w:rPr>
        <w:t xml:space="preserve">second approach </w:t>
      </w:r>
      <w:r w:rsidRPr="00791E5A">
        <w:rPr>
          <w:rFonts w:ascii="Times" w:hAnsi="Times"/>
          <w:color w:val="000000" w:themeColor="text1"/>
        </w:rPr>
        <w:t>is a difference-in-difference method which compares the changes in outcomes over time between a state with a policy change and other states without the policy change.</w:t>
      </w:r>
      <w:r>
        <w:rPr>
          <w:rFonts w:ascii="Times" w:hAnsi="Times"/>
          <w:color w:val="000000" w:themeColor="text1"/>
        </w:rPr>
        <w:t xml:space="preserve"> Each jurisdiction will be compared to the quantities in comparison states where no policies are in place.</w:t>
      </w:r>
    </w:p>
    <w:p w14:paraId="7615689E" w14:textId="77777777" w:rsidR="004C3135" w:rsidRDefault="004C3135" w:rsidP="004C3135">
      <w:pPr>
        <w:spacing w:line="360" w:lineRule="auto"/>
        <w:jc w:val="both"/>
        <w:rPr>
          <w:rFonts w:ascii="Times" w:hAnsi="Times"/>
          <w:color w:val="000000" w:themeColor="text1"/>
        </w:rPr>
      </w:pP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506649">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77777777"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Vital Statistics Mortality Data: The US Underlying Cause of Death statistics includes quantities of deaths in each year, broken down by each county, and includes the cause of death as qualified by drug or alcohol induced.</w:t>
      </w:r>
    </w:p>
    <w:p w14:paraId="514BE937" w14:textId="77777777" w:rsidR="00506649" w:rsidRPr="00BA0810"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w:t>
      </w:r>
      <w:r w:rsidRPr="00BA0810">
        <w:rPr>
          <w:rFonts w:ascii="Times" w:hAnsi="Times"/>
          <w:color w:val="000000" w:themeColor="text1"/>
        </w:rPr>
        <w:lastRenderedPageBreak/>
        <w:t>estimates (including births and deaths), along with a number of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156D36C" w14:textId="77777777" w:rsidR="004C3135" w:rsidRDefault="004C3135" w:rsidP="004C3135">
      <w:pPr>
        <w:spacing w:line="360" w:lineRule="auto"/>
        <w:jc w:val="both"/>
        <w:rPr>
          <w:rFonts w:ascii="Times" w:hAnsi="Times"/>
          <w:color w:val="000000" w:themeColor="text1"/>
        </w:rPr>
      </w:pPr>
    </w:p>
    <w:p w14:paraId="65F07113" w14:textId="645E2E82" w:rsidR="004C3135" w:rsidRDefault="004C3135" w:rsidP="004C3135">
      <w:pPr>
        <w:jc w:val="both"/>
        <w:rPr>
          <w:rFonts w:ascii="Times" w:hAnsi="Times"/>
          <w:b/>
          <w:bCs/>
          <w:color w:val="000000" w:themeColor="text1"/>
          <w:sz w:val="28"/>
          <w:szCs w:val="28"/>
        </w:rPr>
      </w:pPr>
      <w:r>
        <w:rPr>
          <w:rFonts w:ascii="Times" w:hAnsi="Times"/>
          <w:b/>
          <w:bCs/>
          <w:color w:val="000000" w:themeColor="text1"/>
          <w:sz w:val="28"/>
          <w:szCs w:val="28"/>
        </w:rPr>
        <w:t>Methods</w:t>
      </w:r>
    </w:p>
    <w:p w14:paraId="0C2B1722" w14:textId="77777777" w:rsidR="00D8364B" w:rsidRPr="00D8364B" w:rsidRDefault="00D8364B" w:rsidP="004C3135">
      <w:pPr>
        <w:jc w:val="both"/>
        <w:rPr>
          <w:rFonts w:ascii="Times" w:hAnsi="Times"/>
          <w:b/>
          <w:bCs/>
          <w:color w:val="000000" w:themeColor="text1"/>
          <w:sz w:val="28"/>
          <w:szCs w:val="28"/>
        </w:rPr>
      </w:pPr>
    </w:p>
    <w:p w14:paraId="7F5BEE2E" w14:textId="0767F5BB"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that these policies had on opioid shipments and overdose deaths, a linear regression of average annualized opioid shipments per capita and overdose deaths per capita were calculated and plotted for each impacted jurisdiction.  Two plots were made for each jurisdiction, for each variable analyzed: one which compared the linear trend prior to policy implementation against the linear trend after the policy implementation, and one which compared these linear trends against the linear trends for their control group.  </w:t>
      </w:r>
    </w:p>
    <w:p w14:paraId="3A4AB40B" w14:textId="77777777" w:rsidR="00C32784" w:rsidRDefault="00C32784" w:rsidP="00506649">
      <w:pPr>
        <w:spacing w:line="360" w:lineRule="auto"/>
        <w:jc w:val="both"/>
        <w:rPr>
          <w:rFonts w:ascii="Times" w:eastAsia="Times New Roman" w:hAnsi="Times" w:cs="Arial"/>
          <w:color w:val="000000" w:themeColor="text1"/>
        </w:rPr>
      </w:pPr>
    </w:p>
    <w:p w14:paraId="04CD4E71" w14:textId="5EE9CACF"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totaled.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prior to policy implementation and after policy implementation, and linear regression trend lines, along with confidence intervals, were calculated for each.</w:t>
      </w:r>
    </w:p>
    <w:p w14:paraId="4A16459C" w14:textId="77777777" w:rsidR="00C32784" w:rsidRDefault="00C32784" w:rsidP="00506649">
      <w:pPr>
        <w:spacing w:line="360" w:lineRule="auto"/>
        <w:jc w:val="both"/>
        <w:rPr>
          <w:rFonts w:ascii="Times" w:eastAsia="Times New Roman" w:hAnsi="Times" w:cs="Arial"/>
          <w:color w:val="000000" w:themeColor="text1"/>
        </w:rPr>
      </w:pPr>
    </w:p>
    <w:p w14:paraId="5346FA53" w14:textId="77777777"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Similarly, to calculate the linear regressions for average annualized overdose deaths per capita, the mortality data was filtered for deaths that were considered drug induced, and the census data was used to calculate the drug induced deaths per capita for each county.  Then, the drug induced deaths were averaged over all the counties for an average drug induced death rate per capita for each year.  And finally, the data was split into the periods prior to policy implementation and after policy 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525F43" w:rsidRDefault="004C3135" w:rsidP="004C3135">
      <w:pPr>
        <w:jc w:val="both"/>
        <w:rPr>
          <w:rFonts w:ascii="Times" w:hAnsi="Times"/>
          <w:b/>
          <w:bCs/>
          <w:color w:val="000000" w:themeColor="text1"/>
          <w:sz w:val="28"/>
          <w:szCs w:val="28"/>
        </w:rPr>
      </w:pPr>
      <w:r w:rsidRPr="00525F43">
        <w:rPr>
          <w:rFonts w:ascii="Times" w:hAnsi="Times"/>
          <w:b/>
          <w:bCs/>
          <w:color w:val="000000" w:themeColor="text1"/>
          <w:sz w:val="28"/>
          <w:szCs w:val="28"/>
        </w:rPr>
        <w:t>Comparison States</w:t>
      </w:r>
    </w:p>
    <w:p w14:paraId="6E3A70DF" w14:textId="77777777" w:rsidR="004C3135" w:rsidRPr="007F05C8" w:rsidRDefault="004C3135" w:rsidP="004C3135">
      <w:pPr>
        <w:jc w:val="both"/>
        <w:rPr>
          <w:rFonts w:ascii="Times" w:hAnsi="Times"/>
          <w:color w:val="000000" w:themeColor="text1"/>
        </w:rPr>
      </w:pPr>
    </w:p>
    <w:p w14:paraId="01ECC026" w14:textId="70FE97DB" w:rsidR="00506649" w:rsidRPr="00860C6E" w:rsidRDefault="00506649" w:rsidP="00506649">
      <w:pPr>
        <w:shd w:val="clear" w:color="auto" w:fill="FFFFFF"/>
        <w:spacing w:line="360" w:lineRule="auto"/>
        <w:jc w:val="both"/>
        <w:rPr>
          <w:rFonts w:ascii="Batang" w:eastAsia="Batang" w:hAnsi="Batang" w:cs="Batang"/>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was compared against the averages of three states for their own control group.  Each control group’s three states were selected based on their similarity to the treated state.  The metrics used to define “similarity” were population size and opioid dispensing rate.  For this decision, population size was provided by World Population Review [3], and the opioid dispensing rate was provided by Centers for Disease Control and Prevention [4]. As shown in Table 1, the states which have the most “similarity” with each treated state in question was sorted with a sum of the difference in these two metrics. Based on this result, Florida’s comparison states will be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Texas will have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 xml:space="preserve">as its control states, and Washington will be compared with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 xml:space="preserve"> throughout the analysis.</w:t>
      </w:r>
    </w:p>
    <w:p w14:paraId="361C376C" w14:textId="77777777" w:rsidR="004C3135" w:rsidRPr="002846BC" w:rsidRDefault="004C3135" w:rsidP="004C3135">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12126A7C"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w:t>
            </w:r>
            <w:r w:rsidR="004C4033">
              <w:rPr>
                <w:rFonts w:ascii="Batang" w:eastAsia="Batang" w:hAnsi="Batang" w:cs="Batang"/>
                <w:b/>
                <w:bCs/>
                <w:color w:val="000000" w:themeColor="text1"/>
                <w:sz w:val="18"/>
                <w:szCs w:val="18"/>
                <w:lang w:eastAsia="ko-KR"/>
              </w:rPr>
              <w:t>006</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w:t>
            </w:r>
            <w:r w:rsidR="004C4033">
              <w:rPr>
                <w:rFonts w:ascii="Batang" w:eastAsia="Batang" w:hAnsi="Batang" w:cs="Batang"/>
                <w:b/>
                <w:bCs/>
                <w:color w:val="000000" w:themeColor="text1"/>
                <w:sz w:val="18"/>
                <w:szCs w:val="18"/>
                <w:lang w:eastAsia="ko-KR"/>
              </w:rPr>
              <w:t xml:space="preserve"> Diff.</w:t>
            </w:r>
            <w:r>
              <w:rPr>
                <w:rFonts w:ascii="Batang" w:eastAsia="Batang" w:hAnsi="Batang" w:cs="Batang"/>
                <w:b/>
                <w:bCs/>
                <w:color w:val="000000" w:themeColor="text1"/>
                <w:sz w:val="18"/>
                <w:szCs w:val="18"/>
                <w:lang w:eastAsia="ko-KR"/>
              </w:rPr>
              <w:t xml:space="preserve"> </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67963DC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shd w:val="clear" w:color="auto" w:fill="F7CAAC" w:themeFill="accent2" w:themeFillTint="66"/>
            <w:vAlign w:val="center"/>
          </w:tcPr>
          <w:p w14:paraId="3F44C621" w14:textId="30446EE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shd w:val="clear" w:color="auto" w:fill="F7CAAC" w:themeFill="accent2" w:themeFillTint="66"/>
            <w:vAlign w:val="center"/>
          </w:tcPr>
          <w:p w14:paraId="4C71A55F" w14:textId="342EB1F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80.2</w:t>
            </w:r>
          </w:p>
        </w:tc>
        <w:tc>
          <w:tcPr>
            <w:tcW w:w="1369" w:type="dxa"/>
            <w:shd w:val="clear" w:color="auto" w:fill="F4B083" w:themeFill="accent2" w:themeFillTint="99"/>
            <w:vAlign w:val="center"/>
          </w:tcPr>
          <w:p w14:paraId="3EE20EFE" w14:textId="1E30520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01660C2E" w14:textId="3F85DF1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0.5</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2CA271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shd w:val="clear" w:color="auto" w:fill="F7CAAC" w:themeFill="accent2" w:themeFillTint="66"/>
            <w:vAlign w:val="center"/>
          </w:tcPr>
          <w:p w14:paraId="71FAB90F" w14:textId="1C5A64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shd w:val="clear" w:color="auto" w:fill="F7CAAC" w:themeFill="accent2" w:themeFillTint="66"/>
            <w:vAlign w:val="center"/>
          </w:tcPr>
          <w:p w14:paraId="3A9A62F8" w14:textId="590E4A2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shd w:val="clear" w:color="auto" w:fill="F4B083" w:themeFill="accent2" w:themeFillTint="99"/>
            <w:vAlign w:val="center"/>
          </w:tcPr>
          <w:p w14:paraId="4FD39AEF" w14:textId="7C0E7D5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03EBB0AC" w14:textId="3F37C9B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w:t>
            </w:r>
          </w:p>
        </w:tc>
        <w:tc>
          <w:tcPr>
            <w:tcW w:w="1177" w:type="dxa"/>
            <w:tcBorders>
              <w:left w:val="single" w:sz="36" w:space="0" w:color="auto"/>
              <w:right w:val="single" w:sz="36" w:space="0" w:color="auto"/>
            </w:tcBorders>
            <w:shd w:val="clear" w:color="auto" w:fill="8EAADB" w:themeFill="accent1" w:themeFillTint="99"/>
            <w:vAlign w:val="center"/>
          </w:tcPr>
          <w:p w14:paraId="03E574E7" w14:textId="521C88C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11.5</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18FF1C3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2DBC9E69" w14:textId="5EF727F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815DE17" w14:textId="64EF9AB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shd w:val="clear" w:color="auto" w:fill="F4B083" w:themeFill="accent2" w:themeFillTint="99"/>
            <w:vAlign w:val="center"/>
          </w:tcPr>
          <w:p w14:paraId="39F5D7D2" w14:textId="363FDDA0"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2765675C" w14:textId="1EA07A1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c>
          <w:tcPr>
            <w:tcW w:w="1177" w:type="dxa"/>
            <w:tcBorders>
              <w:left w:val="single" w:sz="36" w:space="0" w:color="auto"/>
              <w:right w:val="single" w:sz="36" w:space="0" w:color="auto"/>
            </w:tcBorders>
            <w:shd w:val="clear" w:color="auto" w:fill="8EAADB" w:themeFill="accent1" w:themeFillTint="99"/>
            <w:vAlign w:val="center"/>
          </w:tcPr>
          <w:p w14:paraId="783B069D" w14:textId="0DF3206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2.0</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672F5AA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vAlign w:val="center"/>
          </w:tcPr>
          <w:p w14:paraId="191218C3" w14:textId="2431A6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vAlign w:val="center"/>
          </w:tcPr>
          <w:p w14:paraId="664CB493" w14:textId="1CF9EC5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vAlign w:val="center"/>
          </w:tcPr>
          <w:p w14:paraId="27B84D09" w14:textId="0E4C374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0038565B"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10.2</w:t>
            </w:r>
          </w:p>
        </w:tc>
        <w:tc>
          <w:tcPr>
            <w:tcW w:w="1177" w:type="dxa"/>
            <w:tcBorders>
              <w:left w:val="single" w:sz="36" w:space="0" w:color="auto"/>
              <w:right w:val="single" w:sz="36" w:space="0" w:color="auto"/>
            </w:tcBorders>
            <w:shd w:val="clear" w:color="auto" w:fill="8EAADB" w:themeFill="accent1" w:themeFillTint="99"/>
            <w:vAlign w:val="center"/>
          </w:tcPr>
          <w:p w14:paraId="3C7EB52F" w14:textId="0904585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2.2</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5DC4D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vAlign w:val="center"/>
          </w:tcPr>
          <w:p w14:paraId="26B83B84" w14:textId="0A23C31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w:t>
            </w:r>
          </w:p>
        </w:tc>
        <w:tc>
          <w:tcPr>
            <w:tcW w:w="1217" w:type="dxa"/>
            <w:vAlign w:val="center"/>
          </w:tcPr>
          <w:p w14:paraId="04CFFD3D" w14:textId="12B6CF3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vAlign w:val="center"/>
          </w:tcPr>
          <w:p w14:paraId="3A32CF2C" w14:textId="324B27FE"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375" w:type="dxa"/>
            <w:tcBorders>
              <w:right w:val="single" w:sz="36" w:space="0" w:color="auto"/>
            </w:tcBorders>
            <w:vAlign w:val="center"/>
          </w:tcPr>
          <w:p w14:paraId="4A42A5CC" w14:textId="309B6D4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0.8</w:t>
            </w:r>
          </w:p>
        </w:tc>
        <w:tc>
          <w:tcPr>
            <w:tcW w:w="1177" w:type="dxa"/>
            <w:tcBorders>
              <w:left w:val="single" w:sz="36" w:space="0" w:color="auto"/>
              <w:right w:val="single" w:sz="36" w:space="0" w:color="auto"/>
            </w:tcBorders>
            <w:shd w:val="clear" w:color="auto" w:fill="8EAADB" w:themeFill="accent1" w:themeFillTint="99"/>
            <w:vAlign w:val="center"/>
          </w:tcPr>
          <w:p w14:paraId="79DF62A4" w14:textId="3BA2E09B"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5.8</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67135AB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241B9E9" w14:textId="021D41D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1E85F344" w14:textId="6DF61A5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shd w:val="clear" w:color="auto" w:fill="F4B083" w:themeFill="accent2" w:themeFillTint="99"/>
            <w:vAlign w:val="center"/>
          </w:tcPr>
          <w:p w14:paraId="13D24675" w14:textId="2532D32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04E5A650" w14:textId="111EEA6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2.7</w:t>
            </w:r>
          </w:p>
        </w:tc>
        <w:tc>
          <w:tcPr>
            <w:tcW w:w="1177" w:type="dxa"/>
            <w:tcBorders>
              <w:left w:val="single" w:sz="36" w:space="0" w:color="auto"/>
              <w:right w:val="single" w:sz="36" w:space="0" w:color="auto"/>
            </w:tcBorders>
            <w:shd w:val="clear" w:color="auto" w:fill="8EAADB" w:themeFill="accent1" w:themeFillTint="99"/>
            <w:vAlign w:val="center"/>
          </w:tcPr>
          <w:p w14:paraId="7929FA30" w14:textId="142B122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5.7</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1992DEB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76D5D7F5" w14:textId="78D52E6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04CACA31" w14:textId="4B1D22F7"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67.2</w:t>
            </w:r>
          </w:p>
        </w:tc>
        <w:tc>
          <w:tcPr>
            <w:tcW w:w="1369" w:type="dxa"/>
            <w:shd w:val="clear" w:color="auto" w:fill="F4B083" w:themeFill="accent2" w:themeFillTint="99"/>
            <w:vAlign w:val="center"/>
          </w:tcPr>
          <w:p w14:paraId="72BB7AC3" w14:textId="22679C4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1D617730" w14:textId="0DDCC6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0.4</w:t>
            </w:r>
          </w:p>
        </w:tc>
        <w:tc>
          <w:tcPr>
            <w:tcW w:w="1177" w:type="dxa"/>
            <w:tcBorders>
              <w:left w:val="single" w:sz="36" w:space="0" w:color="auto"/>
              <w:right w:val="single" w:sz="36" w:space="0" w:color="auto"/>
            </w:tcBorders>
            <w:shd w:val="clear" w:color="auto" w:fill="8EAADB" w:themeFill="accent1" w:themeFillTint="99"/>
            <w:vAlign w:val="center"/>
          </w:tcPr>
          <w:p w14:paraId="3F263917" w14:textId="28ED930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1696DFF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shd w:val="clear" w:color="auto" w:fill="F7CAAC" w:themeFill="accent2" w:themeFillTint="66"/>
            <w:vAlign w:val="center"/>
          </w:tcPr>
          <w:p w14:paraId="1AA62EB9" w14:textId="3DD9844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745B2946" w14:textId="28FEC5E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66.0</w:t>
            </w:r>
          </w:p>
        </w:tc>
        <w:tc>
          <w:tcPr>
            <w:tcW w:w="1369" w:type="dxa"/>
            <w:shd w:val="clear" w:color="auto" w:fill="F4B083" w:themeFill="accent2" w:themeFillTint="99"/>
            <w:vAlign w:val="center"/>
          </w:tcPr>
          <w:p w14:paraId="684B59DD" w14:textId="77E068F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2DC361CE" w14:textId="75A103E6"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w:t>
            </w:r>
            <w:r w:rsidR="001B5271">
              <w:rPr>
                <w:rFonts w:ascii="Batang" w:eastAsia="Batang" w:hAnsi="Batang" w:cs="Batang"/>
                <w:color w:val="000000" w:themeColor="text1"/>
                <w:sz w:val="20"/>
                <w:szCs w:val="20"/>
                <w:lang w:eastAsia="ko-KR"/>
              </w:rPr>
              <w:t>.8</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2EC2273"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3.8</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5921877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1CE14CF" w14:textId="1B3C209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1A01334D" w14:textId="5FBCE93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55.6</w:t>
            </w:r>
          </w:p>
        </w:tc>
        <w:tc>
          <w:tcPr>
            <w:tcW w:w="1369" w:type="dxa"/>
            <w:vAlign w:val="center"/>
          </w:tcPr>
          <w:p w14:paraId="3B19CC3E" w14:textId="6F2355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67BD33FF" w14:textId="5D9594D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11.2</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460C891"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5.2</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026C3DF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vAlign w:val="center"/>
          </w:tcPr>
          <w:p w14:paraId="1521B7B1" w14:textId="2A5FBCB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vAlign w:val="center"/>
          </w:tcPr>
          <w:p w14:paraId="4990C795" w14:textId="1B2657E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vAlign w:val="center"/>
          </w:tcPr>
          <w:p w14:paraId="52458781" w14:textId="7462E4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375" w:type="dxa"/>
            <w:tcBorders>
              <w:right w:val="single" w:sz="36" w:space="0" w:color="auto"/>
            </w:tcBorders>
            <w:vAlign w:val="center"/>
          </w:tcPr>
          <w:p w14:paraId="506C3AAD" w14:textId="5981250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BC2A77C"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9.5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6D31EC7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shd w:val="clear" w:color="auto" w:fill="F7CAAC" w:themeFill="accent2" w:themeFillTint="66"/>
            <w:vAlign w:val="center"/>
          </w:tcPr>
          <w:p w14:paraId="6576F66D" w14:textId="1D9A4259"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1FD8ACD5" w14:textId="53AE235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shd w:val="clear" w:color="auto" w:fill="F4B083" w:themeFill="accent2" w:themeFillTint="99"/>
            <w:vAlign w:val="center"/>
          </w:tcPr>
          <w:p w14:paraId="566B3D2C" w14:textId="10B5533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6B1699FF" w14:textId="747E638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5D1EC3BF" w14:textId="28153BB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13F3C2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504DBD09" w14:textId="0344EF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5159F38F" w14:textId="7975C42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79.8</w:t>
            </w:r>
          </w:p>
        </w:tc>
        <w:tc>
          <w:tcPr>
            <w:tcW w:w="1369" w:type="dxa"/>
            <w:shd w:val="clear" w:color="auto" w:fill="F4B083" w:themeFill="accent2" w:themeFillTint="99"/>
            <w:vAlign w:val="center"/>
          </w:tcPr>
          <w:p w14:paraId="02E1A75E" w14:textId="0EAB233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5DE82A3" w14:textId="6AB90AD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5AE15BA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1C217CB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05F03AA1" w14:textId="793F5D3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6C05E2D1" w14:textId="328FACC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shd w:val="clear" w:color="auto" w:fill="F4B083" w:themeFill="accent2" w:themeFillTint="99"/>
            <w:vAlign w:val="center"/>
          </w:tcPr>
          <w:p w14:paraId="38DB4BD6" w14:textId="2F9A76A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4FF91766" w14:textId="042BE41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6.5</w:t>
            </w:r>
          </w:p>
        </w:tc>
        <w:tc>
          <w:tcPr>
            <w:tcW w:w="1177" w:type="dxa"/>
            <w:tcBorders>
              <w:left w:val="single" w:sz="36" w:space="0" w:color="auto"/>
              <w:right w:val="single" w:sz="36" w:space="0" w:color="auto"/>
            </w:tcBorders>
            <w:shd w:val="clear" w:color="auto" w:fill="8EAADB" w:themeFill="accent1" w:themeFillTint="99"/>
            <w:vAlign w:val="center"/>
          </w:tcPr>
          <w:p w14:paraId="220388E9" w14:textId="4BDFB27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r w:rsidR="001B5271">
              <w:rPr>
                <w:rFonts w:ascii="Batang" w:eastAsia="Batang" w:hAnsi="Batang" w:cs="Batang"/>
                <w:color w:val="000000" w:themeColor="text1"/>
                <w:sz w:val="20"/>
                <w:szCs w:val="20"/>
                <w:lang w:eastAsia="ko-KR"/>
              </w:rPr>
              <w:t>5</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2EE5279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vAlign w:val="center"/>
          </w:tcPr>
          <w:p w14:paraId="4250E4E6" w14:textId="71B7A0D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vAlign w:val="center"/>
          </w:tcPr>
          <w:p w14:paraId="346A1942" w14:textId="2694014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vAlign w:val="center"/>
          </w:tcPr>
          <w:p w14:paraId="6557BA50" w14:textId="349A0E5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719377E2" w14:textId="6033DA6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4.4</w:t>
            </w:r>
          </w:p>
        </w:tc>
        <w:tc>
          <w:tcPr>
            <w:tcW w:w="1177" w:type="dxa"/>
            <w:tcBorders>
              <w:left w:val="single" w:sz="36" w:space="0" w:color="auto"/>
              <w:right w:val="single" w:sz="36" w:space="0" w:color="auto"/>
            </w:tcBorders>
            <w:shd w:val="clear" w:color="auto" w:fill="8EAADB" w:themeFill="accent1" w:themeFillTint="99"/>
            <w:vAlign w:val="center"/>
          </w:tcPr>
          <w:p w14:paraId="416B1DBA" w14:textId="098889C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8.4</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26CA520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4E5C9C8E" w14:textId="38D484F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51EEC46F" w14:textId="64CA57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vAlign w:val="center"/>
          </w:tcPr>
          <w:p w14:paraId="4FF2AFCA" w14:textId="21046B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vAlign w:val="center"/>
          </w:tcPr>
          <w:p w14:paraId="2C4EAD94" w14:textId="0087367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r w:rsidR="001B5271">
              <w:rPr>
                <w:rFonts w:ascii="Batang" w:eastAsia="Batang" w:hAnsi="Batang" w:cs="Batang"/>
                <w:color w:val="000000" w:themeColor="text1"/>
                <w:sz w:val="20"/>
                <w:szCs w:val="20"/>
                <w:lang w:eastAsia="ko-KR"/>
              </w:rPr>
              <w:t>9</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12.9</w:t>
            </w:r>
          </w:p>
        </w:tc>
      </w:tr>
    </w:tbl>
    <w:p w14:paraId="0ABCFE47" w14:textId="52E9BF0C" w:rsidR="00050AD9" w:rsidRPr="00D8364B" w:rsidRDefault="00050AD9" w:rsidP="00D8364B">
      <w:pPr>
        <w:spacing w:line="360" w:lineRule="auto"/>
        <w:rPr>
          <w:rFonts w:ascii="Times" w:hAnsi="Times"/>
          <w:b/>
          <w:bCs/>
          <w:sz w:val="28"/>
          <w:szCs w:val="28"/>
        </w:rPr>
      </w:pPr>
      <w:r w:rsidRPr="00D8364B">
        <w:rPr>
          <w:rFonts w:ascii="Times" w:hAnsi="Times"/>
          <w:b/>
          <w:bCs/>
          <w:sz w:val="28"/>
          <w:szCs w:val="28"/>
        </w:rPr>
        <w:t>Summary statistics</w:t>
      </w:r>
    </w:p>
    <w:p w14:paraId="0F73AB6F" w14:textId="7374287A" w:rsidR="00050AD9" w:rsidRPr="00D8364B" w:rsidRDefault="00D8364B" w:rsidP="00D8364B">
      <w:pPr>
        <w:spacing w:line="360" w:lineRule="auto"/>
        <w:rPr>
          <w:rFonts w:ascii="Times" w:hAnsi="Times"/>
          <w:b/>
          <w:bCs/>
          <w:sz w:val="28"/>
          <w:szCs w:val="28"/>
        </w:rPr>
      </w:pPr>
      <w:r w:rsidRPr="00D8364B">
        <w:rPr>
          <w:rFonts w:ascii="Times" w:hAnsi="Times"/>
          <w:b/>
          <w:bCs/>
          <w:sz w:val="28"/>
          <w:szCs w:val="28"/>
        </w:rPr>
        <w:t>Mortality</w:t>
      </w:r>
      <w:r>
        <w:rPr>
          <w:rFonts w:ascii="Times" w:hAnsi="Times"/>
          <w:b/>
          <w:bCs/>
          <w:sz w:val="28"/>
          <w:szCs w:val="28"/>
        </w:rPr>
        <w:t xml:space="preserve"> Rate of Opioid Overdose </w:t>
      </w:r>
    </w:p>
    <w:p w14:paraId="4286A092" w14:textId="28792C59" w:rsidR="008611E9" w:rsidRPr="00D8364B" w:rsidRDefault="00050AD9" w:rsidP="00D8364B">
      <w:pPr>
        <w:spacing w:line="360" w:lineRule="auto"/>
        <w:jc w:val="both"/>
        <w:rPr>
          <w:rFonts w:ascii="Times" w:hAnsi="Times"/>
        </w:rPr>
      </w:pPr>
      <w:r w:rsidRPr="00D8364B">
        <w:rPr>
          <w:rFonts w:ascii="Times" w:hAnsi="Times"/>
        </w:rPr>
        <w:lastRenderedPageBreak/>
        <w:t>The mortality dataset includes 362 counties. The average number of fatalities among the counties is 52.695, with a standard deviation of 78.9. At the county level, Ellis County in Texas and 25 other states have the lowest mean number of deaths which is 10, while Maricopa County has the highest mean number of deaths of 571. At the state level, the maximum number of deaths is 748 and 10 is the lowest number of deaths across the years. Normalized to the population level, Dickenson County in VA has the highest death rate of 0.065% and Hidalgo County in Texas has the lowest death rate of 0.0023%. The graph below compares the general trend in death rates between the control states with no policy and the policy-implemented states. Overall, we may observe a substantial rise in deathrates for states without policies compared to states with policies.</w:t>
      </w:r>
    </w:p>
    <w:p w14:paraId="41836C45" w14:textId="77777777" w:rsidR="00050AD9" w:rsidRDefault="00050AD9" w:rsidP="00050AD9">
      <w:r w:rsidRPr="00007B19">
        <w:rPr>
          <w:noProof/>
        </w:rPr>
        <w:drawing>
          <wp:inline distT="0" distB="0" distL="0" distR="0" wp14:anchorId="1B56BB12" wp14:editId="695359CF">
            <wp:extent cx="40894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9400" cy="3048000"/>
                    </a:xfrm>
                    <a:prstGeom prst="rect">
                      <a:avLst/>
                    </a:prstGeom>
                  </pic:spPr>
                </pic:pic>
              </a:graphicData>
            </a:graphic>
          </wp:inline>
        </w:drawing>
      </w:r>
    </w:p>
    <w:p w14:paraId="4BA71132" w14:textId="393D34B3" w:rsidR="00D8364B" w:rsidRPr="00D8364B" w:rsidRDefault="00D8364B" w:rsidP="00D8364B">
      <w:pPr>
        <w:jc w:val="center"/>
        <w:rPr>
          <w:rFonts w:ascii="Times" w:hAnsi="Times"/>
          <w:i/>
          <w:iCs/>
        </w:rPr>
      </w:pPr>
      <w:r w:rsidRPr="00D8364B">
        <w:rPr>
          <w:rFonts w:ascii="Times" w:hAnsi="Times"/>
          <w:i/>
          <w:iCs/>
        </w:rPr>
        <w:t>Fig</w:t>
      </w:r>
      <w:r>
        <w:rPr>
          <w:rFonts w:ascii="Times" w:hAnsi="Times"/>
          <w:i/>
          <w:iCs/>
        </w:rPr>
        <w:t>ure</w:t>
      </w:r>
      <w:r w:rsidRPr="00D8364B">
        <w:rPr>
          <w:rFonts w:ascii="Times" w:hAnsi="Times"/>
          <w:i/>
          <w:iCs/>
        </w:rPr>
        <w:t xml:space="preserve"> </w:t>
      </w:r>
      <w:r>
        <w:rPr>
          <w:rFonts w:ascii="Times" w:hAnsi="Times"/>
          <w:i/>
          <w:iCs/>
        </w:rPr>
        <w:t>A</w:t>
      </w:r>
      <w:r w:rsidRPr="00D8364B">
        <w:rPr>
          <w:rFonts w:ascii="Times" w:hAnsi="Times"/>
          <w:i/>
          <w:iCs/>
        </w:rPr>
        <w:t>: Shows a general trend of deathrates between intervention and control states</w:t>
      </w:r>
    </w:p>
    <w:p w14:paraId="69DD77D8" w14:textId="53647A9C" w:rsidR="00050AD9" w:rsidRDefault="00050AD9" w:rsidP="00050AD9"/>
    <w:p w14:paraId="50C08C83" w14:textId="77777777" w:rsidR="00671B54" w:rsidRDefault="00671B54" w:rsidP="00050AD9"/>
    <w:p w14:paraId="704B7F12" w14:textId="6E0B0378" w:rsidR="00050AD9" w:rsidRDefault="002177CC" w:rsidP="00050AD9">
      <w:r>
        <w:rPr>
          <w:rFonts w:ascii="Times" w:hAnsi="Times"/>
          <w:b/>
          <w:bCs/>
          <w:sz w:val="28"/>
          <w:szCs w:val="28"/>
        </w:rPr>
        <w:t>Rate of Opioid Shipment</w:t>
      </w:r>
    </w:p>
    <w:p w14:paraId="18FD216A" w14:textId="77777777" w:rsidR="008611E9" w:rsidRDefault="008611E9" w:rsidP="004C3135">
      <w:pPr>
        <w:jc w:val="both"/>
        <w:rPr>
          <w:rFonts w:ascii="Times" w:hAnsi="Times"/>
          <w:b/>
          <w:bCs/>
          <w:color w:val="000000" w:themeColor="text1"/>
          <w:sz w:val="32"/>
          <w:szCs w:val="32"/>
        </w:rPr>
      </w:pPr>
    </w:p>
    <w:p w14:paraId="65F58466" w14:textId="7E1ADB09" w:rsidR="004C3135" w:rsidRPr="001F1348" w:rsidRDefault="004C3135" w:rsidP="004C3135">
      <w:pPr>
        <w:jc w:val="both"/>
        <w:rPr>
          <w:rFonts w:ascii="Times" w:hAnsi="Times"/>
          <w:b/>
          <w:bCs/>
          <w:color w:val="000000" w:themeColor="text1"/>
          <w:sz w:val="32"/>
          <w:szCs w:val="32"/>
        </w:rPr>
      </w:pPr>
      <w:r>
        <w:rPr>
          <w:rFonts w:ascii="Times" w:hAnsi="Times"/>
          <w:b/>
          <w:bCs/>
          <w:color w:val="000000" w:themeColor="text1"/>
          <w:sz w:val="32"/>
          <w:szCs w:val="32"/>
        </w:rPr>
        <w:t>A</w:t>
      </w:r>
      <w:r w:rsidRPr="001F1348">
        <w:rPr>
          <w:rFonts w:ascii="Times" w:hAnsi="Times"/>
          <w:b/>
          <w:bCs/>
          <w:color w:val="000000" w:themeColor="text1"/>
          <w:sz w:val="32"/>
          <w:szCs w:val="32"/>
        </w:rPr>
        <w:t>nalysis</w:t>
      </w:r>
    </w:p>
    <w:p w14:paraId="16E533BE" w14:textId="77777777" w:rsidR="004C3135" w:rsidRPr="007F05C8" w:rsidRDefault="004C3135" w:rsidP="004C3135">
      <w:pPr>
        <w:jc w:val="both"/>
        <w:rPr>
          <w:rFonts w:ascii="Times" w:hAnsi="Times"/>
          <w:color w:val="000000" w:themeColor="text1"/>
        </w:rPr>
      </w:pPr>
    </w:p>
    <w:p w14:paraId="46C57B03" w14:textId="7263300D" w:rsidR="00D8364B" w:rsidRDefault="00506649"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and overdose deaths is lower in the states where regulations were implemented when compared against the same jurisdiction prior to implementation</w:t>
      </w:r>
      <w:r>
        <w:rPr>
          <w:rFonts w:ascii="Times" w:eastAsia="Times New Roman" w:hAnsi="Times" w:cs="Arial"/>
          <w:color w:val="000000" w:themeColor="text1"/>
        </w:rPr>
        <w:t>,</w:t>
      </w:r>
      <w:r w:rsidRPr="007F05C8">
        <w:rPr>
          <w:rFonts w:ascii="Times" w:eastAsia="Times New Roman" w:hAnsi="Times" w:cs="Arial"/>
          <w:color w:val="000000" w:themeColor="text1"/>
        </w:rPr>
        <w:t xml:space="preserve"> and against jurisdictions where no new policies were implemented. To analyze the validity of the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w:t>
      </w:r>
      <w:r>
        <w:rPr>
          <w:rFonts w:ascii="Times" w:eastAsia="Times New Roman" w:hAnsi="Times" w:cs="Arial"/>
          <w:color w:val="000000" w:themeColor="text1"/>
        </w:rPr>
        <w:lastRenderedPageBreak/>
        <w:t>that the trend should be substantially less for the treated states when compared to the control groups</w:t>
      </w:r>
      <w:r w:rsidRPr="007F05C8">
        <w:rPr>
          <w:rFonts w:ascii="Times" w:eastAsia="Times New Roman" w:hAnsi="Times" w:cs="Arial"/>
          <w:color w:val="000000" w:themeColor="text1"/>
        </w:rPr>
        <w:t xml:space="preserve">. Otherwise, the hypothesis will be rejected if </w:t>
      </w:r>
      <w:r>
        <w:rPr>
          <w:rFonts w:ascii="Times" w:eastAsia="Times New Roman" w:hAnsi="Times" w:cs="Arial"/>
          <w:color w:val="000000" w:themeColor="text1"/>
        </w:rPr>
        <w:t xml:space="preserve">either quantity’s trend </w:t>
      </w:r>
      <w:r w:rsidRPr="007F05C8">
        <w:rPr>
          <w:rFonts w:ascii="Times" w:eastAsia="Times New Roman" w:hAnsi="Times" w:cs="Arial"/>
          <w:color w:val="000000" w:themeColor="text1"/>
        </w:rPr>
        <w:t>continue</w:t>
      </w:r>
      <w:r>
        <w:rPr>
          <w:rFonts w:ascii="Times" w:eastAsia="Times New Roman" w:hAnsi="Times" w:cs="Arial"/>
          <w:color w:val="000000" w:themeColor="text1"/>
        </w:rPr>
        <w:t>s</w:t>
      </w:r>
      <w:r w:rsidRPr="007F05C8">
        <w:rPr>
          <w:rFonts w:ascii="Times" w:eastAsia="Times New Roman" w:hAnsi="Times" w:cs="Arial"/>
          <w:color w:val="000000" w:themeColor="text1"/>
        </w:rPr>
        <w:t xml:space="preserve"> </w:t>
      </w:r>
      <w:r>
        <w:rPr>
          <w:rFonts w:ascii="Times" w:eastAsia="Times New Roman" w:hAnsi="Times" w:cs="Arial"/>
          <w:color w:val="000000" w:themeColor="text1"/>
        </w:rPr>
        <w:t>at a similar rate, or at a rate similar to the control group</w:t>
      </w:r>
      <w:r w:rsidRPr="007F05C8">
        <w:rPr>
          <w:rFonts w:ascii="Times" w:eastAsia="Times New Roman" w:hAnsi="Times" w:cs="Arial"/>
          <w:color w:val="000000" w:themeColor="text1"/>
        </w:rPr>
        <w:t>.</w:t>
      </w:r>
    </w:p>
    <w:p w14:paraId="623749E6" w14:textId="77777777" w:rsidR="00506649" w:rsidRDefault="00506649" w:rsidP="004C3135">
      <w:pPr>
        <w:shd w:val="clear" w:color="auto" w:fill="FFFFFF"/>
        <w:spacing w:line="360" w:lineRule="auto"/>
        <w:jc w:val="both"/>
        <w:rPr>
          <w:rFonts w:ascii="Times" w:eastAsia="Times New Roman" w:hAnsi="Times" w:cs="Arial"/>
          <w:color w:val="000000" w:themeColor="text1"/>
        </w:rPr>
      </w:pPr>
    </w:p>
    <w:p w14:paraId="530214C0" w14:textId="77777777" w:rsidR="00D8364B" w:rsidRDefault="004C3135" w:rsidP="00D8364B">
      <w:pPr>
        <w:shd w:val="clear" w:color="auto" w:fill="FFFFFF"/>
        <w:spacing w:line="360"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Effect of regulation policy on opioid shipments</w:t>
      </w:r>
      <w:r w:rsidR="00B039DB" w:rsidRPr="00D8364B">
        <w:rPr>
          <w:rFonts w:ascii="Times" w:eastAsia="Times New Roman" w:hAnsi="Times" w:cs="Arial"/>
          <w:b/>
          <w:bCs/>
          <w:color w:val="000000" w:themeColor="text1"/>
          <w:sz w:val="28"/>
          <w:szCs w:val="28"/>
        </w:rPr>
        <w:t xml:space="preserve"> </w:t>
      </w:r>
    </w:p>
    <w:p w14:paraId="539D6A65" w14:textId="11E2FE44" w:rsidR="008611E9" w:rsidRPr="00D8364B" w:rsidRDefault="00B039DB" w:rsidP="00D8364B">
      <w:pPr>
        <w:shd w:val="clear" w:color="auto" w:fill="FFFFFF"/>
        <w:spacing w:line="360"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Florida</w:t>
      </w:r>
    </w:p>
    <w:p w14:paraId="7F812757" w14:textId="7777777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Florida.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decreasing at a rate of approximately 100 per year.  This substantial change in trend supports the hypothesis that the policy reduced the amount of opioids shipped to Florida.</w:t>
      </w:r>
    </w:p>
    <w:p w14:paraId="76B40FD6" w14:textId="77777777" w:rsidR="00506649" w:rsidRDefault="00506649" w:rsidP="00B466E8">
      <w:pPr>
        <w:shd w:val="clear" w:color="auto" w:fill="FFFFFF"/>
        <w:spacing w:line="360" w:lineRule="auto"/>
        <w:jc w:val="both"/>
        <w:rPr>
          <w:rFonts w:ascii="Times" w:eastAsia="Times New Roman" w:hAnsi="Times" w:cs="Arial"/>
          <w:i/>
          <w:iCs/>
          <w:color w:val="000000" w:themeColor="text1"/>
        </w:rPr>
      </w:pPr>
    </w:p>
    <w:p w14:paraId="64E275B8" w14:textId="77777777" w:rsidR="00671B54" w:rsidRDefault="00671B54" w:rsidP="00671B54">
      <w:pPr>
        <w:shd w:val="clear" w:color="auto" w:fill="FFFFFF"/>
        <w:spacing w:line="360" w:lineRule="auto"/>
        <w:jc w:val="both"/>
        <w:rPr>
          <w:rFonts w:ascii="Times" w:eastAsia="Times New Roman" w:hAnsi="Times" w:cs="Arial"/>
          <w:i/>
          <w:iCs/>
          <w:color w:val="000000" w:themeColor="text1"/>
        </w:rPr>
      </w:pPr>
      <w:r>
        <w:rPr>
          <w:rFonts w:ascii="Times" w:eastAsia="Times New Roman" w:hAnsi="Times" w:cs="Arial"/>
          <w:noProof/>
          <w:color w:val="000000" w:themeColor="text1"/>
        </w:rPr>
        <w:drawing>
          <wp:inline distT="0" distB="0" distL="0" distR="0" wp14:anchorId="61224DE6" wp14:editId="182C3CC7">
            <wp:extent cx="47339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733925" cy="3467100"/>
                    </a:xfrm>
                    <a:prstGeom prst="rect">
                      <a:avLst/>
                    </a:prstGeom>
                  </pic:spPr>
                </pic:pic>
              </a:graphicData>
            </a:graphic>
          </wp:inline>
        </w:drawing>
      </w:r>
    </w:p>
    <w:p w14:paraId="13821B87" w14:textId="150466A5" w:rsidR="00671B54" w:rsidRPr="00840EDF" w:rsidRDefault="00671B54" w:rsidP="00671B54">
      <w:pPr>
        <w:shd w:val="clear" w:color="auto" w:fill="FFFFFF"/>
        <w:spacing w:line="360" w:lineRule="auto"/>
        <w:jc w:val="both"/>
        <w:rPr>
          <w:rFonts w:ascii="Times" w:eastAsia="Times New Roman" w:hAnsi="Times" w:cs="Arial"/>
          <w:i/>
          <w:iCs/>
          <w:color w:val="000000" w:themeColor="text1"/>
        </w:rPr>
      </w:pPr>
      <w:r w:rsidRPr="00671B54">
        <w:rPr>
          <w:rFonts w:ascii="Times" w:eastAsia="Times New Roman" w:hAnsi="Times" w:cs="Arial"/>
          <w:i/>
          <w:iCs/>
          <w:color w:val="000000" w:themeColor="text1"/>
        </w:rPr>
        <w:t xml:space="preserve"> </w:t>
      </w:r>
      <w:r w:rsidRPr="00840EDF">
        <w:rPr>
          <w:rFonts w:ascii="Times" w:eastAsia="Times New Roman" w:hAnsi="Times" w:cs="Arial"/>
          <w:i/>
          <w:iCs/>
          <w:color w:val="000000" w:themeColor="text1"/>
        </w:rPr>
        <w:t xml:space="preserve">Fig </w:t>
      </w:r>
      <w:r>
        <w:rPr>
          <w:rFonts w:ascii="Times" w:eastAsia="Times New Roman" w:hAnsi="Times" w:cs="Arial"/>
          <w:i/>
          <w:iCs/>
          <w:color w:val="000000" w:themeColor="text1"/>
        </w:rPr>
        <w:t>1</w:t>
      </w:r>
      <w:r w:rsidRPr="00840EDF">
        <w:rPr>
          <w:rFonts w:ascii="Times" w:eastAsia="Times New Roman" w:hAnsi="Times" w:cs="Arial"/>
          <w:i/>
          <w:iCs/>
          <w:color w:val="000000" w:themeColor="text1"/>
        </w:rPr>
        <w:t xml:space="preserve">: Opioids per capita for the intervention state Florida </w:t>
      </w:r>
    </w:p>
    <w:p w14:paraId="4800E118" w14:textId="7053A16B" w:rsidR="00671B54" w:rsidRDefault="00671B54" w:rsidP="00D8364B">
      <w:pPr>
        <w:shd w:val="clear" w:color="auto" w:fill="FFFFFF"/>
        <w:spacing w:line="360" w:lineRule="auto"/>
        <w:jc w:val="both"/>
        <w:rPr>
          <w:rFonts w:ascii="Times" w:eastAsia="Times New Roman" w:hAnsi="Times" w:cs="Arial"/>
          <w:color w:val="000000" w:themeColor="text1"/>
        </w:rPr>
      </w:pPr>
    </w:p>
    <w:p w14:paraId="5A46937C" w14:textId="77777777" w:rsidR="00671B54" w:rsidRDefault="00671B54" w:rsidP="00671B5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following plot below is the plot comparing the trend of the average annual per capita opioid shipments for Florida against Florida’s control states, both before and after policy implementation.  </w:t>
      </w:r>
      <w:r>
        <w:rPr>
          <w:rFonts w:ascii="Times" w:eastAsia="Times New Roman" w:hAnsi="Times" w:cs="Arial"/>
          <w:color w:val="000000" w:themeColor="text1"/>
        </w:rPr>
        <w:lastRenderedPageBreak/>
        <w:t>When comparing these two trends, Florida’s trend after the policy was implemented was both substantially less than their control states’ and had a much larger reduction in trend than their control states when compared to prior to the policy implementation.  This substantial reduction in trend when compared to the control states also supports the hypothesis that the policy reduced the quantity of opioids shipped to Florida.  Therefore, with respect to reduction of opioids distributed to Florida, this suggests that Florida’s policy has been effective.</w:t>
      </w:r>
    </w:p>
    <w:p w14:paraId="65C539C8" w14:textId="77777777" w:rsidR="00671B54" w:rsidRDefault="00671B54" w:rsidP="00D8364B">
      <w:pPr>
        <w:shd w:val="clear" w:color="auto" w:fill="FFFFFF"/>
        <w:spacing w:line="360" w:lineRule="auto"/>
        <w:jc w:val="both"/>
        <w:rPr>
          <w:rFonts w:ascii="Times" w:eastAsia="Times New Roman" w:hAnsi="Times" w:cs="Arial"/>
          <w:color w:val="000000" w:themeColor="text1"/>
        </w:rPr>
      </w:pPr>
    </w:p>
    <w:p w14:paraId="018E6D49" w14:textId="2508EE2D" w:rsidR="00671B54" w:rsidRDefault="00671B54" w:rsidP="00B466E8">
      <w:pPr>
        <w:shd w:val="clear" w:color="auto" w:fill="FFFFFF"/>
        <w:spacing w:line="360" w:lineRule="auto"/>
        <w:jc w:val="both"/>
        <w:rPr>
          <w:rFonts w:ascii="Times" w:eastAsia="Times New Roman" w:hAnsi="Times" w:cs="Arial"/>
          <w:i/>
          <w:iCs/>
          <w:color w:val="000000" w:themeColor="text1"/>
        </w:rPr>
      </w:pPr>
      <w:r>
        <w:rPr>
          <w:rFonts w:ascii="Times" w:eastAsia="Times New Roman" w:hAnsi="Times" w:cs="Arial"/>
          <w:i/>
          <w:iCs/>
          <w:noProof/>
          <w:color w:val="000000" w:themeColor="text1"/>
        </w:rPr>
        <w:drawing>
          <wp:inline distT="0" distB="0" distL="0" distR="0" wp14:anchorId="62A6056B" wp14:editId="6165DA77">
            <wp:extent cx="5114925" cy="3467100"/>
            <wp:effectExtent l="0" t="0" r="952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14925" cy="3467100"/>
                    </a:xfrm>
                    <a:prstGeom prst="rect">
                      <a:avLst/>
                    </a:prstGeom>
                  </pic:spPr>
                </pic:pic>
              </a:graphicData>
            </a:graphic>
          </wp:inline>
        </w:drawing>
      </w:r>
    </w:p>
    <w:p w14:paraId="3ECB5A5C" w14:textId="2FB30332" w:rsidR="008611E9" w:rsidRPr="00840EDF" w:rsidRDefault="008611E9" w:rsidP="00B466E8">
      <w:pPr>
        <w:shd w:val="clear" w:color="auto" w:fill="FFFFFF"/>
        <w:spacing w:line="360" w:lineRule="auto"/>
        <w:jc w:val="both"/>
        <w:rPr>
          <w:rFonts w:ascii="Times" w:eastAsia="Times New Roman" w:hAnsi="Times" w:cs="Arial"/>
          <w:i/>
          <w:iCs/>
          <w:color w:val="000000" w:themeColor="text1"/>
        </w:rPr>
      </w:pPr>
      <w:r w:rsidRPr="00840EDF">
        <w:rPr>
          <w:rFonts w:ascii="Times" w:eastAsia="Times New Roman" w:hAnsi="Times" w:cs="Arial"/>
          <w:i/>
          <w:iCs/>
          <w:color w:val="000000" w:themeColor="text1"/>
        </w:rPr>
        <w:t>Fig</w:t>
      </w:r>
      <w:r w:rsidR="00D8364B">
        <w:rPr>
          <w:rFonts w:ascii="Times" w:eastAsia="Times New Roman" w:hAnsi="Times" w:cs="Arial"/>
          <w:i/>
          <w:iCs/>
          <w:color w:val="000000" w:themeColor="text1"/>
        </w:rPr>
        <w:t>2</w:t>
      </w:r>
      <w:r w:rsidRPr="00840EDF">
        <w:rPr>
          <w:rFonts w:ascii="Times" w:eastAsia="Times New Roman" w:hAnsi="Times" w:cs="Arial"/>
          <w:i/>
          <w:iCs/>
          <w:color w:val="000000" w:themeColor="text1"/>
        </w:rPr>
        <w:t xml:space="preserve">. </w:t>
      </w:r>
      <w:r w:rsidR="00840EDF" w:rsidRPr="00840EDF">
        <w:rPr>
          <w:rFonts w:ascii="Times" w:eastAsia="Times New Roman" w:hAnsi="Times" w:cs="Arial"/>
          <w:i/>
          <w:iCs/>
          <w:color w:val="000000" w:themeColor="text1"/>
        </w:rPr>
        <w:t>Average opioids per capita for Florida and its control states</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CD6E8E0" w14:textId="02B7DEA1" w:rsidR="0060566E"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62E47C96" w14:textId="728C715F" w:rsidR="00506649" w:rsidRDefault="00506649" w:rsidP="004C3135">
      <w:pPr>
        <w:shd w:val="clear" w:color="auto" w:fill="FFFFFF"/>
        <w:jc w:val="both"/>
        <w:rPr>
          <w:rFonts w:ascii="Times" w:eastAsia="Times New Roman" w:hAnsi="Times" w:cs="Arial"/>
          <w:b/>
          <w:bCs/>
          <w:color w:val="000000" w:themeColor="text1"/>
          <w:sz w:val="28"/>
          <w:szCs w:val="28"/>
        </w:rPr>
      </w:pPr>
    </w:p>
    <w:p w14:paraId="6DB80273" w14:textId="3F436C1E"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efore the policy went into effect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prior to policy implementation and after policy implementation, this reduction appears moderate, and not substantial.  This small reduction in trend warrants further </w:t>
      </w:r>
      <w:r>
        <w:rPr>
          <w:rFonts w:ascii="Times" w:eastAsia="Times New Roman" w:hAnsi="Times" w:cs="Arial"/>
          <w:color w:val="000000" w:themeColor="text1"/>
        </w:rPr>
        <w:lastRenderedPageBreak/>
        <w:t>analysis prior to supports the hypothesis that the policy reduced the amount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287DA8B8" w:rsidR="0060566E" w:rsidRDefault="00671B54" w:rsidP="004C3135">
      <w:pPr>
        <w:shd w:val="clear" w:color="auto" w:fill="FFFFFF"/>
        <w:jc w:val="both"/>
        <w:rPr>
          <w:rFonts w:ascii="Times" w:eastAsia="Times New Roman" w:hAnsi="Times" w:cs="Arial"/>
          <w:b/>
          <w:bCs/>
          <w:color w:val="FF0000"/>
          <w:sz w:val="28"/>
          <w:szCs w:val="28"/>
        </w:rPr>
      </w:pPr>
      <w:r>
        <w:rPr>
          <w:rFonts w:ascii="Times" w:eastAsia="Times New Roman" w:hAnsi="Times" w:cs="Arial"/>
          <w:b/>
          <w:bCs/>
          <w:noProof/>
          <w:color w:val="FF0000"/>
          <w:sz w:val="28"/>
          <w:szCs w:val="28"/>
        </w:rPr>
        <w:drawing>
          <wp:inline distT="0" distB="0" distL="0" distR="0" wp14:anchorId="77BE6C23" wp14:editId="16C6B3AF">
            <wp:extent cx="4772025" cy="3467100"/>
            <wp:effectExtent l="0" t="0" r="952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2025" cy="3467100"/>
                    </a:xfrm>
                    <a:prstGeom prst="rect">
                      <a:avLst/>
                    </a:prstGeom>
                  </pic:spPr>
                </pic:pic>
              </a:graphicData>
            </a:graphic>
          </wp:inline>
        </w:drawing>
      </w:r>
    </w:p>
    <w:p w14:paraId="0AAB02B8" w14:textId="77777777" w:rsidR="004C3135" w:rsidRPr="00B238AE" w:rsidRDefault="004C3135" w:rsidP="004C3135">
      <w:pPr>
        <w:shd w:val="clear" w:color="auto" w:fill="FFFFFF"/>
        <w:jc w:val="both"/>
        <w:rPr>
          <w:rFonts w:ascii="Times" w:eastAsia="Times New Roman" w:hAnsi="Times" w:cs="Arial"/>
          <w:b/>
          <w:bCs/>
          <w:color w:val="FF0000"/>
          <w:sz w:val="28"/>
          <w:szCs w:val="28"/>
        </w:rPr>
      </w:pPr>
    </w:p>
    <w:p w14:paraId="123E57AA" w14:textId="746DC0BB"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 following plot below is the plot comparing the trend of the average annual per capita opioid shipments for Washington against Washington’s control states, both before and after policy implementation.  When comparing these two trends, Washington’s trend after the policy was implemented was both substantially less negative than their control states’ and had a much smaller reduction in trend than their control states when comparing against prior to the policy implementation.  This limited reduction in trend when compared to the control states does not support the hypothesis that the policy reduced the quantity of opioids shipped to Washington.  Therefore, with respect to reduction of opioids distributed to Washington, this suggests that Washington’s policy has been 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6416BF87" w:rsidR="004C3135" w:rsidRDefault="00671B54" w:rsidP="004C3135">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inline distT="0" distB="0" distL="0" distR="0" wp14:anchorId="57BE7987" wp14:editId="14229E54">
            <wp:extent cx="5143500" cy="346710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43500" cy="3467100"/>
                    </a:xfrm>
                    <a:prstGeom prst="rect">
                      <a:avLst/>
                    </a:prstGeom>
                  </pic:spPr>
                </pic:pic>
              </a:graphicData>
            </a:graphic>
          </wp:inline>
        </w:drawing>
      </w:r>
    </w:p>
    <w:p w14:paraId="60139FA0"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7DCE9AF5"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06B3CB2"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62F1AF5"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7A499D5A"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5F39B957"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33D9A231"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EBD40F6"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073408CB"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A2D269A"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5AE0C8EE"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35EE1237"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973699F"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EFF7E5C"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753EEA8" w14:textId="77777777" w:rsidR="0005203D" w:rsidRDefault="0005203D" w:rsidP="004C3135">
      <w:pPr>
        <w:shd w:val="clear" w:color="auto" w:fill="FFFFFF"/>
        <w:jc w:val="both"/>
        <w:rPr>
          <w:rFonts w:ascii="Times" w:eastAsia="Times New Roman" w:hAnsi="Times" w:cs="Arial"/>
          <w:b/>
          <w:bCs/>
          <w:color w:val="000000" w:themeColor="text1"/>
          <w:sz w:val="28"/>
          <w:szCs w:val="28"/>
        </w:rPr>
      </w:pPr>
    </w:p>
    <w:p w14:paraId="01374579" w14:textId="77777777" w:rsidR="0005203D" w:rsidRDefault="0005203D" w:rsidP="004C3135">
      <w:pPr>
        <w:shd w:val="clear" w:color="auto" w:fill="FFFFFF"/>
        <w:jc w:val="both"/>
        <w:rPr>
          <w:rFonts w:ascii="Times" w:eastAsia="Times New Roman" w:hAnsi="Times" w:cs="Arial"/>
          <w:b/>
          <w:bCs/>
          <w:color w:val="000000" w:themeColor="text1"/>
          <w:sz w:val="28"/>
          <w:szCs w:val="28"/>
        </w:rPr>
      </w:pPr>
    </w:p>
    <w:p w14:paraId="4342A4A8" w14:textId="45517F99" w:rsidR="0005203D" w:rsidRDefault="0005203D" w:rsidP="004C3135">
      <w:pPr>
        <w:shd w:val="clear" w:color="auto" w:fill="FFFFFF"/>
        <w:jc w:val="both"/>
        <w:rPr>
          <w:rFonts w:ascii="Times" w:eastAsia="Times New Roman" w:hAnsi="Times" w:cs="Arial"/>
          <w:b/>
          <w:bCs/>
          <w:color w:val="000000" w:themeColor="text1"/>
          <w:sz w:val="28"/>
          <w:szCs w:val="28"/>
        </w:rPr>
      </w:pPr>
    </w:p>
    <w:p w14:paraId="6298EE3E" w14:textId="1FF89C50" w:rsidR="002177CC" w:rsidRDefault="002177CC" w:rsidP="004C3135">
      <w:pPr>
        <w:shd w:val="clear" w:color="auto" w:fill="FFFFFF"/>
        <w:jc w:val="both"/>
        <w:rPr>
          <w:rFonts w:ascii="Times" w:eastAsia="Times New Roman" w:hAnsi="Times" w:cs="Arial"/>
          <w:b/>
          <w:bCs/>
          <w:color w:val="000000" w:themeColor="text1"/>
          <w:sz w:val="28"/>
          <w:szCs w:val="28"/>
        </w:rPr>
      </w:pPr>
    </w:p>
    <w:p w14:paraId="1F917019" w14:textId="29862A0D" w:rsidR="002177CC" w:rsidRDefault="002177CC" w:rsidP="004C3135">
      <w:pPr>
        <w:shd w:val="clear" w:color="auto" w:fill="FFFFFF"/>
        <w:jc w:val="both"/>
        <w:rPr>
          <w:rFonts w:ascii="Times" w:eastAsia="Times New Roman" w:hAnsi="Times" w:cs="Arial"/>
          <w:b/>
          <w:bCs/>
          <w:color w:val="000000" w:themeColor="text1"/>
          <w:sz w:val="28"/>
          <w:szCs w:val="28"/>
        </w:rPr>
      </w:pPr>
    </w:p>
    <w:p w14:paraId="1B080CB1" w14:textId="1EDB9F38" w:rsidR="002177CC" w:rsidRDefault="002177CC" w:rsidP="004C3135">
      <w:pPr>
        <w:shd w:val="clear" w:color="auto" w:fill="FFFFFF"/>
        <w:jc w:val="both"/>
        <w:rPr>
          <w:rFonts w:ascii="Times" w:eastAsia="Times New Roman" w:hAnsi="Times" w:cs="Arial"/>
          <w:b/>
          <w:bCs/>
          <w:color w:val="000000" w:themeColor="text1"/>
          <w:sz w:val="28"/>
          <w:szCs w:val="28"/>
        </w:rPr>
      </w:pPr>
    </w:p>
    <w:p w14:paraId="273AB073" w14:textId="5A4464F2" w:rsidR="002177CC" w:rsidRDefault="002177CC" w:rsidP="004C3135">
      <w:pPr>
        <w:shd w:val="clear" w:color="auto" w:fill="FFFFFF"/>
        <w:jc w:val="both"/>
        <w:rPr>
          <w:rFonts w:ascii="Times" w:eastAsia="Times New Roman" w:hAnsi="Times" w:cs="Arial"/>
          <w:color w:val="000000" w:themeColor="text1"/>
        </w:rPr>
      </w:pPr>
    </w:p>
    <w:p w14:paraId="0CE17FD8" w14:textId="41F23279" w:rsidR="00C32784" w:rsidRDefault="00C32784" w:rsidP="004C3135">
      <w:pPr>
        <w:shd w:val="clear" w:color="auto" w:fill="FFFFFF"/>
        <w:jc w:val="both"/>
        <w:rPr>
          <w:rFonts w:ascii="Times" w:eastAsia="Times New Roman" w:hAnsi="Times" w:cs="Arial"/>
          <w:color w:val="000000" w:themeColor="text1"/>
        </w:rPr>
      </w:pPr>
    </w:p>
    <w:p w14:paraId="03871DDC" w14:textId="7191227D" w:rsidR="00C32784" w:rsidRDefault="00C32784" w:rsidP="004C3135">
      <w:pPr>
        <w:shd w:val="clear" w:color="auto" w:fill="FFFFFF"/>
        <w:jc w:val="both"/>
        <w:rPr>
          <w:rFonts w:ascii="Times" w:eastAsia="Times New Roman" w:hAnsi="Times" w:cs="Arial"/>
          <w:color w:val="000000" w:themeColor="text1"/>
        </w:rPr>
      </w:pPr>
    </w:p>
    <w:p w14:paraId="67E4FDA2" w14:textId="56E3232A" w:rsidR="00C32784" w:rsidRDefault="00C32784" w:rsidP="004C3135">
      <w:pPr>
        <w:shd w:val="clear" w:color="auto" w:fill="FFFFFF"/>
        <w:jc w:val="both"/>
        <w:rPr>
          <w:rFonts w:ascii="Times" w:eastAsia="Times New Roman" w:hAnsi="Times" w:cs="Arial"/>
          <w:color w:val="000000" w:themeColor="text1"/>
        </w:rPr>
      </w:pPr>
    </w:p>
    <w:p w14:paraId="62C8F100" w14:textId="51D278AC" w:rsidR="00C32784" w:rsidRDefault="00C32784" w:rsidP="004C3135">
      <w:pPr>
        <w:shd w:val="clear" w:color="auto" w:fill="FFFFFF"/>
        <w:jc w:val="both"/>
        <w:rPr>
          <w:rFonts w:ascii="Times" w:eastAsia="Times New Roman" w:hAnsi="Times" w:cs="Arial"/>
          <w:color w:val="000000" w:themeColor="text1"/>
        </w:rPr>
      </w:pPr>
    </w:p>
    <w:p w14:paraId="126C3900" w14:textId="5CD378A9" w:rsidR="00C32784" w:rsidRDefault="00C32784" w:rsidP="004C3135">
      <w:pPr>
        <w:shd w:val="clear" w:color="auto" w:fill="FFFFFF"/>
        <w:jc w:val="both"/>
        <w:rPr>
          <w:rFonts w:ascii="Times" w:eastAsia="Times New Roman" w:hAnsi="Times" w:cs="Arial"/>
          <w:color w:val="000000" w:themeColor="text1"/>
        </w:rPr>
      </w:pPr>
    </w:p>
    <w:p w14:paraId="37C8C60F" w14:textId="2C62FF0C" w:rsidR="00C32784" w:rsidRDefault="00C32784" w:rsidP="004C3135">
      <w:pPr>
        <w:shd w:val="clear" w:color="auto" w:fill="FFFFFF"/>
        <w:jc w:val="both"/>
        <w:rPr>
          <w:rFonts w:ascii="Times" w:eastAsia="Times New Roman" w:hAnsi="Times" w:cs="Arial"/>
          <w:color w:val="000000" w:themeColor="text1"/>
        </w:rPr>
      </w:pPr>
    </w:p>
    <w:p w14:paraId="6CDF41C7" w14:textId="4BEB6801" w:rsidR="00C32784" w:rsidRDefault="00C32784" w:rsidP="004C3135">
      <w:pPr>
        <w:shd w:val="clear" w:color="auto" w:fill="FFFFFF"/>
        <w:jc w:val="both"/>
        <w:rPr>
          <w:rFonts w:ascii="Times" w:eastAsia="Times New Roman" w:hAnsi="Times" w:cs="Arial"/>
          <w:color w:val="000000" w:themeColor="text1"/>
        </w:rPr>
      </w:pPr>
    </w:p>
    <w:p w14:paraId="2101B9D1" w14:textId="5A425D64" w:rsidR="00C32784" w:rsidRDefault="00C32784" w:rsidP="004C3135">
      <w:pPr>
        <w:shd w:val="clear" w:color="auto" w:fill="FFFFFF"/>
        <w:jc w:val="both"/>
        <w:rPr>
          <w:rFonts w:ascii="Times" w:eastAsia="Times New Roman" w:hAnsi="Times" w:cs="Arial"/>
          <w:color w:val="000000" w:themeColor="text1"/>
        </w:rPr>
      </w:pPr>
    </w:p>
    <w:p w14:paraId="3F05B6B2" w14:textId="593E9DAF" w:rsidR="00C32784" w:rsidRDefault="00C32784" w:rsidP="004C3135">
      <w:pPr>
        <w:shd w:val="clear" w:color="auto" w:fill="FFFFFF"/>
        <w:jc w:val="both"/>
        <w:rPr>
          <w:rFonts w:ascii="Times" w:eastAsia="Times New Roman" w:hAnsi="Times" w:cs="Arial"/>
          <w:color w:val="000000" w:themeColor="text1"/>
        </w:rPr>
      </w:pPr>
    </w:p>
    <w:p w14:paraId="5234264E" w14:textId="35AE4F1C" w:rsidR="00C32784" w:rsidRDefault="00C32784" w:rsidP="004C3135">
      <w:pPr>
        <w:shd w:val="clear" w:color="auto" w:fill="FFFFFF"/>
        <w:jc w:val="both"/>
        <w:rPr>
          <w:rFonts w:ascii="Times" w:eastAsia="Times New Roman" w:hAnsi="Times" w:cs="Arial"/>
          <w:color w:val="000000" w:themeColor="text1"/>
        </w:rPr>
      </w:pPr>
    </w:p>
    <w:p w14:paraId="7B1DB7AA" w14:textId="3E1BF470" w:rsidR="00C32784" w:rsidRDefault="00C32784" w:rsidP="004C3135">
      <w:pPr>
        <w:shd w:val="clear" w:color="auto" w:fill="FFFFFF"/>
        <w:jc w:val="both"/>
        <w:rPr>
          <w:rFonts w:ascii="Times" w:eastAsia="Times New Roman" w:hAnsi="Times" w:cs="Arial"/>
          <w:color w:val="000000" w:themeColor="text1"/>
        </w:rPr>
      </w:pPr>
    </w:p>
    <w:p w14:paraId="517D33F2" w14:textId="4B3E9ACA" w:rsidR="00C32784" w:rsidRDefault="00C32784" w:rsidP="004C3135">
      <w:pPr>
        <w:shd w:val="clear" w:color="auto" w:fill="FFFFFF"/>
        <w:jc w:val="both"/>
        <w:rPr>
          <w:rFonts w:ascii="Times" w:eastAsia="Times New Roman" w:hAnsi="Times" w:cs="Arial"/>
          <w:color w:val="000000" w:themeColor="text1"/>
        </w:rPr>
      </w:pPr>
    </w:p>
    <w:p w14:paraId="3BC502FC" w14:textId="101061F4" w:rsidR="00C32784" w:rsidRDefault="00C32784" w:rsidP="004C3135">
      <w:pPr>
        <w:shd w:val="clear" w:color="auto" w:fill="FFFFFF"/>
        <w:jc w:val="both"/>
        <w:rPr>
          <w:rFonts w:ascii="Times" w:eastAsia="Times New Roman" w:hAnsi="Times" w:cs="Arial"/>
          <w:color w:val="000000" w:themeColor="text1"/>
        </w:rPr>
      </w:pPr>
    </w:p>
    <w:p w14:paraId="5F8A9066" w14:textId="61D29330" w:rsidR="00C32784" w:rsidRDefault="00C32784" w:rsidP="004C3135">
      <w:pPr>
        <w:shd w:val="clear" w:color="auto" w:fill="FFFFFF"/>
        <w:jc w:val="both"/>
        <w:rPr>
          <w:rFonts w:ascii="Times" w:eastAsia="Times New Roman" w:hAnsi="Times" w:cs="Arial"/>
          <w:color w:val="000000" w:themeColor="text1"/>
        </w:rPr>
      </w:pPr>
    </w:p>
    <w:p w14:paraId="6665751F" w14:textId="77777777" w:rsidR="00C32784" w:rsidRDefault="00C32784" w:rsidP="004C3135">
      <w:pPr>
        <w:shd w:val="clear" w:color="auto" w:fill="FFFFFF"/>
        <w:jc w:val="both"/>
        <w:rPr>
          <w:rFonts w:ascii="Times" w:eastAsia="Times New Roman" w:hAnsi="Times" w:cs="Arial"/>
          <w:b/>
          <w:bCs/>
          <w:color w:val="000000" w:themeColor="text1"/>
          <w:sz w:val="28"/>
          <w:szCs w:val="28"/>
        </w:rPr>
      </w:pPr>
    </w:p>
    <w:p w14:paraId="5962FC0A" w14:textId="2E91A205" w:rsidR="002177CC" w:rsidRDefault="002177CC" w:rsidP="004C3135">
      <w:pPr>
        <w:shd w:val="clear" w:color="auto" w:fill="FFFFFF"/>
        <w:jc w:val="both"/>
        <w:rPr>
          <w:rFonts w:ascii="Times" w:eastAsia="Times New Roman" w:hAnsi="Times" w:cs="Arial"/>
          <w:b/>
          <w:bCs/>
          <w:color w:val="000000" w:themeColor="text1"/>
          <w:sz w:val="28"/>
          <w:szCs w:val="28"/>
        </w:rPr>
      </w:pPr>
    </w:p>
    <w:p w14:paraId="24016A84" w14:textId="6560157B" w:rsidR="00C32784" w:rsidRDefault="00C32784" w:rsidP="004C3135">
      <w:pPr>
        <w:shd w:val="clear" w:color="auto" w:fill="FFFFFF"/>
        <w:jc w:val="both"/>
        <w:rPr>
          <w:rFonts w:ascii="Times" w:eastAsia="Times New Roman" w:hAnsi="Times" w:cs="Arial"/>
          <w:b/>
          <w:bCs/>
          <w:color w:val="000000" w:themeColor="text1"/>
          <w:sz w:val="28"/>
          <w:szCs w:val="28"/>
        </w:rPr>
      </w:pPr>
    </w:p>
    <w:p w14:paraId="3224ED1F" w14:textId="4DA98525" w:rsidR="00C32784" w:rsidRDefault="00C32784" w:rsidP="004C3135">
      <w:pPr>
        <w:shd w:val="clear" w:color="auto" w:fill="FFFFFF"/>
        <w:jc w:val="both"/>
        <w:rPr>
          <w:rFonts w:ascii="Times" w:eastAsia="Times New Roman" w:hAnsi="Times" w:cs="Arial"/>
          <w:b/>
          <w:bCs/>
          <w:color w:val="000000" w:themeColor="text1"/>
          <w:sz w:val="28"/>
          <w:szCs w:val="28"/>
        </w:rPr>
      </w:pPr>
    </w:p>
    <w:p w14:paraId="7B65AFD5" w14:textId="071784F4" w:rsidR="00C32784" w:rsidRDefault="00C32784" w:rsidP="004C3135">
      <w:pPr>
        <w:shd w:val="clear" w:color="auto" w:fill="FFFFFF"/>
        <w:jc w:val="both"/>
        <w:rPr>
          <w:rFonts w:ascii="Times" w:eastAsia="Times New Roman" w:hAnsi="Times" w:cs="Arial"/>
          <w:b/>
          <w:bCs/>
          <w:color w:val="000000" w:themeColor="text1"/>
          <w:sz w:val="28"/>
          <w:szCs w:val="28"/>
        </w:rPr>
      </w:pPr>
    </w:p>
    <w:p w14:paraId="2C5440CF" w14:textId="37471992" w:rsidR="00C32784" w:rsidRDefault="00C32784" w:rsidP="004C3135">
      <w:pPr>
        <w:shd w:val="clear" w:color="auto" w:fill="FFFFFF"/>
        <w:jc w:val="both"/>
        <w:rPr>
          <w:rFonts w:ascii="Times" w:eastAsia="Times New Roman" w:hAnsi="Times" w:cs="Arial"/>
          <w:b/>
          <w:bCs/>
          <w:color w:val="000000" w:themeColor="text1"/>
          <w:sz w:val="28"/>
          <w:szCs w:val="28"/>
        </w:rPr>
      </w:pPr>
    </w:p>
    <w:p w14:paraId="3DACBDBF" w14:textId="26F81BB5" w:rsidR="00C32784" w:rsidRDefault="00C32784" w:rsidP="004C3135">
      <w:pPr>
        <w:shd w:val="clear" w:color="auto" w:fill="FFFFFF"/>
        <w:jc w:val="both"/>
        <w:rPr>
          <w:rFonts w:ascii="Times" w:eastAsia="Times New Roman" w:hAnsi="Times" w:cs="Arial"/>
          <w:b/>
          <w:bCs/>
          <w:color w:val="000000" w:themeColor="text1"/>
          <w:sz w:val="28"/>
          <w:szCs w:val="28"/>
        </w:rPr>
      </w:pPr>
    </w:p>
    <w:p w14:paraId="174BC7FF" w14:textId="77777777" w:rsidR="00C32784" w:rsidRDefault="00C32784" w:rsidP="004C3135">
      <w:pPr>
        <w:shd w:val="clear" w:color="auto" w:fill="FFFFFF"/>
        <w:jc w:val="both"/>
        <w:rPr>
          <w:rFonts w:ascii="Times" w:eastAsia="Times New Roman" w:hAnsi="Times" w:cs="Arial"/>
          <w:b/>
          <w:bCs/>
          <w:color w:val="000000" w:themeColor="text1"/>
          <w:sz w:val="28"/>
          <w:szCs w:val="28"/>
        </w:rPr>
      </w:pPr>
    </w:p>
    <w:p w14:paraId="6E7F5998" w14:textId="1A6123B0" w:rsidR="004C3135" w:rsidRDefault="004C3135" w:rsidP="00C32784">
      <w:pPr>
        <w:shd w:val="clear" w:color="auto" w:fill="FFFFFF"/>
        <w:spacing w:line="360" w:lineRule="auto"/>
        <w:jc w:val="both"/>
        <w:rPr>
          <w:rFonts w:ascii="Times" w:eastAsia="Times New Roman" w:hAnsi="Times" w:cs="Arial"/>
          <w:b/>
          <w:bCs/>
          <w:color w:val="000000" w:themeColor="text1"/>
          <w:sz w:val="28"/>
          <w:szCs w:val="28"/>
        </w:rPr>
      </w:pPr>
      <w:r w:rsidRPr="005B40ED">
        <w:rPr>
          <w:rFonts w:ascii="Times" w:eastAsia="Times New Roman" w:hAnsi="Times" w:cs="Arial"/>
          <w:b/>
          <w:bCs/>
          <w:color w:val="000000" w:themeColor="text1"/>
          <w:sz w:val="28"/>
          <w:szCs w:val="28"/>
        </w:rPr>
        <w:t>Effect of regulation policy on the mortality rate of opioid overdose</w:t>
      </w:r>
    </w:p>
    <w:p w14:paraId="296EA369" w14:textId="57EB861A" w:rsidR="00C32784" w:rsidRDefault="00C32784" w:rsidP="00C32784">
      <w:pPr>
        <w:shd w:val="clear" w:color="auto" w:fill="FFFFFF"/>
        <w:spacing w:line="360" w:lineRule="auto"/>
        <w:jc w:val="both"/>
        <w:rPr>
          <w:rFonts w:ascii="Times" w:eastAsia="Times New Roman" w:hAnsi="Times" w:cs="Arial"/>
          <w:color w:val="000000" w:themeColor="text1"/>
        </w:rPr>
      </w:pPr>
      <w:r w:rsidRPr="00B238AE">
        <w:rPr>
          <w:rFonts w:ascii="Times" w:eastAsia="Times New Roman" w:hAnsi="Times" w:cs="Arial"/>
          <w:b/>
          <w:bCs/>
          <w:color w:val="000000" w:themeColor="text1"/>
          <w:sz w:val="28"/>
          <w:szCs w:val="28"/>
        </w:rPr>
        <w:t>Florida</w:t>
      </w:r>
    </w:p>
    <w:p w14:paraId="355A214F" w14:textId="5F2FF8BF" w:rsidR="00C32784" w:rsidRPr="002D011C" w:rsidRDefault="00C32784" w:rsidP="00C3278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and its control states, before and after policy implementation in Florida.  B</w:t>
      </w:r>
      <w:r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Pr="0005203D">
        <w:rPr>
          <w:rFonts w:ascii="Times" w:eastAsia="Times New Roman" w:hAnsi="Times" w:cs="Arial"/>
          <w:color w:val="000000" w:themeColor="text1"/>
        </w:rPr>
        <w:t xml:space="preserve"> 2010, the </w:t>
      </w:r>
      <w:r>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Pr>
          <w:rFonts w:ascii="Times" w:eastAsia="Times New Roman" w:hAnsi="Times" w:cs="Arial"/>
          <w:color w:val="000000" w:themeColor="text1"/>
        </w:rPr>
        <w:t xml:space="preserve">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a rate of approximately </w:t>
      </w:r>
      <w:r w:rsidR="00385575">
        <w:rPr>
          <w:rFonts w:ascii="Times" w:eastAsia="Times New Roman" w:hAnsi="Times" w:cs="Arial"/>
          <w:color w:val="000000" w:themeColor="text1"/>
        </w:rPr>
        <w:t>0.5</w:t>
      </w:r>
      <w:r>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Pr>
          <w:rFonts w:ascii="Times" w:eastAsia="Times New Roman" w:hAnsi="Times" w:cs="Arial"/>
          <w:color w:val="000000" w:themeColor="text1"/>
        </w:rPr>
        <w:t xml:space="preserve">When comparing Florida’s trend against its control group, Florida’s trend after the policy was implemented was both substantially less than their control states’ and had a reduction in trend when compared to an increase in trend in their control states’, when compared to prior to the policy implementation.  </w:t>
      </w:r>
    </w:p>
    <w:p w14:paraId="25466978" w14:textId="01848770" w:rsidR="00C32784" w:rsidRPr="00C32784" w:rsidRDefault="00C32784" w:rsidP="00C32784">
      <w:pPr>
        <w:shd w:val="clear" w:color="auto" w:fill="FFFFFF"/>
        <w:jc w:val="both"/>
        <w:rPr>
          <w:rFonts w:ascii="Times" w:eastAsia="Times New Roman" w:hAnsi="Times" w:cs="Arial"/>
          <w:b/>
          <w:bCs/>
          <w:noProof/>
          <w:color w:val="000000" w:themeColor="text1"/>
          <w:sz w:val="28"/>
          <w:szCs w:val="28"/>
        </w:rPr>
      </w:pPr>
      <w:r>
        <w:rPr>
          <w:rFonts w:ascii="Times" w:eastAsia="Times New Roman" w:hAnsi="Times" w:cs="Arial"/>
          <w:b/>
          <w:bCs/>
          <w:noProof/>
          <w:color w:val="000000" w:themeColor="text1"/>
        </w:rPr>
        <w:lastRenderedPageBreak/>
        <w:drawing>
          <wp:anchor distT="0" distB="0" distL="114300" distR="114300" simplePos="0" relativeHeight="251659264" behindDoc="0" locked="0" layoutInCell="1" allowOverlap="1" wp14:anchorId="741B0653" wp14:editId="4BCE9F2E">
            <wp:simplePos x="0" y="0"/>
            <wp:positionH relativeFrom="column">
              <wp:posOffset>2903855</wp:posOffset>
            </wp:positionH>
            <wp:positionV relativeFrom="paragraph">
              <wp:posOffset>207010</wp:posOffset>
            </wp:positionV>
            <wp:extent cx="3451225" cy="2520950"/>
            <wp:effectExtent l="0" t="0" r="3175" b="635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1225" cy="2520950"/>
                    </a:xfrm>
                    <a:prstGeom prst="rect">
                      <a:avLst/>
                    </a:prstGeom>
                  </pic:spPr>
                </pic:pic>
              </a:graphicData>
            </a:graphic>
            <wp14:sizeRelH relativeFrom="page">
              <wp14:pctWidth>0</wp14:pctWidth>
            </wp14:sizeRelH>
            <wp14:sizeRelV relativeFrom="page">
              <wp14:pctHeight>0</wp14:pctHeight>
            </wp14:sizeRelV>
          </wp:anchor>
        </w:drawing>
      </w:r>
    </w:p>
    <w:p w14:paraId="6E8F3B0E" w14:textId="77777777" w:rsidR="00C32784" w:rsidRPr="007F05C8" w:rsidRDefault="00C32784" w:rsidP="00C32784">
      <w:pPr>
        <w:shd w:val="clear" w:color="auto" w:fill="FFFFFF"/>
        <w:jc w:val="both"/>
        <w:rPr>
          <w:rFonts w:ascii="Times" w:eastAsia="Times New Roman" w:hAnsi="Times" w:cs="Arial"/>
          <w:b/>
          <w:bCs/>
          <w:color w:val="000000" w:themeColor="text1"/>
        </w:rPr>
      </w:pPr>
      <w:r>
        <w:rPr>
          <w:rFonts w:ascii="Times" w:eastAsia="Times New Roman" w:hAnsi="Times" w:cs="Arial"/>
          <w:b/>
          <w:bCs/>
          <w:noProof/>
          <w:color w:val="000000" w:themeColor="text1"/>
        </w:rPr>
        <w:drawing>
          <wp:anchor distT="0" distB="0" distL="114300" distR="114300" simplePos="0" relativeHeight="251660288" behindDoc="0" locked="0" layoutInCell="1" allowOverlap="1" wp14:anchorId="50BD7975" wp14:editId="0FE95DDD">
            <wp:simplePos x="0" y="0"/>
            <wp:positionH relativeFrom="column">
              <wp:posOffset>0</wp:posOffset>
            </wp:positionH>
            <wp:positionV relativeFrom="paragraph">
              <wp:posOffset>1905</wp:posOffset>
            </wp:positionV>
            <wp:extent cx="2756079" cy="2520222"/>
            <wp:effectExtent l="0" t="0" r="0" b="0"/>
            <wp:wrapSquare wrapText="bothSides"/>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6079" cy="2520222"/>
                    </a:xfrm>
                    <a:prstGeom prst="rect">
                      <a:avLst/>
                    </a:prstGeom>
                  </pic:spPr>
                </pic:pic>
              </a:graphicData>
            </a:graphic>
            <wp14:sizeRelH relativeFrom="page">
              <wp14:pctWidth>0</wp14:pctWidth>
            </wp14:sizeRelH>
            <wp14:sizeRelV relativeFrom="page">
              <wp14:pctHeight>0</wp14:pctHeight>
            </wp14:sizeRelV>
          </wp:anchor>
        </w:drawing>
      </w:r>
    </w:p>
    <w:p w14:paraId="07D96D2B"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Figure 1: Chart of the mortality rate of opioid-drug overdose between the pre-policy and post-policy periods, the regulation policy was effective in Florida in February 2010.</w:t>
      </w:r>
    </w:p>
    <w:p w14:paraId="3B3DBF72" w14:textId="77777777" w:rsidR="00C32784" w:rsidRPr="007F05C8" w:rsidRDefault="00C32784" w:rsidP="00C32784">
      <w:pPr>
        <w:shd w:val="clear" w:color="auto" w:fill="FFFFFF"/>
        <w:jc w:val="both"/>
        <w:rPr>
          <w:rFonts w:ascii="Times" w:eastAsia="Times New Roman" w:hAnsi="Times" w:cs="Arial"/>
          <w:color w:val="000000" w:themeColor="text1"/>
        </w:rPr>
      </w:pPr>
    </w:p>
    <w:p w14:paraId="4AE6546D" w14:textId="77777777"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Florida implement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0, it is obvious that the mortality rate of opioid-drug overdose has a decreasing tendency based on the left graph. Also, the right graph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It is evident that the mortality rate of opioid-drug overdose in these control states continues to hold an increasing trend after 2010.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had a rising trend from 12 year by 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 xml:space="preserve">in 2009. After Florida implemented the regulation policy for opioid drugs in 2010,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 xml:space="preserve">in 2010 and it continued to keep a downward tendency from 2010. This might not happen if the regulation policy was not implemented. Moreover, according to difference-in-difference analysis,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 xml:space="preserve">lower than the average mortality rate of Florida from 2003 to 2009 while all of them held increasing tendencies of the mortality rate of opioid-drug overdose. However, the three comparison states still had an upward trend of mortality rate after 2010, this tendency is the same as before 2010. </w:t>
      </w:r>
      <w:r>
        <w:rPr>
          <w:rFonts w:ascii="Times" w:eastAsia="Times New Roman" w:hAnsi="Times" w:cs="Arial"/>
          <w:color w:val="000000" w:themeColor="text1"/>
        </w:rPr>
        <w:t xml:space="preserve">Furthermore, it is evident that the variations of </w:t>
      </w:r>
      <w:r w:rsidRPr="007F05C8">
        <w:rPr>
          <w:rFonts w:ascii="Times" w:eastAsia="Times New Roman" w:hAnsi="Times" w:cs="Arial"/>
          <w:color w:val="000000" w:themeColor="text1"/>
        </w:rPr>
        <w:t>drug overdose deaths between pre and post</w:t>
      </w:r>
      <w:r>
        <w:rPr>
          <w:rFonts w:ascii="Times" w:eastAsia="Times New Roman" w:hAnsi="Times" w:cs="Arial"/>
          <w:color w:val="000000" w:themeColor="text1"/>
        </w:rPr>
        <w:t xml:space="preserve"> </w:t>
      </w:r>
      <w:r w:rsidRPr="007F05C8">
        <w:rPr>
          <w:rFonts w:ascii="Times" w:eastAsia="Times New Roman" w:hAnsi="Times" w:cs="Arial"/>
          <w:color w:val="000000" w:themeColor="text1"/>
        </w:rPr>
        <w:t>policy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became greater since 2010.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lastRenderedPageBreak/>
        <w:t>about 7.5 higher</w:t>
      </w:r>
      <w:r w:rsidRPr="007F05C8">
        <w:rPr>
          <w:rFonts w:ascii="Times" w:eastAsia="Times New Roman" w:hAnsi="Times" w:cs="Arial"/>
          <w:color w:val="000000" w:themeColor="text1"/>
        </w:rPr>
        <w:t xml:space="preserve"> than the average mortality rate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about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decreasing the mortality rate of opioid-drug overdose in Florida.</w:t>
      </w:r>
    </w:p>
    <w:p w14:paraId="7B0E9FB3" w14:textId="6FAED4EE" w:rsidR="00385575" w:rsidRDefault="00385575" w:rsidP="00C32784">
      <w:pPr>
        <w:shd w:val="clear" w:color="auto" w:fill="FFFFFF"/>
        <w:jc w:val="both"/>
        <w:rPr>
          <w:rFonts w:ascii="Times" w:eastAsia="Times New Roman" w:hAnsi="Times" w:cs="Arial"/>
          <w:b/>
          <w:bCs/>
          <w:color w:val="000000" w:themeColor="text1"/>
          <w:sz w:val="28"/>
          <w:szCs w:val="28"/>
        </w:rPr>
      </w:pPr>
    </w:p>
    <w:p w14:paraId="212B9591" w14:textId="20158CC2" w:rsidR="00385575" w:rsidRDefault="00385575" w:rsidP="00385575">
      <w:pPr>
        <w:shd w:val="clear" w:color="auto" w:fill="FFFFFF"/>
        <w:spacing w:line="360" w:lineRule="auto"/>
        <w:jc w:val="both"/>
        <w:rPr>
          <w:rFonts w:ascii="Times" w:eastAsia="Times New Roman" w:hAnsi="Times" w:cs="Arial"/>
          <w:b/>
          <w:bCs/>
          <w:color w:val="000000" w:themeColor="text1"/>
          <w:sz w:val="28"/>
          <w:szCs w:val="28"/>
        </w:rPr>
      </w:pPr>
      <w:r w:rsidRPr="00B238AE">
        <w:rPr>
          <w:rFonts w:ascii="Times" w:eastAsia="Times New Roman" w:hAnsi="Times" w:cs="Arial"/>
          <w:b/>
          <w:bCs/>
          <w:color w:val="000000" w:themeColor="text1"/>
          <w:sz w:val="28"/>
          <w:szCs w:val="28"/>
        </w:rPr>
        <w:t>Texas</w:t>
      </w:r>
    </w:p>
    <w:p w14:paraId="5104FB10" w14:textId="7295E3D2" w:rsidR="00385575" w:rsidRPr="002D011C"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Texas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a rate of approximately 1.3 per year.  This substantial change in trend supports the hypothesis that the policy reduced the quantity of drug-induced deaths in Texas. When comparing Texas’s trend against its control group, Texas’s trend after the policy was implemented was both substantially less than their control states’ and had a reduction in trend when compared to an increase in trend in their control states’, when compared to prior to the policy implementation.  </w:t>
      </w:r>
    </w:p>
    <w:p w14:paraId="0141B58A" w14:textId="41DA52FF" w:rsidR="00C32784" w:rsidRPr="00F05EC6" w:rsidRDefault="00C32784"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drawing>
          <wp:anchor distT="0" distB="0" distL="114300" distR="114300" simplePos="0" relativeHeight="251662336" behindDoc="0" locked="0" layoutInCell="1" allowOverlap="1" wp14:anchorId="06C2B165" wp14:editId="761C1574">
            <wp:simplePos x="0" y="0"/>
            <wp:positionH relativeFrom="column">
              <wp:posOffset>0</wp:posOffset>
            </wp:positionH>
            <wp:positionV relativeFrom="paragraph">
              <wp:posOffset>308297</wp:posOffset>
            </wp:positionV>
            <wp:extent cx="2783840" cy="2562860"/>
            <wp:effectExtent l="0" t="0" r="0" b="254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3840" cy="256286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1312" behindDoc="0" locked="0" layoutInCell="1" allowOverlap="1" wp14:anchorId="2E6FF1F6" wp14:editId="17A236B9">
            <wp:simplePos x="0" y="0"/>
            <wp:positionH relativeFrom="column">
              <wp:posOffset>2858770</wp:posOffset>
            </wp:positionH>
            <wp:positionV relativeFrom="paragraph">
              <wp:posOffset>308020</wp:posOffset>
            </wp:positionV>
            <wp:extent cx="3486150" cy="2562860"/>
            <wp:effectExtent l="0" t="0" r="6350" b="254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6150" cy="2562860"/>
                    </a:xfrm>
                    <a:prstGeom prst="rect">
                      <a:avLst/>
                    </a:prstGeom>
                  </pic:spPr>
                </pic:pic>
              </a:graphicData>
            </a:graphic>
            <wp14:sizeRelH relativeFrom="page">
              <wp14:pctWidth>0</wp14:pctWidth>
            </wp14:sizeRelH>
            <wp14:sizeRelV relativeFrom="page">
              <wp14:pctHeight>0</wp14:pctHeight>
            </wp14:sizeRelV>
          </wp:anchor>
        </w:drawing>
      </w:r>
    </w:p>
    <w:p w14:paraId="50DE1DBD" w14:textId="77777777" w:rsidR="00C32784" w:rsidRPr="00B238AE" w:rsidRDefault="00C32784" w:rsidP="00C32784">
      <w:pPr>
        <w:shd w:val="clear" w:color="auto" w:fill="FFFFFF"/>
        <w:jc w:val="both"/>
        <w:rPr>
          <w:rFonts w:ascii="Times" w:eastAsia="Times New Roman" w:hAnsi="Times" w:cs="Arial"/>
          <w:b/>
          <w:bCs/>
          <w:color w:val="000000" w:themeColor="text1"/>
          <w:sz w:val="28"/>
          <w:szCs w:val="28"/>
        </w:rPr>
      </w:pPr>
    </w:p>
    <w:p w14:paraId="7427B4C0" w14:textId="77777777" w:rsidR="00C32784" w:rsidRPr="007F05C8" w:rsidRDefault="00C32784" w:rsidP="00C32784">
      <w:pPr>
        <w:shd w:val="clear" w:color="auto" w:fill="FFFFFF"/>
        <w:jc w:val="center"/>
        <w:rPr>
          <w:rFonts w:ascii="Times" w:eastAsia="Times New Roman" w:hAnsi="Times" w:cs="Arial"/>
          <w:color w:val="000000" w:themeColor="text1"/>
        </w:rPr>
      </w:pPr>
      <w:r w:rsidRPr="007F05C8">
        <w:rPr>
          <w:rFonts w:ascii="Times" w:eastAsia="Times New Roman" w:hAnsi="Times" w:cs="Arial"/>
          <w:i/>
          <w:iCs/>
          <w:color w:val="000000" w:themeColor="text1"/>
          <w:sz w:val="22"/>
          <w:szCs w:val="22"/>
        </w:rPr>
        <w:t xml:space="preserve">Figure 2: Chart of the mortality rate of opioid-drug overdose between the pre-policy and post-policy periods, the regulation policy was effective in Texas in </w:t>
      </w:r>
      <w:r w:rsidRPr="007F05C8">
        <w:rPr>
          <w:rFonts w:ascii="Times" w:hAnsi="Times"/>
          <w:i/>
          <w:iCs/>
          <w:sz w:val="22"/>
          <w:szCs w:val="22"/>
        </w:rPr>
        <w:t>January 2007.</w:t>
      </w:r>
    </w:p>
    <w:p w14:paraId="324E0DEE"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p>
    <w:p w14:paraId="777937C1" w14:textId="77777777"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implement the regulation policy for opioid drugs in 2007, it is obvious that the mortality rate of opioid-drug overdose has a relatively decreasing tendency based on the left graph. </w:t>
      </w:r>
      <w:r w:rsidRPr="007F05C8">
        <w:rPr>
          <w:rFonts w:ascii="Times" w:eastAsia="Times New Roman" w:hAnsi="Times" w:cs="Arial"/>
          <w:color w:val="000000" w:themeColor="text1"/>
        </w:rPr>
        <w:lastRenderedPageBreak/>
        <w:t>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had an increasing trend from about </w:t>
      </w:r>
      <w:r>
        <w:rPr>
          <w:rFonts w:ascii="Times" w:eastAsia="Times New Roman" w:hAnsi="Times" w:cs="Arial"/>
          <w:color w:val="000000" w:themeColor="text1"/>
        </w:rPr>
        <w:t>8</w:t>
      </w:r>
      <w:r w:rsidRPr="007F05C8">
        <w:rPr>
          <w:rFonts w:ascii="Times" w:eastAsia="Times New Roman" w:hAnsi="Times" w:cs="Arial"/>
          <w:color w:val="000000" w:themeColor="text1"/>
        </w:rPr>
        <w:t xml:space="preserve"> year by year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at TX, the mortality rate</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 opioid-drug overdose in TX dropped immediately to about 0.0105% in 2007 and it continued to keep a downward tendency from 2007. This might not happen if the regulation policy was not implemented. Moreover, according to difference-in-difference analysis,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Pr>
          <w:rFonts w:ascii="Times" w:eastAsia="Times New Roman" w:hAnsi="Times" w:cs="Arial"/>
          <w:color w:val="000000" w:themeColor="text1"/>
        </w:rPr>
        <w:t>are 3 higher than</w:t>
      </w:r>
      <w:r w:rsidRPr="007F05C8">
        <w:rPr>
          <w:rFonts w:ascii="Times" w:eastAsia="Times New Roman" w:hAnsi="Times" w:cs="Arial"/>
          <w:color w:val="000000" w:themeColor="text1"/>
        </w:rPr>
        <w:t xml:space="preserve"> the average mortality rate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Nevertheless, the three comparison states still had an upward trend of mortality rate after 2007, this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it is obvious that the variations of </w:t>
      </w:r>
      <w:r w:rsidRPr="007F05C8">
        <w:rPr>
          <w:rFonts w:ascii="Times" w:eastAsia="Times New Roman" w:hAnsi="Times" w:cs="Arial"/>
          <w:color w:val="000000" w:themeColor="text1"/>
        </w:rPr>
        <w:t>drug overdose deaths between pre and post</w:t>
      </w:r>
      <w:r>
        <w:rPr>
          <w:rFonts w:ascii="Times" w:eastAsia="Times New Roman" w:hAnsi="Times" w:cs="Arial"/>
          <w:color w:val="000000" w:themeColor="text1"/>
        </w:rPr>
        <w:t xml:space="preserve"> </w:t>
      </w:r>
      <w:r w:rsidRPr="007F05C8">
        <w:rPr>
          <w:rFonts w:ascii="Times" w:eastAsia="Times New Roman" w:hAnsi="Times" w:cs="Arial"/>
          <w:color w:val="000000" w:themeColor="text1"/>
        </w:rPr>
        <w:t>policy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became greater since 2007.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t>about 9 higher</w:t>
      </w:r>
      <w:r w:rsidRPr="007F05C8">
        <w:rPr>
          <w:rFonts w:ascii="Times" w:eastAsia="Times New Roman" w:hAnsi="Times" w:cs="Arial"/>
          <w:color w:val="000000" w:themeColor="text1"/>
        </w:rPr>
        <w:t xml:space="preserve"> than the average mortality rate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rate of opioid-drug overdose in Texas.</w:t>
      </w:r>
    </w:p>
    <w:p w14:paraId="005CCE38" w14:textId="1F77B512" w:rsidR="00C32784" w:rsidRDefault="00C32784" w:rsidP="00C32784">
      <w:pPr>
        <w:shd w:val="clear" w:color="auto" w:fill="FFFFFF"/>
        <w:jc w:val="both"/>
        <w:rPr>
          <w:rFonts w:ascii="Times" w:eastAsia="Times New Roman" w:hAnsi="Times" w:cs="Arial"/>
          <w:color w:val="000000" w:themeColor="text1"/>
        </w:rPr>
      </w:pPr>
    </w:p>
    <w:p w14:paraId="4E6A3EFE" w14:textId="08C7DDD5" w:rsidR="00385575" w:rsidRDefault="00385575" w:rsidP="00C32784">
      <w:pPr>
        <w:shd w:val="clear" w:color="auto" w:fill="FFFFFF"/>
        <w:jc w:val="both"/>
        <w:rPr>
          <w:rFonts w:ascii="Times" w:eastAsia="Times New Roman" w:hAnsi="Times" w:cs="Arial"/>
          <w:color w:val="000000" w:themeColor="text1"/>
        </w:rPr>
      </w:pPr>
    </w:p>
    <w:p w14:paraId="2F2C9873" w14:textId="7B75CBA1" w:rsidR="00385575" w:rsidRDefault="00385575" w:rsidP="00385575">
      <w:pPr>
        <w:shd w:val="clear" w:color="auto" w:fill="FFFFFF"/>
        <w:spacing w:line="360" w:lineRule="auto"/>
        <w:jc w:val="both"/>
        <w:rPr>
          <w:rFonts w:ascii="Times" w:eastAsia="Times New Roman" w:hAnsi="Times" w:cs="Arial"/>
          <w:b/>
          <w:bCs/>
          <w:color w:val="000000" w:themeColor="text1"/>
          <w:sz w:val="28"/>
          <w:szCs w:val="28"/>
        </w:rPr>
      </w:pPr>
      <w:r>
        <w:rPr>
          <w:rFonts w:ascii="Times" w:eastAsia="Times New Roman" w:hAnsi="Times" w:cs="Arial"/>
          <w:b/>
          <w:bCs/>
          <w:color w:val="000000" w:themeColor="text1"/>
          <w:sz w:val="28"/>
          <w:szCs w:val="28"/>
        </w:rPr>
        <w:t>Washington</w:t>
      </w:r>
    </w:p>
    <w:p w14:paraId="397D12F0" w14:textId="392FAD5C" w:rsidR="00385575"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in Washington.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0.25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trend was still positive but with a lower slope</w:t>
      </w:r>
      <w:r w:rsidRPr="0005203D">
        <w:rPr>
          <w:rFonts w:ascii="Times" w:eastAsia="Times New Roman" w:hAnsi="Times" w:cs="Arial"/>
          <w:color w:val="000000" w:themeColor="text1"/>
        </w:rPr>
        <w:t xml:space="preserve">, </w:t>
      </w:r>
      <w:r>
        <w:rPr>
          <w:rFonts w:ascii="Times" w:eastAsia="Times New Roman" w:hAnsi="Times" w:cs="Arial"/>
          <w:color w:val="000000" w:themeColor="text1"/>
        </w:rPr>
        <w:t xml:space="preserve">increasing at a rate of approximately 0.07 per year.  Consequently, this change in trend does not support the hypothesis that the policy reduced the quantity of drug-induced deaths in Washington. </w:t>
      </w:r>
    </w:p>
    <w:p w14:paraId="035FEB6D" w14:textId="6D5D7A0D" w:rsidR="00C32784" w:rsidRPr="00B238AE" w:rsidRDefault="00385575"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noProof/>
          <w:color w:val="000000" w:themeColor="text1"/>
        </w:rPr>
        <w:lastRenderedPageBreak/>
        <w:drawing>
          <wp:anchor distT="0" distB="0" distL="114300" distR="114300" simplePos="0" relativeHeight="251664384" behindDoc="0" locked="0" layoutInCell="1" allowOverlap="1" wp14:anchorId="73A89422" wp14:editId="171CFE64">
            <wp:simplePos x="0" y="0"/>
            <wp:positionH relativeFrom="column">
              <wp:posOffset>-32198</wp:posOffset>
            </wp:positionH>
            <wp:positionV relativeFrom="paragraph">
              <wp:posOffset>297150</wp:posOffset>
            </wp:positionV>
            <wp:extent cx="2788276" cy="2450168"/>
            <wp:effectExtent l="0" t="0" r="6350" b="127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8276" cy="2450168"/>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noProof/>
          <w:color w:val="000000" w:themeColor="text1"/>
        </w:rPr>
        <w:drawing>
          <wp:anchor distT="0" distB="0" distL="114300" distR="114300" simplePos="0" relativeHeight="251663360" behindDoc="0" locked="0" layoutInCell="1" allowOverlap="1" wp14:anchorId="451A0E34" wp14:editId="139FC72C">
            <wp:simplePos x="0" y="0"/>
            <wp:positionH relativeFrom="column">
              <wp:posOffset>2787650</wp:posOffset>
            </wp:positionH>
            <wp:positionV relativeFrom="paragraph">
              <wp:posOffset>300355</wp:posOffset>
            </wp:positionV>
            <wp:extent cx="3444875" cy="2449830"/>
            <wp:effectExtent l="0" t="0" r="0" b="127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4875" cy="2449830"/>
                    </a:xfrm>
                    <a:prstGeom prst="rect">
                      <a:avLst/>
                    </a:prstGeom>
                  </pic:spPr>
                </pic:pic>
              </a:graphicData>
            </a:graphic>
            <wp14:sizeRelH relativeFrom="page">
              <wp14:pctWidth>0</wp14:pctWidth>
            </wp14:sizeRelH>
            <wp14:sizeRelV relativeFrom="page">
              <wp14:pctHeight>0</wp14:pctHeight>
            </wp14:sizeRelV>
          </wp:anchor>
        </w:drawing>
      </w:r>
    </w:p>
    <w:p w14:paraId="11D7671B" w14:textId="2F94751C" w:rsidR="00C32784" w:rsidRPr="00F05EC6" w:rsidRDefault="00C32784" w:rsidP="00C32784">
      <w:pPr>
        <w:shd w:val="clear" w:color="auto" w:fill="FFFFFF"/>
        <w:jc w:val="both"/>
        <w:rPr>
          <w:rFonts w:ascii="Times" w:eastAsia="Times New Roman" w:hAnsi="Times" w:cs="Arial"/>
          <w:b/>
          <w:bCs/>
          <w:color w:val="000000" w:themeColor="text1"/>
        </w:rPr>
      </w:pPr>
    </w:p>
    <w:p w14:paraId="0F9B22A2" w14:textId="77777777" w:rsidR="00C32784" w:rsidRPr="007F05C8" w:rsidRDefault="00C32784" w:rsidP="00C32784">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3: Chart of the mortality rate of opioid-drug overdose between the pre-policy and post-policy periods, the regulation policy was effective in Washington in </w:t>
      </w:r>
      <w:r w:rsidRPr="007F05C8">
        <w:rPr>
          <w:rFonts w:ascii="Times" w:hAnsi="Times"/>
          <w:i/>
          <w:iCs/>
          <w:sz w:val="22"/>
          <w:szCs w:val="22"/>
        </w:rPr>
        <w:t>January 2012.</w:t>
      </w:r>
    </w:p>
    <w:p w14:paraId="4D8C4767" w14:textId="77777777" w:rsidR="00C32784" w:rsidRPr="007F05C8" w:rsidRDefault="00C32784" w:rsidP="00C32784">
      <w:pPr>
        <w:pStyle w:val="BodyText"/>
        <w:spacing w:line="304" w:lineRule="auto"/>
        <w:ind w:right="131"/>
        <w:jc w:val="both"/>
        <w:rPr>
          <w:rFonts w:ascii="Times" w:hAnsi="Times"/>
          <w:color w:val="161616"/>
          <w:w w:val="110"/>
        </w:rPr>
      </w:pPr>
    </w:p>
    <w:p w14:paraId="199C1280" w14:textId="77777777"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implement the regulation policy for opioid drugs in 2012,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It is obvious that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these control states continues to hold an increasing trend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about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rate of opioid-drug overdose in WA did not drop, it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Pr="007F05C8">
        <w:rPr>
          <w:rFonts w:ascii="Times" w:eastAsia="Times New Roman" w:hAnsi="Times" w:cs="Arial"/>
          <w:color w:val="000000" w:themeColor="text1"/>
        </w:rPr>
        <w:t xml:space="preserve">average mortality rate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Pr>
          <w:rFonts w:ascii="Times" w:eastAsia="Times New Roman" w:hAnsi="Times" w:cs="Arial"/>
          <w:color w:val="000000" w:themeColor="text1"/>
        </w:rPr>
        <w:t>larger</w:t>
      </w:r>
      <w:r w:rsidRPr="007F05C8">
        <w:rPr>
          <w:rFonts w:ascii="Times" w:eastAsia="Times New Roman" w:hAnsi="Times" w:cs="Arial"/>
          <w:color w:val="000000" w:themeColor="text1"/>
        </w:rPr>
        <w:t xml:space="preserve"> than the </w:t>
      </w:r>
      <w:r>
        <w:rPr>
          <w:rFonts w:ascii="Times" w:eastAsia="Times New Roman" w:hAnsi="Times" w:cs="Arial"/>
          <w:color w:val="000000" w:themeColor="text1"/>
        </w:rPr>
        <w:t xml:space="preserve">slope of </w:t>
      </w:r>
      <w:r w:rsidRPr="007F05C8">
        <w:rPr>
          <w:rFonts w:ascii="Times" w:eastAsia="Times New Roman" w:hAnsi="Times" w:cs="Arial"/>
          <w:color w:val="000000" w:themeColor="text1"/>
        </w:rPr>
        <w:t xml:space="preserve">average mortality rate of Washington from 2003 to 2011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The three comparison states still had an upward trend of mortality rate after 2012, this tendency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general, the mortality rate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about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rates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Washington were lower than other control states on average </w:t>
      </w:r>
      <w:r w:rsidRPr="007F05C8">
        <w:rPr>
          <w:rFonts w:ascii="Times" w:eastAsia="Times New Roman" w:hAnsi="Times" w:cs="Arial"/>
          <w:color w:val="000000" w:themeColor="text1"/>
        </w:rPr>
        <w:lastRenderedPageBreak/>
        <w:t>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C32784" w:rsidRDefault="004C3135" w:rsidP="004C3135">
      <w:pPr>
        <w:shd w:val="clear" w:color="auto" w:fill="FFFFFF"/>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77777777" w:rsidR="00506649" w:rsidRPr="00D025F1" w:rsidRDefault="00506649" w:rsidP="00506649">
      <w:pPr>
        <w:shd w:val="clear" w:color="auto" w:fill="FFFFFF"/>
        <w:spacing w:line="360" w:lineRule="auto"/>
        <w:jc w:val="both"/>
        <w:rPr>
          <w:rFonts w:ascii="Times" w:eastAsia="Times New Roman" w:hAnsi="Times" w:cs="Arial"/>
          <w:b/>
          <w:bCs/>
          <w:color w:val="000000" w:themeColor="text1"/>
        </w:rPr>
      </w:pPr>
      <w:r>
        <w:rPr>
          <w:rFonts w:ascii="Times" w:eastAsia="Times New Roman" w:hAnsi="Times" w:cs="Arial"/>
          <w:color w:val="000000" w:themeColor="text1"/>
        </w:rPr>
        <w:t>Based on this analysis, Florida and Texas were able to implement policies that reduced drug-induced deaths, and Florida’s policy was able to limit the amount of opioids shipped to the state.  With appropriate data, similar analysis would be able to confirm if Texas was able to limit opioids shipped to the state.  Conversely, based on this analysis, the policy that Washington implemented in 2012 was unable to substantially reduce the quantity of opioids shipped to the state, or the drug-induced deaths in the state.</w:t>
      </w: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1359AA44"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71E5B529"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6D35AF97" w14:textId="77777777" w:rsidR="00506649" w:rsidRPr="007F05C8" w:rsidRDefault="00506649" w:rsidP="00506649">
      <w:pPr>
        <w:autoSpaceDE w:val="0"/>
        <w:autoSpaceDN w:val="0"/>
        <w:adjustRightInd w:val="0"/>
        <w:spacing w:line="360" w:lineRule="auto"/>
        <w:jc w:val="both"/>
        <w:rPr>
          <w:rFonts w:ascii="Times" w:hAnsi="Times" w:cs="AppleSystemUIFont"/>
          <w:lang w:eastAsia="ko-KR"/>
        </w:rPr>
      </w:pPr>
      <w:r>
        <w:rPr>
          <w:rFonts w:ascii="Times" w:eastAsia="Times New Roman" w:hAnsi="Times" w:cs="Arial"/>
          <w:color w:val="000000" w:themeColor="text1"/>
        </w:rPr>
        <w:t xml:space="preserve">Despite key takeaways from this analysis, extracting causal information from drug policy analysis is still challenging. Many </w:t>
      </w:r>
      <w:r w:rsidRPr="003D3906">
        <w:rPr>
          <w:rFonts w:ascii="Times" w:eastAsia="Times New Roman" w:hAnsi="Times" w:cs="Arial"/>
          <w:color w:val="000000" w:themeColor="text1"/>
        </w:rPr>
        <w:t xml:space="preserve">states have enacted multiple opioid control policies as the opioid crisis has evolved </w:t>
      </w:r>
      <w:r>
        <w:rPr>
          <w:rFonts w:ascii="Times" w:eastAsia="Times New Roman" w:hAnsi="Times" w:cs="Arial"/>
          <w:color w:val="000000" w:themeColor="text1"/>
        </w:rPr>
        <w:t xml:space="preserve">over the </w:t>
      </w:r>
      <w:r w:rsidRPr="003D3906">
        <w:rPr>
          <w:rFonts w:ascii="Times" w:eastAsia="Times New Roman" w:hAnsi="Times" w:cs="Arial"/>
          <w:color w:val="000000" w:themeColor="text1"/>
        </w:rPr>
        <w:t xml:space="preserve">decades. For example, </w:t>
      </w:r>
      <w:r>
        <w:rPr>
          <w:rFonts w:ascii="Times" w:eastAsia="Times New Roman" w:hAnsi="Times" w:cs="Arial"/>
          <w:color w:val="000000" w:themeColor="text1"/>
        </w:rPr>
        <w:t xml:space="preserve">several </w:t>
      </w:r>
      <w:r w:rsidRPr="003D3906">
        <w:rPr>
          <w:rFonts w:ascii="Times" w:eastAsia="Times New Roman" w:hAnsi="Times" w:cs="Arial"/>
          <w:color w:val="000000" w:themeColor="text1"/>
        </w:rPr>
        <w:t xml:space="preserve">states implemented </w:t>
      </w:r>
      <w:r>
        <w:rPr>
          <w:rFonts w:ascii="Times" w:eastAsia="Times New Roman" w:hAnsi="Times" w:cs="Arial"/>
          <w:color w:val="000000" w:themeColor="text1"/>
        </w:rPr>
        <w:t xml:space="preserve">a </w:t>
      </w:r>
      <w:r w:rsidRPr="003D3906">
        <w:rPr>
          <w:rFonts w:ascii="Times" w:eastAsia="Times New Roman" w:hAnsi="Times" w:cs="Arial"/>
          <w:color w:val="000000" w:themeColor="text1"/>
        </w:rPr>
        <w:t xml:space="preserve">combination of naloxone laws, Good Samaritan laws, and medical marijuana laws during 2015-2017. </w:t>
      </w:r>
      <w:r>
        <w:rPr>
          <w:rFonts w:ascii="Times" w:eastAsia="Times New Roman" w:hAnsi="Times" w:cs="Arial"/>
          <w:color w:val="000000" w:themeColor="text1"/>
        </w:rPr>
        <w:t xml:space="preserve"> Furthermore, i</w:t>
      </w:r>
      <w:r w:rsidRPr="003D3906">
        <w:rPr>
          <w:rFonts w:ascii="Times" w:eastAsia="Times New Roman" w:hAnsi="Times" w:cs="Arial"/>
          <w:color w:val="000000" w:themeColor="text1"/>
        </w:rPr>
        <w:t>n addition to pre-existing prescription drug monitoring program (PDMP) laws, by 2017 most states had implemented at least 3 of these 4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Therefore, it </w:t>
      </w:r>
      <w:r>
        <w:rPr>
          <w:rFonts w:ascii="Times" w:eastAsia="Times New Roman" w:hAnsi="Times" w:cs="Arial"/>
          <w:color w:val="000000" w:themeColor="text1"/>
        </w:rPr>
        <w:t>is difficult to ascertain appropriate control groups and ensure all confounding variables are accounted for</w:t>
      </w:r>
      <w:r w:rsidRPr="003D3906">
        <w:rPr>
          <w:rFonts w:ascii="Times" w:eastAsia="Times New Roman" w:hAnsi="Times" w:cs="Arial"/>
          <w:color w:val="000000" w:themeColor="text1"/>
        </w:rPr>
        <w:t>.</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 These factors complicate </w:t>
      </w:r>
      <w:r>
        <w:rPr>
          <w:rFonts w:ascii="Times" w:eastAsia="Times New Roman" w:hAnsi="Times" w:cs="Arial"/>
          <w:color w:val="000000" w:themeColor="text1"/>
        </w:rPr>
        <w:t>valid inference on 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15A3705F" w14:textId="77777777" w:rsidR="004C3135" w:rsidRDefault="004C3135" w:rsidP="004C3135">
      <w:pPr>
        <w:shd w:val="clear" w:color="auto" w:fill="FFFFFF"/>
        <w:jc w:val="both"/>
        <w:rPr>
          <w:rFonts w:ascii="Times" w:eastAsia="Times New Roman" w:hAnsi="Times" w:cs="Arial"/>
          <w:b/>
          <w:bCs/>
          <w:color w:val="FF0000"/>
          <w:sz w:val="32"/>
          <w:szCs w:val="32"/>
        </w:rPr>
      </w:pPr>
    </w:p>
    <w:p w14:paraId="3A1A9F9D" w14:textId="4E87BAA9" w:rsidR="004C3135" w:rsidRPr="00C32784" w:rsidRDefault="004C3135" w:rsidP="004C3135">
      <w:pPr>
        <w:shd w:val="clear" w:color="auto" w:fill="FFFFFF"/>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t>Conclusion</w:t>
      </w:r>
    </w:p>
    <w:p w14:paraId="4810C826" w14:textId="77777777" w:rsidR="00506649" w:rsidRPr="003D3906" w:rsidRDefault="00506649" w:rsidP="004C3135">
      <w:pPr>
        <w:shd w:val="clear" w:color="auto" w:fill="FFFFFF"/>
        <w:jc w:val="both"/>
        <w:rPr>
          <w:rFonts w:ascii="Times" w:eastAsia="Times New Roman" w:hAnsi="Times" w:cs="Arial"/>
          <w:b/>
          <w:bCs/>
          <w:color w:val="FF0000"/>
          <w:sz w:val="32"/>
          <w:szCs w:val="32"/>
        </w:rPr>
      </w:pPr>
    </w:p>
    <w:p w14:paraId="324D2D61" w14:textId="77777777" w:rsidR="00506649" w:rsidRDefault="00506649" w:rsidP="00506649">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Based on this analysis, Florida and Texas have been able to implement successful policies to combat the opioid epidemic and should be used as a best practice case study for other states who continue to struggle in reducing opioid deaths and over-prescription of opioids.  Conversely, Washington’s policy in 2012 has been shown to be relatively ineffective at combating the opioid epidemic and should be updated to follow more closely Florida’s implementation, which has been substantially more successful.</w:t>
      </w:r>
    </w:p>
    <w:p w14:paraId="6EB97286" w14:textId="77777777" w:rsidR="004C3135" w:rsidRPr="007F05C8" w:rsidRDefault="004C3135" w:rsidP="004C3135">
      <w:pPr>
        <w:autoSpaceDE w:val="0"/>
        <w:autoSpaceDN w:val="0"/>
        <w:adjustRightInd w:val="0"/>
        <w:spacing w:line="360" w:lineRule="auto"/>
        <w:jc w:val="both"/>
        <w:rPr>
          <w:rFonts w:ascii="Times" w:hAnsi="Times" w:cs="AppleSystemUIFont"/>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lastRenderedPageBreak/>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r w:rsidRPr="00CA766A">
        <w:rPr>
          <w:rFonts w:ascii="Times" w:eastAsia="Times New Roman" w:hAnsi="Times" w:cs="Arial"/>
          <w:color w:val="000000" w:themeColor="text1"/>
        </w:rPr>
        <w:t>Soelberg,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Brown, D.Du Vivier,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18"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19"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77795" w14:textId="77777777" w:rsidR="00F04220" w:rsidRDefault="00F04220" w:rsidP="00AC5A3C">
      <w:r>
        <w:separator/>
      </w:r>
    </w:p>
  </w:endnote>
  <w:endnote w:type="continuationSeparator" w:id="0">
    <w:p w14:paraId="63DC962F" w14:textId="77777777" w:rsidR="00F04220" w:rsidRDefault="00F04220"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charset w:val="00"/>
    <w:family w:val="auto"/>
    <w:pitch w:val="default"/>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187E7" w14:textId="77777777" w:rsidR="00F04220" w:rsidRDefault="00F04220" w:rsidP="00AC5A3C">
      <w:r>
        <w:separator/>
      </w:r>
    </w:p>
  </w:footnote>
  <w:footnote w:type="continuationSeparator" w:id="0">
    <w:p w14:paraId="7E1386B2" w14:textId="77777777" w:rsidR="00F04220" w:rsidRDefault="00F04220"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2198803">
    <w:abstractNumId w:val="0"/>
  </w:num>
  <w:num w:numId="2" w16cid:durableId="11144721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50AD9"/>
    <w:rsid w:val="0005203D"/>
    <w:rsid w:val="00056C08"/>
    <w:rsid w:val="00061D5D"/>
    <w:rsid w:val="000B2994"/>
    <w:rsid w:val="0010500E"/>
    <w:rsid w:val="001B5271"/>
    <w:rsid w:val="002177CC"/>
    <w:rsid w:val="00252006"/>
    <w:rsid w:val="002E4C74"/>
    <w:rsid w:val="00385575"/>
    <w:rsid w:val="0042380B"/>
    <w:rsid w:val="004C3135"/>
    <w:rsid w:val="004C4033"/>
    <w:rsid w:val="00506649"/>
    <w:rsid w:val="005660CB"/>
    <w:rsid w:val="005F5733"/>
    <w:rsid w:val="0060566E"/>
    <w:rsid w:val="00671B54"/>
    <w:rsid w:val="007153C4"/>
    <w:rsid w:val="00727FEC"/>
    <w:rsid w:val="007773E0"/>
    <w:rsid w:val="007D0DDD"/>
    <w:rsid w:val="007D535F"/>
    <w:rsid w:val="007F0B5D"/>
    <w:rsid w:val="007F1131"/>
    <w:rsid w:val="00820830"/>
    <w:rsid w:val="00840EDF"/>
    <w:rsid w:val="008611E9"/>
    <w:rsid w:val="00873C55"/>
    <w:rsid w:val="00991CE3"/>
    <w:rsid w:val="00A0329D"/>
    <w:rsid w:val="00A42CD2"/>
    <w:rsid w:val="00A63D5F"/>
    <w:rsid w:val="00AC5A3C"/>
    <w:rsid w:val="00AE606D"/>
    <w:rsid w:val="00B039DB"/>
    <w:rsid w:val="00B466E8"/>
    <w:rsid w:val="00B53592"/>
    <w:rsid w:val="00B80E08"/>
    <w:rsid w:val="00BD3714"/>
    <w:rsid w:val="00C116FD"/>
    <w:rsid w:val="00C300AF"/>
    <w:rsid w:val="00C32784"/>
    <w:rsid w:val="00CA5218"/>
    <w:rsid w:val="00CD5E99"/>
    <w:rsid w:val="00D50D64"/>
    <w:rsid w:val="00D8364B"/>
    <w:rsid w:val="00D93D1A"/>
    <w:rsid w:val="00D9639F"/>
    <w:rsid w:val="00E92823"/>
    <w:rsid w:val="00F04220"/>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orldpopulationreview.com/states"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cdc.gov/drugoverdose/rxrate-maps/state2020.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16</Pages>
  <Words>3727</Words>
  <Characters>21248</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Nick</cp:lastModifiedBy>
  <cp:revision>5</cp:revision>
  <dcterms:created xsi:type="dcterms:W3CDTF">2022-11-29T00:20:00Z</dcterms:created>
  <dcterms:modified xsi:type="dcterms:W3CDTF">2022-11-29T03:07:00Z</dcterms:modified>
</cp:coreProperties>
</file>