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5301B1A3" w14:textId="77777777" w:rsidR="004C3135" w:rsidRPr="00791E5A" w:rsidRDefault="004C3135" w:rsidP="004C3135">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0308ABBC" w14:textId="77777777" w:rsidR="004C3135" w:rsidRDefault="004C3135" w:rsidP="004C3135">
      <w:pPr>
        <w:jc w:val="both"/>
        <w:rPr>
          <w:rFonts w:ascii="Times" w:hAnsi="Times"/>
          <w:b/>
          <w:bCs/>
          <w:color w:val="000000" w:themeColor="text1"/>
        </w:rPr>
      </w:pPr>
    </w:p>
    <w:p w14:paraId="7EB105E3" w14:textId="77777777" w:rsidR="004C3135" w:rsidRDefault="004C3135" w:rsidP="004C3135">
      <w:pPr>
        <w:spacing w:line="360" w:lineRule="auto"/>
        <w:jc w:val="both"/>
        <w:rPr>
          <w:rFonts w:ascii="Times" w:hAnsi="Times"/>
          <w:b/>
          <w:bCs/>
          <w:color w:val="000000" w:themeColor="text1"/>
          <w:sz w:val="32"/>
          <w:szCs w:val="32"/>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5AC026F3"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8A32108" w14:textId="77777777" w:rsidR="004C3135" w:rsidRPr="00791E5A" w:rsidRDefault="004C3135" w:rsidP="004C3135">
      <w:pPr>
        <w:spacing w:line="360" w:lineRule="auto"/>
        <w:jc w:val="both"/>
        <w:rPr>
          <w:rFonts w:ascii="Times" w:hAnsi="Times"/>
          <w:color w:val="000000" w:themeColor="text1"/>
          <w:lang w:eastAsia="ko-KR"/>
        </w:rPr>
      </w:pPr>
    </w:p>
    <w:p w14:paraId="4536E0D6"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Pr>
          <w:rFonts w:ascii="Times" w:hAnsi="Times"/>
          <w:color w:val="000000" w:themeColor="text1"/>
        </w:rPr>
        <w:t>2</w:t>
      </w:r>
      <w:r w:rsidRPr="00791E5A">
        <w:rPr>
          <w:rFonts w:ascii="Times" w:hAnsi="Times"/>
          <w:color w:val="000000" w:themeColor="text1"/>
        </w:rPr>
        <w:t>.</w:t>
      </w:r>
    </w:p>
    <w:p w14:paraId="655C3CAB" w14:textId="77777777" w:rsidR="004C3135" w:rsidRPr="00791E5A" w:rsidRDefault="004C3135" w:rsidP="004C3135">
      <w:pPr>
        <w:spacing w:line="360" w:lineRule="auto"/>
        <w:jc w:val="both"/>
        <w:rPr>
          <w:rFonts w:ascii="Times" w:hAnsi="Times"/>
          <w:color w:val="000000" w:themeColor="text1"/>
        </w:rPr>
      </w:pPr>
    </w:p>
    <w:p w14:paraId="1E905E8A" w14:textId="77777777" w:rsidR="004C3135" w:rsidRDefault="004C3135" w:rsidP="004C3135">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w:t>
      </w:r>
      <w:r>
        <w:rPr>
          <w:rFonts w:ascii="Times" w:hAnsi="Times"/>
          <w:color w:val="000000" w:themeColor="text1"/>
        </w:rPr>
        <w:t xml:space="preserve">drug </w:t>
      </w:r>
      <w:r w:rsidRPr="00791E5A">
        <w:rPr>
          <w:rFonts w:ascii="Times" w:hAnsi="Times"/>
          <w:color w:val="000000" w:themeColor="text1"/>
        </w:rPr>
        <w:t>policies on public health outcomes matters in policy</w:t>
      </w:r>
      <w:r>
        <w:rPr>
          <w:rFonts w:ascii="Times" w:hAnsi="Times"/>
          <w:color w:val="000000" w:themeColor="text1"/>
        </w:rPr>
        <w:t xml:space="preserve"> research</w:t>
      </w:r>
      <w:r w:rsidRPr="00791E5A">
        <w:rPr>
          <w:rFonts w:ascii="Times" w:hAnsi="Times"/>
          <w:color w:val="000000" w:themeColor="text1"/>
        </w:rPr>
        <w:t xml:space="preserve">. It is because their geographic and temporal variation in policy adoption can offer an insight into better understanding about the </w:t>
      </w:r>
      <w:r>
        <w:rPr>
          <w:rFonts w:ascii="Times" w:hAnsi="Times"/>
          <w:color w:val="000000" w:themeColor="text1"/>
        </w:rPr>
        <w:t xml:space="preserve">drug </w:t>
      </w:r>
      <w:r w:rsidRPr="00791E5A">
        <w:rPr>
          <w:rFonts w:ascii="Times" w:hAnsi="Times"/>
          <w:color w:val="000000" w:themeColor="text1"/>
        </w:rPr>
        <w:t xml:space="preserve">policy effects. </w:t>
      </w:r>
      <w:r>
        <w:rPr>
          <w:rFonts w:ascii="Times" w:hAnsi="Times"/>
          <w:color w:val="000000" w:themeColor="text1"/>
        </w:rPr>
        <w:t>Moreover, while the intent of these regulations is meant to reduce opioid abuse, they can increase the ability of addicts to access opioids legally and may have unexpected effects.</w:t>
      </w:r>
    </w:p>
    <w:p w14:paraId="2387959F" w14:textId="77777777" w:rsidR="004C3135" w:rsidRDefault="004C3135" w:rsidP="004C3135">
      <w:pPr>
        <w:spacing w:line="360" w:lineRule="auto"/>
        <w:jc w:val="both"/>
        <w:rPr>
          <w:rFonts w:ascii="Times" w:hAnsi="Times"/>
          <w:color w:val="000000" w:themeColor="text1"/>
        </w:rPr>
      </w:pPr>
    </w:p>
    <w:p w14:paraId="2383C529"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Therefore, this analysis aims to assess causal effects of </w:t>
      </w:r>
      <w:r w:rsidRPr="00791E5A">
        <w:rPr>
          <w:rFonts w:ascii="Times" w:hAnsi="Times"/>
          <w:color w:val="000000" w:themeColor="text1"/>
        </w:rPr>
        <w:t>opioid drug prescription regulations enforced in three states (Texas, Florida, Washington)</w:t>
      </w:r>
      <w:r>
        <w:rPr>
          <w:rFonts w:ascii="Times" w:hAnsi="Times"/>
          <w:color w:val="000000" w:themeColor="text1"/>
        </w:rPr>
        <w:t xml:space="preserve"> in the early 2000’s (2007, 2010, and 2012 respectively), on the US society, and </w:t>
      </w:r>
      <w:proofErr w:type="gramStart"/>
      <w:r>
        <w:rPr>
          <w:rFonts w:ascii="Times" w:hAnsi="Times"/>
          <w:color w:val="000000" w:themeColor="text1"/>
        </w:rPr>
        <w:t>in particular on</w:t>
      </w:r>
      <w:proofErr w:type="gramEnd"/>
      <w:r>
        <w:rPr>
          <w:rFonts w:ascii="Times" w:hAnsi="Times"/>
          <w:color w:val="000000" w:themeColor="text1"/>
        </w:rPr>
        <w:t xml:space="preserve"> </w:t>
      </w:r>
      <w:r w:rsidRPr="00791E5A">
        <w:rPr>
          <w:rFonts w:ascii="Times" w:hAnsi="Times"/>
          <w:color w:val="000000" w:themeColor="text1"/>
        </w:rPr>
        <w:t>the volume of opioids shipment and drug overdose deaths.</w:t>
      </w:r>
    </w:p>
    <w:p w14:paraId="112F8BEA"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8175790"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62871B0F" w14:textId="77777777" w:rsidR="004C3135" w:rsidRDefault="004C3135" w:rsidP="004C3135">
      <w:pPr>
        <w:spacing w:line="360" w:lineRule="auto"/>
        <w:jc w:val="both"/>
        <w:rPr>
          <w:rFonts w:ascii="Times" w:hAnsi="Times"/>
          <w:color w:val="000000" w:themeColor="text1"/>
        </w:rPr>
      </w:pP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6E72635C" w14:textId="77777777" w:rsidR="004C3135" w:rsidRPr="00792FB1"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355AC1D3" w14:textId="77777777" w:rsidR="004C3135" w:rsidRDefault="004C3135" w:rsidP="004C3135">
      <w:pPr>
        <w:spacing w:line="360" w:lineRule="auto"/>
        <w:jc w:val="both"/>
        <w:rPr>
          <w:rFonts w:ascii="Times" w:hAnsi="Times"/>
          <w:color w:val="000000" w:themeColor="text1"/>
        </w:rPr>
      </w:pPr>
    </w:p>
    <w:p w14:paraId="75CA89CD"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044B7740" w14:textId="77777777" w:rsidR="004C3135" w:rsidRDefault="004C3135" w:rsidP="004C3135">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will be used to examine the effectiveness of opioid control policies implemented in Texas, Florida, and Washington.</w:t>
      </w:r>
    </w:p>
    <w:p w14:paraId="5E2A82A7" w14:textId="77777777" w:rsidR="004C3135" w:rsidRPr="00A53FC4" w:rsidRDefault="004C3135" w:rsidP="004C3135">
      <w:pPr>
        <w:spacing w:line="360" w:lineRule="auto"/>
        <w:jc w:val="both"/>
        <w:rPr>
          <w:rFonts w:ascii="Times" w:hAnsi="Times"/>
          <w:color w:val="000000" w:themeColor="text1"/>
        </w:rPr>
      </w:pPr>
    </w:p>
    <w:p w14:paraId="1FE3278C" w14:textId="77777777" w:rsidR="004C3135" w:rsidRPr="005B40ED"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The</w:t>
      </w:r>
      <w:r w:rsidRPr="005B40ED">
        <w:rPr>
          <w:rFonts w:ascii="Times" w:hAnsi="Times"/>
          <w:color w:val="000000" w:themeColor="text1"/>
        </w:rPr>
        <w:t xml:space="preserve"> Washington Post dataset offers county-level information about drug transactions from 2006 to 2014 that are sourced by the Drug Enforcement Administration's database which tracks </w:t>
      </w:r>
      <w:r>
        <w:rPr>
          <w:rFonts w:ascii="Times" w:hAnsi="Times"/>
          <w:color w:val="000000" w:themeColor="text1"/>
        </w:rPr>
        <w:t>quantities of drugs sold from pharmaceutical suppliers to pharmacies. This dataset contains information for the supplier, pharmacy information, and sales information, including the drug, quantity, and transaction date.</w:t>
      </w:r>
    </w:p>
    <w:p w14:paraId="6870E865"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w:t>
      </w:r>
      <w:r>
        <w:rPr>
          <w:rFonts w:ascii="Times" w:hAnsi="Times"/>
          <w:color w:val="000000" w:themeColor="text1"/>
        </w:rPr>
        <w:t>The</w:t>
      </w:r>
      <w:r w:rsidRPr="005B40ED">
        <w:rPr>
          <w:rFonts w:ascii="Times" w:hAnsi="Times"/>
          <w:color w:val="000000" w:themeColor="text1"/>
        </w:rPr>
        <w:t xml:space="preserve"> US Vital Statistics</w:t>
      </w:r>
      <w:r>
        <w:rPr>
          <w:rFonts w:ascii="Times" w:hAnsi="Times"/>
          <w:color w:val="000000" w:themeColor="text1"/>
        </w:rPr>
        <w:t xml:space="preserve"> dataset </w:t>
      </w:r>
      <w:r w:rsidRPr="005B40ED">
        <w:rPr>
          <w:rFonts w:ascii="Times" w:hAnsi="Times"/>
          <w:color w:val="000000" w:themeColor="text1"/>
        </w:rPr>
        <w:t>contains data on every drug overdose death in the US from 2003 to 2015</w:t>
      </w:r>
      <w:r>
        <w:rPr>
          <w:rFonts w:ascii="Times" w:hAnsi="Times"/>
          <w:color w:val="000000" w:themeColor="text1"/>
        </w:rPr>
        <w:t>. This dataset includes quantities of deaths in each year, broken down by each county, and includes the cause of death as qualified by drug or alcohol induced.</w:t>
      </w:r>
    </w:p>
    <w:p w14:paraId="4E904FEB"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lastRenderedPageBreak/>
        <w:t xml:space="preserve">US </w:t>
      </w:r>
      <w:r>
        <w:rPr>
          <w:rFonts w:ascii="Times" w:hAnsi="Times"/>
          <w:color w:val="000000" w:themeColor="text1"/>
        </w:rPr>
        <w:t xml:space="preserve">Census </w:t>
      </w:r>
      <w:r w:rsidRPr="005B40ED">
        <w:rPr>
          <w:rFonts w:ascii="Times" w:hAnsi="Times"/>
          <w:color w:val="000000" w:themeColor="text1"/>
        </w:rPr>
        <w:t xml:space="preserve">Population Data: </w:t>
      </w:r>
      <w:r>
        <w:rPr>
          <w:rFonts w:ascii="Times" w:hAnsi="Times"/>
          <w:color w:val="000000" w:themeColor="text1"/>
        </w:rPr>
        <w:t>The US Census dataset</w:t>
      </w:r>
      <w:r w:rsidRPr="005B40ED">
        <w:rPr>
          <w:rFonts w:ascii="Times" w:hAnsi="Times"/>
          <w:color w:val="000000" w:themeColor="text1"/>
        </w:rPr>
        <w:t xml:space="preserve"> has population estimates </w:t>
      </w:r>
      <w:r>
        <w:rPr>
          <w:rFonts w:ascii="Times" w:hAnsi="Times"/>
          <w:color w:val="000000" w:themeColor="text1"/>
        </w:rPr>
        <w:t xml:space="preserve">for each county in the US </w:t>
      </w:r>
      <w:r w:rsidRPr="005B40ED">
        <w:rPr>
          <w:rFonts w:ascii="Times" w:hAnsi="Times"/>
          <w:color w:val="000000" w:themeColor="text1"/>
        </w:rPr>
        <w:t>from 2000 to 2020.</w:t>
      </w:r>
      <w:r>
        <w:rPr>
          <w:rFonts w:ascii="Times" w:hAnsi="Times"/>
          <w:color w:val="000000" w:themeColor="text1"/>
        </w:rPr>
        <w:t xml:space="preserve"> The dataset contains jurisdictional FIPS code information, population estimates for each year, population change estimates (including births and deaths), along with </w:t>
      </w:r>
      <w:proofErr w:type="gramStart"/>
      <w:r>
        <w:rPr>
          <w:rFonts w:ascii="Times" w:hAnsi="Times"/>
          <w:color w:val="000000" w:themeColor="text1"/>
        </w:rPr>
        <w:t>a number of</w:t>
      </w:r>
      <w:proofErr w:type="gramEnd"/>
      <w:r>
        <w:rPr>
          <w:rFonts w:ascii="Times" w:hAnsi="Times"/>
          <w:color w:val="000000" w:themeColor="text1"/>
        </w:rPr>
        <w:t xml:space="preserve"> other estimates.</w:t>
      </w:r>
    </w:p>
    <w:p w14:paraId="1156D36C" w14:textId="77777777" w:rsidR="004C3135" w:rsidRDefault="004C3135" w:rsidP="004C3135">
      <w:pPr>
        <w:spacing w:line="360" w:lineRule="auto"/>
        <w:jc w:val="both"/>
        <w:rPr>
          <w:rFonts w:ascii="Times" w:hAnsi="Times"/>
          <w:color w:val="000000" w:themeColor="text1"/>
        </w:rPr>
      </w:pPr>
    </w:p>
    <w:p w14:paraId="4AF9A309" w14:textId="77777777" w:rsidR="004C3135" w:rsidRPr="00525F43"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65F07113" w14:textId="77777777" w:rsidR="004C3135" w:rsidRPr="007F05C8" w:rsidRDefault="004C3135" w:rsidP="004C3135">
      <w:pPr>
        <w:jc w:val="both"/>
        <w:rPr>
          <w:rFonts w:ascii="Times" w:hAnsi="Times"/>
          <w:color w:val="000000" w:themeColor="text1"/>
        </w:rPr>
      </w:pPr>
    </w:p>
    <w:p w14:paraId="542ED9D1" w14:textId="77777777" w:rsidR="004C3135" w:rsidRPr="00B61A15" w:rsidRDefault="004C3135" w:rsidP="004C3135">
      <w:pPr>
        <w:spacing w:line="360" w:lineRule="auto"/>
        <w:jc w:val="both"/>
        <w:rPr>
          <w:rFonts w:ascii="Times" w:hAnsi="Times"/>
          <w:color w:val="000000" w:themeColor="text1"/>
        </w:rPr>
      </w:pPr>
      <w:r>
        <w:rPr>
          <w:rFonts w:ascii="Times" w:eastAsia="Times New Roman" w:hAnsi="Times" w:cs="Arial"/>
          <w:color w:val="000000" w:themeColor="text1"/>
        </w:rPr>
        <w:t xml:space="preserve">For the analysis, the annual percent change of per capita opioid quantities sold and annual percent change in overdose deaths will be calculated for each year in the 2003-2015 period, and for each jurisdiction (Florida, Washington, Texas, and their comparison states where no policy was implemented). To calculate the final variables, a set of necessary data will be selected from the datasets and aggregated annually. Specifically, the values which will be collected from the Washington Post dataset are buyer state, buyer county, quantity of drug purchased, drug, transaction data, quantity weight, and dosage. This data will be filtered for drugs that are considered opioids and aggregated over the county and year to calculate the total annual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purchased from pharmaceutical suppliers in each county. Similarly, the values selected from the US Vital Statistics dataset are county, year, cause of death, and number of deaths. This data will be filtered for cause of deaths that are considered opioid overdoses and aggregated over the county and year to calculate the total number of opioid overdose deaths annually in each county. Finally, the values selected from the US Census dataset are county and population estimate for each year over the </w:t>
      </w:r>
      <w:proofErr w:type="gramStart"/>
      <w:r>
        <w:rPr>
          <w:rFonts w:ascii="Times" w:eastAsia="Times New Roman" w:hAnsi="Times" w:cs="Arial"/>
          <w:color w:val="000000" w:themeColor="text1"/>
        </w:rPr>
        <w:t>time period</w:t>
      </w:r>
      <w:proofErr w:type="gramEnd"/>
      <w:r>
        <w:rPr>
          <w:rFonts w:ascii="Times" w:eastAsia="Times New Roman" w:hAnsi="Times" w:cs="Arial"/>
          <w:color w:val="000000" w:themeColor="text1"/>
        </w:rPr>
        <w:t xml:space="preserve"> analyzed. With the aggregated data from the other two datasets, county and population estimate data will be used to calculate annual per capita opioids purchased in each jurisdiction and annual per capita opioid overdoses in each jurisdiction. </w:t>
      </w:r>
      <w:r>
        <w:rPr>
          <w:rFonts w:ascii="Times" w:hAnsi="Times"/>
          <w:color w:val="000000" w:themeColor="text1"/>
        </w:rPr>
        <w:t>The FIPS codes will especially serve as a key variable in merging datasets by the unit of county.</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53090F3A" w14:textId="77777777" w:rsidR="004C3135" w:rsidRPr="00860C6E" w:rsidRDefault="004C3135" w:rsidP="004C3135">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As a control group of this causal inference research, three states have been chosen for each state with an opioid regulation policy change. Since the main assumption behind causal inference is randomization which makes treatment and control groups comparable before the policy action takes place, the three comparison states need to be selected based on their similarity to the treated state. For a benchmark of the similarity, both population size and opioid dispensing rate are taken </w:t>
      </w:r>
      <w:r>
        <w:rPr>
          <w:rFonts w:ascii="Times" w:eastAsia="Times New Roman" w:hAnsi="Times" w:cs="Arial"/>
          <w:color w:val="000000" w:themeColor="text1"/>
          <w:lang w:eastAsia="ko-KR"/>
        </w:rPr>
        <w:lastRenderedPageBreak/>
        <w:t>into consideration in the analysis. The source of the population size is the recent projection about this year’s population provided by World Population Review [3], and the source of the opioid dispensing rate is each state’s opioid dispensing rate per 100 persons in the year of 2020 provided by Centers for Disease Control and Prevention [4]. As shown in Table 1, three states which have the least difference with each treated state are sorted given the two criteria. Based on this result, Florida’s comparison states will be Pennsylvania, Ohio, and Georgia. Texas will have Illinois, New York, and Virginia as its control states, and Washington will be compared with Arizona, Maryland, and Wisconsin throughout the analysis.</w:t>
      </w:r>
    </w:p>
    <w:p w14:paraId="1D99F36C" w14:textId="77777777" w:rsidR="004C3135" w:rsidRDefault="004C3135" w:rsidP="004C3135">
      <w:pPr>
        <w:shd w:val="clear" w:color="auto" w:fill="FFFFFF"/>
        <w:spacing w:line="360" w:lineRule="auto"/>
        <w:jc w:val="both"/>
        <w:rPr>
          <w:rFonts w:ascii="Times" w:eastAsia="Times New Roman" w:hAnsi="Times" w:cs="Arial"/>
          <w:color w:val="000000" w:themeColor="text1"/>
          <w:lang w:eastAsia="ko-KR"/>
        </w:rPr>
      </w:pP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7372D224" w14:textId="77777777" w:rsidR="004C3135" w:rsidRPr="004F4D97" w:rsidRDefault="004C3135" w:rsidP="004C3135">
      <w:pPr>
        <w:shd w:val="clear" w:color="auto" w:fill="FFFFFF"/>
        <w:spacing w:line="360" w:lineRule="auto"/>
        <w:jc w:val="both"/>
        <w:rPr>
          <w:rFonts w:ascii="Batang" w:eastAsia="Batang" w:hAnsi="Batang" w:cs="Batang"/>
          <w:color w:val="000000" w:themeColor="text1"/>
          <w:lang w:eastAsia="ko-KR"/>
        </w:rPr>
      </w:pPr>
    </w:p>
    <w:p w14:paraId="16F4955C" w14:textId="77777777" w:rsidR="004C3135" w:rsidRDefault="004C3135" w:rsidP="004C3135">
      <w:pPr>
        <w:spacing w:line="360" w:lineRule="auto"/>
        <w:jc w:val="both"/>
        <w:rPr>
          <w:rFonts w:ascii="Times" w:hAnsi="Times"/>
          <w:color w:val="000000" w:themeColor="text1"/>
        </w:rPr>
      </w:pPr>
    </w:p>
    <w:p w14:paraId="40129BA6" w14:textId="77777777" w:rsidR="004C3135" w:rsidRPr="0038357B" w:rsidRDefault="004C3135" w:rsidP="004C3135">
      <w:pPr>
        <w:spacing w:line="360" w:lineRule="auto"/>
        <w:jc w:val="both"/>
        <w:rPr>
          <w:rFonts w:ascii="Times" w:hAnsi="Times"/>
          <w:b/>
          <w:bCs/>
          <w:color w:val="FF0000"/>
          <w:sz w:val="32"/>
          <w:szCs w:val="32"/>
        </w:rPr>
      </w:pPr>
      <w:r w:rsidRPr="0038357B">
        <w:rPr>
          <w:rFonts w:ascii="Times" w:hAnsi="Times"/>
          <w:b/>
          <w:bCs/>
          <w:color w:val="FF0000"/>
          <w:sz w:val="32"/>
          <w:szCs w:val="32"/>
        </w:rPr>
        <w:t>Summary Statistics (to be added)</w:t>
      </w:r>
    </w:p>
    <w:p w14:paraId="24EA161C"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Table 2 presents summary statistics of yearly per capita…</w:t>
      </w:r>
    </w:p>
    <w:p w14:paraId="435EEBBD" w14:textId="77777777" w:rsidR="004C3135" w:rsidRDefault="004C3135" w:rsidP="004C3135">
      <w:pPr>
        <w:spacing w:line="360" w:lineRule="auto"/>
        <w:jc w:val="both"/>
        <w:rPr>
          <w:rFonts w:ascii="Times" w:hAnsi="Times"/>
          <w:color w:val="000000" w:themeColor="text1"/>
        </w:rPr>
      </w:pPr>
    </w:p>
    <w:p w14:paraId="2B869B03" w14:textId="77777777" w:rsidR="004C3135" w:rsidRDefault="004C3135" w:rsidP="004C3135">
      <w:pPr>
        <w:jc w:val="both"/>
        <w:rPr>
          <w:rFonts w:ascii="Times" w:hAnsi="Times"/>
          <w:b/>
          <w:bCs/>
          <w:color w:val="000000" w:themeColor="text1"/>
          <w:sz w:val="32"/>
          <w:szCs w:val="32"/>
        </w:rPr>
      </w:pPr>
    </w:p>
    <w:p w14:paraId="65F58466" w14:textId="77777777" w:rsidR="004C3135" w:rsidRPr="001F1348" w:rsidRDefault="004C3135" w:rsidP="004C3135">
      <w:pPr>
        <w:jc w:val="both"/>
        <w:rPr>
          <w:rFonts w:ascii="Times" w:hAnsi="Times"/>
          <w:b/>
          <w:bCs/>
          <w:color w:val="000000" w:themeColor="text1"/>
          <w:sz w:val="32"/>
          <w:szCs w:val="32"/>
        </w:rPr>
      </w:pPr>
      <w:r w:rsidRPr="001F1348">
        <w:rPr>
          <w:rFonts w:ascii="Times" w:hAnsi="Times"/>
          <w:b/>
          <w:bCs/>
          <w:color w:val="000000" w:themeColor="text1"/>
          <w:sz w:val="32"/>
          <w:szCs w:val="32"/>
        </w:rPr>
        <w:t xml:space="preserve">Pre-post and Difference-in-difference </w:t>
      </w: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71FECF12" w14:textId="77777777" w:rsidR="004C3135"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575AD794"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530D3449"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 (to be added)</w:t>
      </w:r>
    </w:p>
    <w:p w14:paraId="3C9BC776"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3F3FC5C5"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0C92F07C"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7C207752"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048E806D"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69E17DFB"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13662F7" w14:textId="7BA7CA0E"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6E7F5998"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9D2171" w14:textId="77777777"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73406322">
            <wp:simplePos x="0" y="0"/>
            <wp:positionH relativeFrom="column">
              <wp:posOffset>2968625</wp:posOffset>
            </wp:positionH>
            <wp:positionV relativeFrom="paragraph">
              <wp:posOffset>283541</wp:posOffset>
            </wp:positionV>
            <wp:extent cx="3664585" cy="2653665"/>
            <wp:effectExtent l="0" t="0" r="5715"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w:t>
      </w:r>
      <w:r w:rsidRPr="007F05C8">
        <w:rPr>
          <w:rFonts w:ascii="Times" w:eastAsia="Times New Roman" w:hAnsi="Times" w:cs="Arial"/>
          <w:color w:val="000000" w:themeColor="text1"/>
        </w:rPr>
        <w:lastRenderedPageBreak/>
        <w:t>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w:t>
      </w:r>
      <w:r w:rsidRPr="007F05C8">
        <w:rPr>
          <w:rFonts w:ascii="Times" w:eastAsia="Times New Roman" w:hAnsi="Times" w:cs="Arial"/>
          <w:color w:val="000000" w:themeColor="text1"/>
        </w:rPr>
        <w:lastRenderedPageBreak/>
        <w:t>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w:t>
      </w:r>
      <w:r w:rsidRPr="007F05C8">
        <w:rPr>
          <w:rFonts w:ascii="Times" w:eastAsia="Times New Roman" w:hAnsi="Times" w:cs="Arial"/>
          <w:color w:val="000000" w:themeColor="text1"/>
        </w:rPr>
        <w:lastRenderedPageBreak/>
        <w:t>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7777777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Interpretation of the Analysis (to be added)</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B250543"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p>
    <w:p w14:paraId="7647A285" w14:textId="77777777" w:rsidR="004C3135" w:rsidRPr="007F05C8" w:rsidRDefault="004C3135" w:rsidP="004C3135">
      <w:pPr>
        <w:pStyle w:val="BodyText"/>
        <w:spacing w:line="304" w:lineRule="auto"/>
        <w:ind w:right="131"/>
        <w:jc w:val="both"/>
        <w:rPr>
          <w:rFonts w:ascii="Times" w:hAnsi="Times"/>
          <w:color w:val="161616"/>
          <w:w w:val="110"/>
          <w:sz w:val="24"/>
          <w:szCs w:val="24"/>
        </w:rPr>
      </w:pPr>
    </w:p>
    <w:p w14:paraId="3532B796" w14:textId="77777777" w:rsidR="004C3135" w:rsidRPr="007F05C8" w:rsidRDefault="004C3135" w:rsidP="004C3135">
      <w:pPr>
        <w:pStyle w:val="BodyText"/>
        <w:spacing w:line="304" w:lineRule="auto"/>
        <w:ind w:left="115" w:right="131" w:firstLine="724"/>
        <w:jc w:val="both"/>
        <w:rPr>
          <w:rFonts w:ascii="Times" w:hAnsi="Times"/>
          <w:color w:val="161616"/>
          <w:w w:val="110"/>
          <w:sz w:val="24"/>
          <w:szCs w:val="24"/>
        </w:rPr>
      </w:pPr>
    </w:p>
    <w:p w14:paraId="75B9C54A" w14:textId="77777777" w:rsidR="004C3135" w:rsidRPr="007F05C8" w:rsidRDefault="004C3135" w:rsidP="004C3135">
      <w:pPr>
        <w:shd w:val="clear" w:color="auto" w:fill="FFFFFF"/>
        <w:jc w:val="both"/>
        <w:rPr>
          <w:rFonts w:ascii="Times" w:eastAsia="Times New Roman" w:hAnsi="Times" w:cs="Arial"/>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463EA85" w14:textId="77777777" w:rsidR="004C3135" w:rsidRPr="007F05C8" w:rsidRDefault="004C3135" w:rsidP="004C3135">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due to some reasons. Many </w:t>
      </w:r>
      <w:r w:rsidRPr="003D3906">
        <w:rPr>
          <w:rFonts w:ascii="Times" w:eastAsia="Times New Roman" w:hAnsi="Times" w:cs="Arial"/>
          <w:color w:val="000000" w:themeColor="text1"/>
        </w:rPr>
        <w:t>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Therefore, it will be unreasonable to put too much emphasis on specific timepoints, namely the year of 2007 (Texas), 2010 (Florida), 2011 (Washington). </w:t>
      </w:r>
      <w:r>
        <w:rPr>
          <w:rFonts w:ascii="Times" w:eastAsia="Times New Roman" w:hAnsi="Times" w:cs="Arial"/>
          <w:color w:val="000000" w:themeColor="text1"/>
        </w:rPr>
        <w:t>Besides</w:t>
      </w:r>
      <w:r w:rsidRPr="003D3906">
        <w:rPr>
          <w:rFonts w:ascii="Times" w:eastAsia="Times New Roman" w:hAnsi="Times" w:cs="Arial"/>
          <w:color w:val="000000" w:themeColor="text1"/>
        </w:rPr>
        <w:t xml:space="preserve">, it is almost impossible to identify perfect comparison states which were not impacted by the policy of interest at all. These factors serve to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5828B746" w14:textId="77777777" w:rsidR="004C3135" w:rsidRDefault="004C3135" w:rsidP="004C3135">
      <w:pPr>
        <w:shd w:val="clear" w:color="auto" w:fill="FFFFFF"/>
        <w:jc w:val="both"/>
        <w:rPr>
          <w:rFonts w:ascii="Times" w:eastAsia="Times New Roman" w:hAnsi="Times" w:cs="Arial"/>
          <w:color w:val="000000" w:themeColor="text1"/>
        </w:rPr>
      </w:pPr>
    </w:p>
    <w:p w14:paraId="2D0BD2CB" w14:textId="77777777" w:rsidR="004C3135" w:rsidRDefault="004C3135" w:rsidP="004C3135">
      <w:pPr>
        <w:shd w:val="clear" w:color="auto" w:fill="FFFFFF"/>
        <w:jc w:val="both"/>
        <w:rPr>
          <w:rFonts w:ascii="Times" w:eastAsia="Times New Roman" w:hAnsi="Times" w:cs="Arial"/>
          <w:color w:val="000000" w:themeColor="text1"/>
        </w:rPr>
      </w:pPr>
    </w:p>
    <w:p w14:paraId="39A291D5" w14:textId="77777777" w:rsidR="004C3135" w:rsidRDefault="004C3135" w:rsidP="004C3135">
      <w:pPr>
        <w:shd w:val="clear" w:color="auto" w:fill="FFFFFF"/>
        <w:jc w:val="both"/>
        <w:rPr>
          <w:rFonts w:ascii="Times" w:eastAsia="Times New Roman" w:hAnsi="Times" w:cs="Arial"/>
          <w:b/>
          <w:bCs/>
          <w:color w:val="FF0000"/>
          <w:sz w:val="32"/>
          <w:szCs w:val="32"/>
        </w:rPr>
      </w:pPr>
    </w:p>
    <w:p w14:paraId="2CC17B49" w14:textId="77777777" w:rsidR="004C3135" w:rsidRDefault="004C3135" w:rsidP="004C3135">
      <w:pPr>
        <w:shd w:val="clear" w:color="auto" w:fill="FFFFFF"/>
        <w:jc w:val="both"/>
        <w:rPr>
          <w:rFonts w:ascii="Times" w:eastAsia="Times New Roman" w:hAnsi="Times" w:cs="Arial"/>
          <w:b/>
          <w:bCs/>
          <w:color w:val="FF0000"/>
          <w:sz w:val="32"/>
          <w:szCs w:val="32"/>
        </w:rPr>
      </w:pP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77777777" w:rsidR="004C3135" w:rsidRPr="003D3906"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 (to be added)</w:t>
      </w:r>
    </w:p>
    <w:p w14:paraId="2A6A1F3B" w14:textId="77777777" w:rsidR="004C3135" w:rsidRDefault="004C3135" w:rsidP="004C3135">
      <w:pPr>
        <w:shd w:val="clear" w:color="auto" w:fill="FFFFFF"/>
        <w:jc w:val="both"/>
        <w:rPr>
          <w:rFonts w:ascii="Times" w:eastAsia="Times New Roman" w:hAnsi="Times" w:cs="Arial"/>
          <w:b/>
          <w:bCs/>
          <w:color w:val="000000" w:themeColor="text1"/>
          <w:sz w:val="32"/>
          <w:szCs w:val="32"/>
        </w:rPr>
      </w:pPr>
    </w:p>
    <w:p w14:paraId="443CE211" w14:textId="77777777" w:rsidR="004C3135" w:rsidRDefault="004C3135" w:rsidP="004C3135">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In this work, our approach of using pre-post comparison and difference-in-difference analysis has been presented to understand the effects of three opioid control policies executed in Florida, Texas, and Washington from a perspective of causal inference.</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1"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2"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41DAB"/>
    <w:rsid w:val="00061D5D"/>
    <w:rsid w:val="0010500E"/>
    <w:rsid w:val="0042380B"/>
    <w:rsid w:val="004C3135"/>
    <w:rsid w:val="007773E0"/>
    <w:rsid w:val="007D0DDD"/>
    <w:rsid w:val="00820830"/>
    <w:rsid w:val="00AE606D"/>
    <w:rsid w:val="00B53592"/>
    <w:rsid w:val="00BD3714"/>
    <w:rsid w:val="00C116FD"/>
    <w:rsid w:val="00CD5E99"/>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cdc.gov/drugoverdose/rxrate-maps/state2020.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orldpopulationreview.com/states"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2584</Words>
  <Characters>14730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9</cp:revision>
  <dcterms:created xsi:type="dcterms:W3CDTF">2022-11-27T04:45:00Z</dcterms:created>
  <dcterms:modified xsi:type="dcterms:W3CDTF">2022-11-27T20:34:00Z</dcterms:modified>
</cp:coreProperties>
</file>