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5B40ED" w:rsidRDefault="004C3135" w:rsidP="004C3135">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In addition to these efforts at the federal level, there has been enforcement of state-level opioid control policies in various parts of the US. For instance, the Texas Medical Board adopted regulations with regards to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Pr>
          <w:rFonts w:ascii="Times" w:hAnsi="Times"/>
          <w:color w:val="000000" w:themeColor="text1"/>
        </w:rPr>
        <w:t xml:space="preserve">who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 and the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77777777"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allows policy makers to implement best practices and update policies that are ineffective</w:t>
      </w:r>
      <w:r w:rsidRPr="00791E5A">
        <w:rPr>
          <w:rFonts w:ascii="Times" w:hAnsi="Times"/>
          <w:color w:val="000000" w:themeColor="text1"/>
        </w:rPr>
        <w:t xml:space="preserve">. </w:t>
      </w:r>
      <w:r>
        <w:rPr>
          <w:rFonts w:ascii="Times" w:hAnsi="Times"/>
          <w:color w:val="000000" w:themeColor="text1"/>
        </w:rPr>
        <w:t xml:space="preserve"> In particular, the intent of these regulations is to reduce opioid abuse; however, they have the possibility for unintended effects by limiting legal access of drugs to addicts.</w:t>
      </w:r>
    </w:p>
    <w:p w14:paraId="28043D23" w14:textId="77777777" w:rsidR="00506649" w:rsidRDefault="00506649" w:rsidP="00506649">
      <w:pPr>
        <w:spacing w:line="360" w:lineRule="auto"/>
        <w:jc w:val="both"/>
        <w:rPr>
          <w:rFonts w:ascii="Times" w:hAnsi="Times"/>
          <w:color w:val="000000" w:themeColor="text1"/>
        </w:rPr>
      </w:pPr>
    </w:p>
    <w:p w14:paraId="45AA39E9" w14:textId="4BF58D0D"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in three states (Texas, Florida, Washington)</w:t>
      </w:r>
      <w:r>
        <w:rPr>
          <w:rFonts w:ascii="Times" w:hAnsi="Times"/>
          <w:color w:val="000000" w:themeColor="text1"/>
        </w:rPr>
        <w:t xml:space="preserve"> in the early 2000’s (2007, 2010, and 2012 respectively).  </w:t>
      </w:r>
      <w:proofErr w:type="gramStart"/>
      <w:r>
        <w:rPr>
          <w:rFonts w:ascii="Times" w:hAnsi="Times"/>
          <w:color w:val="000000" w:themeColor="text1"/>
        </w:rPr>
        <w:t>In particular,</w:t>
      </w:r>
      <w:r w:rsidR="004C4033">
        <w:rPr>
          <w:rFonts w:ascii="Times" w:hAnsi="Times"/>
          <w:color w:val="000000" w:themeColor="text1"/>
        </w:rPr>
        <w:t xml:space="preserve"> </w:t>
      </w:r>
      <w:r>
        <w:rPr>
          <w:rFonts w:ascii="Times" w:hAnsi="Times"/>
          <w:color w:val="000000" w:themeColor="text1"/>
        </w:rPr>
        <w:t>this</w:t>
      </w:r>
      <w:proofErr w:type="gramEnd"/>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5C16F9" w:rsidRDefault="005C16F9" w:rsidP="005C16F9">
      <w:pPr>
        <w:spacing w:line="360" w:lineRule="auto"/>
        <w:jc w:val="both"/>
        <w:rPr>
          <w:rFonts w:ascii="Times" w:hAnsi="Times"/>
          <w:color w:val="000000" w:themeColor="text1"/>
          <w:sz w:val="32"/>
          <w:szCs w:val="32"/>
        </w:rPr>
      </w:pPr>
      <w:r w:rsidRPr="005C16F9">
        <w:rPr>
          <w:rFonts w:ascii="Times" w:hAnsi="Times"/>
          <w:color w:val="000000" w:themeColor="text1"/>
          <w:sz w:val="32"/>
          <w:szCs w:val="32"/>
        </w:rPr>
        <w:lastRenderedPageBreak/>
        <w:t>Policies Under Investigation:</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3F740475" w14:textId="06438DC6"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in 2007, the Texas Medical Board adopted regulations with regards</w:t>
      </w:r>
      <w:r w:rsidRPr="008B4BC2">
        <w:rPr>
          <w:rFonts w:ascii="Times" w:hAnsi="Times"/>
          <w:color w:val="000000" w:themeColor="text1"/>
        </w:rPr>
        <w:t xml:space="preserve"> </w:t>
      </w:r>
      <w:r w:rsidRPr="008B4BC2">
        <w:rPr>
          <w:rFonts w:ascii="Times" w:hAnsi="Times"/>
          <w:color w:val="000000" w:themeColor="text1"/>
        </w:rPr>
        <w:t>to treating pain with controlled substances. The guidelines include performing</w:t>
      </w:r>
      <w:r w:rsidRPr="008B4BC2">
        <w:rPr>
          <w:rFonts w:ascii="Times" w:hAnsi="Times"/>
          <w:color w:val="000000" w:themeColor="text1"/>
        </w:rPr>
        <w:t xml:space="preserve"> </w:t>
      </w:r>
      <w:r w:rsidRPr="008B4BC2">
        <w:rPr>
          <w:rFonts w:ascii="Times" w:hAnsi="Times"/>
          <w:color w:val="000000" w:themeColor="text1"/>
        </w:rPr>
        <w:t xml:space="preserve">a patient evaluation before prescribing </w:t>
      </w:r>
      <w:r w:rsidRPr="008B4BC2">
        <w:rPr>
          <w:rFonts w:ascii="Times" w:hAnsi="Times"/>
          <w:color w:val="000000" w:themeColor="text1"/>
        </w:rPr>
        <w:t>opioids obtaining</w:t>
      </w:r>
      <w:r w:rsidRPr="008B4BC2">
        <w:rPr>
          <w:rFonts w:ascii="Times" w:hAnsi="Times"/>
          <w:color w:val="000000" w:themeColor="text1"/>
        </w:rPr>
        <w:t xml:space="preserve"> informed consent from the </w:t>
      </w:r>
      <w:r w:rsidRPr="008B4BC2">
        <w:rPr>
          <w:rFonts w:ascii="Times" w:hAnsi="Times"/>
          <w:color w:val="000000" w:themeColor="text1"/>
        </w:rPr>
        <w:t>patient for</w:t>
      </w:r>
      <w:r w:rsidRPr="008B4BC2">
        <w:rPr>
          <w:rFonts w:ascii="Times" w:hAnsi="Times"/>
          <w:color w:val="000000" w:themeColor="text1"/>
        </w:rPr>
        <w:t xml:space="preserve"> opioid treatment, conduct periodic review of the opioid treatment, and</w:t>
      </w:r>
      <w:r w:rsidRPr="008B4BC2">
        <w:rPr>
          <w:rFonts w:ascii="Times" w:hAnsi="Times"/>
          <w:color w:val="000000" w:themeColor="text1"/>
        </w:rPr>
        <w:t xml:space="preserve"> </w:t>
      </w:r>
      <w:r w:rsidRPr="008B4BC2">
        <w:rPr>
          <w:rFonts w:ascii="Times" w:hAnsi="Times"/>
          <w:color w:val="000000" w:themeColor="text1"/>
        </w:rPr>
        <w:t>maintain a complete medical record of the patient's treatment</w:t>
      </w:r>
    </w:p>
    <w:p w14:paraId="68A2940F" w14:textId="77777777" w:rsidR="00B55C9F" w:rsidRPr="005C16F9" w:rsidRDefault="00B55C9F" w:rsidP="005C16F9">
      <w:pPr>
        <w:spacing w:line="360" w:lineRule="auto"/>
        <w:jc w:val="both"/>
        <w:rPr>
          <w:rFonts w:ascii="Times" w:hAnsi="Times"/>
          <w:color w:val="000000" w:themeColor="text1"/>
        </w:rPr>
      </w:pPr>
    </w:p>
    <w:p w14:paraId="43D52D86" w14:textId="0C510835" w:rsidR="005C16F9" w:rsidRPr="00351B38"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B4BC2">
        <w:rPr>
          <w:rFonts w:ascii="Times" w:hAnsi="Times"/>
          <w:color w:val="000000" w:themeColor="text1"/>
        </w:rPr>
        <w:t xml:space="preserve">. </w:t>
      </w:r>
      <w:r w:rsidRPr="008B4BC2">
        <w:rPr>
          <w:rFonts w:ascii="Times" w:hAnsi="Times"/>
          <w:color w:val="000000" w:themeColor="text1"/>
        </w:rPr>
        <w:t>regarding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11B6F86E" w14:textId="3E3579A1" w:rsidR="00D8364B"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4016E6F4"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To draw valid inference on causal effects of these three policies, two kinds of approaches will be mainly used in the analysis. From an intuitive perspective, the first approach is pre-post comparison which focuses on difference between pre-policy and post-policy outcomes. Thus, this analysis will compare the </w:t>
      </w:r>
      <w:proofErr w:type="gramStart"/>
      <w:r>
        <w:rPr>
          <w:rFonts w:ascii="Times" w:hAnsi="Times"/>
          <w:color w:val="000000" w:themeColor="text1"/>
        </w:rPr>
        <w:t>amount</w:t>
      </w:r>
      <w:proofErr w:type="gramEnd"/>
      <w:r>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Pr="00791E5A">
        <w:rPr>
          <w:rFonts w:ascii="Times" w:hAnsi="Times"/>
          <w:color w:val="000000" w:themeColor="text1"/>
        </w:rPr>
        <w:t xml:space="preserve">The </w:t>
      </w:r>
      <w:r>
        <w:rPr>
          <w:rFonts w:ascii="Times" w:hAnsi="Times"/>
          <w:color w:val="000000" w:themeColor="text1"/>
        </w:rPr>
        <w:t xml:space="preserve">second approach </w:t>
      </w:r>
      <w:r w:rsidRPr="00791E5A">
        <w:rPr>
          <w:rFonts w:ascii="Times" w:hAnsi="Times"/>
          <w:color w:val="000000" w:themeColor="text1"/>
        </w:rPr>
        <w:t>is a difference-in-difference method which compares the changes in outcomes over time between a state with a policy change and other states without the policy change.</w:t>
      </w:r>
      <w:r>
        <w:rPr>
          <w:rFonts w:ascii="Times" w:hAnsi="Times"/>
          <w:color w:val="000000" w:themeColor="text1"/>
        </w:rPr>
        <w:t xml:space="preserve"> Each jurisdiction will be compared to the quantities in comparison states where no policies are in place.</w:t>
      </w: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77777777"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Vital Statistics Mortality Data: The US Underlying Cause of Death statistics includes quantities of deaths in each year, broken down by each county, and includes the cause of death as qualified by drug or alcohol induced.</w:t>
      </w:r>
    </w:p>
    <w:p w14:paraId="514BE937" w14:textId="77777777"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proofErr w:type="gramStart"/>
      <w:r w:rsidRPr="00BA0810">
        <w:rPr>
          <w:rFonts w:ascii="Times" w:hAnsi="Times"/>
          <w:color w:val="000000" w:themeColor="text1"/>
        </w:rPr>
        <w:t>a number of</w:t>
      </w:r>
      <w:proofErr w:type="gramEnd"/>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65F07113" w14:textId="645E2E82" w:rsidR="004C3135" w:rsidRDefault="004C3135" w:rsidP="004C3135">
      <w:pPr>
        <w:jc w:val="both"/>
        <w:rPr>
          <w:rFonts w:ascii="Times" w:hAnsi="Times"/>
          <w:b/>
          <w:bCs/>
          <w:color w:val="000000" w:themeColor="text1"/>
          <w:sz w:val="28"/>
          <w:szCs w:val="28"/>
        </w:rPr>
      </w:pPr>
      <w:r>
        <w:rPr>
          <w:rFonts w:ascii="Times" w:hAnsi="Times"/>
          <w:b/>
          <w:bCs/>
          <w:color w:val="000000" w:themeColor="text1"/>
          <w:sz w:val="28"/>
          <w:szCs w:val="28"/>
        </w:rPr>
        <w:t>Methods</w:t>
      </w:r>
    </w:p>
    <w:p w14:paraId="0C2B1722" w14:textId="77777777" w:rsidR="00D8364B" w:rsidRPr="00D8364B" w:rsidRDefault="00D8364B" w:rsidP="004C3135">
      <w:pPr>
        <w:jc w:val="both"/>
        <w:rPr>
          <w:rFonts w:ascii="Times" w:hAnsi="Times"/>
          <w:b/>
          <w:bCs/>
          <w:color w:val="000000" w:themeColor="text1"/>
          <w:sz w:val="28"/>
          <w:szCs w:val="28"/>
        </w:rPr>
      </w:pPr>
    </w:p>
    <w:p w14:paraId="7F5BEE2E" w14:textId="0767F5BB"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that these policies had on opioid shipments and overdose deaths, a linear regression of average annualized opioid shipments per capita and overdose deaths per capita were calculated and plotted for each impacted jurisdiction.  Two plots were made for each jurisdiction, for each variable analyzed: one which compared the linear trend prior to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5EE9CACF"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Pr>
          <w:rFonts w:ascii="Times" w:eastAsia="Times New Roman" w:hAnsi="Times" w:cs="Arial"/>
          <w:color w:val="000000" w:themeColor="text1"/>
        </w:rPr>
        <w:lastRenderedPageBreak/>
        <w:t>totaled.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prior to policy implementation and after policy implementation, and linear regression trend lines, along with confidence intervals,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77777777"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Similarly, to calculate the linear regressions for average annualized overdose deaths per capita, the mortality data was filtered for deaths that were considered drug induced, and the census data was used to calculate the drug induced deaths per capita for each county.  Then, the drug induced deaths were averaged over all the counties for an average drug induced death rate per capita for each year.  And finally, the data was split into the periods prior to policy implementation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525F43" w:rsidRDefault="004C3135" w:rsidP="004C3135">
      <w:pPr>
        <w:jc w:val="both"/>
        <w:rPr>
          <w:rFonts w:ascii="Times" w:hAnsi="Times"/>
          <w:b/>
          <w:bCs/>
          <w:color w:val="000000" w:themeColor="text1"/>
          <w:sz w:val="28"/>
          <w:szCs w:val="28"/>
        </w:rPr>
      </w:pPr>
      <w:r w:rsidRPr="00525F43">
        <w:rPr>
          <w:rFonts w:ascii="Times" w:hAnsi="Times"/>
          <w:b/>
          <w:bCs/>
          <w:color w:val="000000" w:themeColor="text1"/>
          <w:sz w:val="28"/>
          <w:szCs w:val="28"/>
        </w:rPr>
        <w:t>Comparison States</w:t>
      </w:r>
    </w:p>
    <w:p w14:paraId="6E3A70DF" w14:textId="77777777" w:rsidR="004C3135" w:rsidRPr="007F05C8" w:rsidRDefault="004C3135" w:rsidP="004C3135">
      <w:pPr>
        <w:jc w:val="both"/>
        <w:rPr>
          <w:rFonts w:ascii="Times" w:hAnsi="Times"/>
          <w:color w:val="000000" w:themeColor="text1"/>
        </w:rPr>
      </w:pPr>
    </w:p>
    <w:p w14:paraId="01ECC026" w14:textId="49A700DF" w:rsidR="00506649" w:rsidRDefault="00506649" w:rsidP="00506649">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was compared against the averages of three states for their own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Centers for Disease Control and Prevention [4]. As shown in Table 1, the states which have the most “similarity” with each treated state in question was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26D949DF" w14:textId="78F3C833"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B5444B7" w14:textId="2ADCE172"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76C19865" w14:textId="7C004D8E"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2AC2BF6" w14:textId="77777777" w:rsidR="00B55C9F" w:rsidRPr="00860C6E" w:rsidRDefault="00B55C9F" w:rsidP="00506649">
      <w:pPr>
        <w:shd w:val="clear" w:color="auto" w:fill="FFFFFF"/>
        <w:spacing w:line="360" w:lineRule="auto"/>
        <w:jc w:val="both"/>
        <w:rPr>
          <w:rFonts w:ascii="Batang" w:eastAsia="Batang" w:hAnsi="Batang" w:cs="Batang"/>
          <w:color w:val="000000" w:themeColor="text1"/>
          <w:lang w:eastAsia="ko-KR"/>
        </w:rPr>
      </w:pPr>
    </w:p>
    <w:p w14:paraId="361C376C" w14:textId="60536607" w:rsidR="004C3135" w:rsidRDefault="004C3135" w:rsidP="004C3135">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lastRenderedPageBreak/>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p w14:paraId="7A7E16D9" w14:textId="77777777" w:rsidR="00DF7EC7" w:rsidRPr="002846BC" w:rsidRDefault="00DF7EC7" w:rsidP="004C3135">
      <w:pPr>
        <w:shd w:val="clear" w:color="auto" w:fill="FFFFFF"/>
        <w:jc w:val="center"/>
        <w:rPr>
          <w:rFonts w:ascii="Times" w:eastAsia="Times New Roman" w:hAnsi="Times" w:cs="Arial"/>
          <w:i/>
          <w:iCs/>
          <w:color w:val="000000" w:themeColor="text1"/>
          <w:sz w:val="22"/>
          <w:szCs w:val="22"/>
        </w:rPr>
      </w:pP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532A6FBE" w14:textId="77777777" w:rsidR="00B55C9F" w:rsidRDefault="00B55C9F" w:rsidP="00D8364B">
      <w:pPr>
        <w:spacing w:line="360" w:lineRule="auto"/>
        <w:rPr>
          <w:rFonts w:ascii="Times" w:hAnsi="Times"/>
          <w:b/>
          <w:bCs/>
          <w:sz w:val="28"/>
          <w:szCs w:val="28"/>
        </w:rPr>
      </w:pPr>
    </w:p>
    <w:p w14:paraId="0ABCFE47" w14:textId="121F3B16" w:rsidR="00050AD9" w:rsidRPr="00D8364B" w:rsidRDefault="00050AD9" w:rsidP="00D8364B">
      <w:pPr>
        <w:spacing w:line="360" w:lineRule="auto"/>
        <w:rPr>
          <w:rFonts w:ascii="Times" w:hAnsi="Times"/>
          <w:b/>
          <w:bCs/>
          <w:sz w:val="28"/>
          <w:szCs w:val="28"/>
        </w:rPr>
      </w:pPr>
      <w:r w:rsidRPr="00D8364B">
        <w:rPr>
          <w:rFonts w:ascii="Times" w:hAnsi="Times"/>
          <w:b/>
          <w:bCs/>
          <w:sz w:val="28"/>
          <w:szCs w:val="28"/>
        </w:rPr>
        <w:t>Summary statistics</w:t>
      </w:r>
    </w:p>
    <w:p w14:paraId="0F73AB6F" w14:textId="7374287A" w:rsidR="00050AD9" w:rsidRPr="002159A5" w:rsidRDefault="00D8364B" w:rsidP="00D8364B">
      <w:pPr>
        <w:spacing w:line="360" w:lineRule="auto"/>
        <w:rPr>
          <w:rFonts w:ascii="Times" w:hAnsi="Times"/>
          <w:b/>
          <w:bCs/>
        </w:rPr>
      </w:pPr>
      <w:r w:rsidRPr="002159A5">
        <w:rPr>
          <w:rFonts w:ascii="Times" w:hAnsi="Times"/>
          <w:b/>
          <w:bCs/>
        </w:rPr>
        <w:t xml:space="preserve">Mortality Rate of Opioid Overdose </w:t>
      </w:r>
    </w:p>
    <w:p w14:paraId="4286A092" w14:textId="01487765" w:rsidR="008611E9"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number of fatalities among the counties </w:t>
      </w:r>
      <w:r w:rsidR="00DF0671">
        <w:rPr>
          <w:rFonts w:ascii="Times" w:hAnsi="Times"/>
        </w:rPr>
        <w:t>was</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 of 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rate of </w:t>
      </w:r>
      <w:r w:rsidR="009E7933">
        <w:rPr>
          <w:rFonts w:ascii="Times" w:hAnsi="Times"/>
        </w:rPr>
        <w:t xml:space="preserve">64.82 per 100,000 people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The graph below compares the general trend in death rates between the control states with no policy and the policy-implemented states. Overall, we observe a substantial rise in deathrates for states without policies compared to states with policies.</w:t>
      </w:r>
    </w:p>
    <w:p w14:paraId="611ECB82" w14:textId="026B0F3E" w:rsidR="00B55C9F" w:rsidRDefault="00B55C9F" w:rsidP="00B55C9F">
      <w:pPr>
        <w:rPr>
          <w:rFonts w:ascii="Times" w:hAnsi="Times"/>
          <w:i/>
          <w:iCs/>
        </w:rPr>
      </w:pPr>
      <w:r w:rsidRPr="00D8364B">
        <w:rPr>
          <w:rFonts w:ascii="Times" w:hAnsi="Times"/>
          <w:i/>
          <w:iCs/>
        </w:rPr>
        <w:lastRenderedPageBreak/>
        <w:t>Fig</w:t>
      </w:r>
      <w:r>
        <w:rPr>
          <w:rFonts w:ascii="Times" w:hAnsi="Times"/>
          <w:i/>
          <w:iCs/>
        </w:rPr>
        <w:t>ure</w:t>
      </w:r>
      <w:r w:rsidRPr="00D8364B">
        <w:rPr>
          <w:rFonts w:ascii="Times" w:hAnsi="Times"/>
          <w:i/>
          <w:iCs/>
        </w:rPr>
        <w:t xml:space="preserve"> </w:t>
      </w:r>
      <w:r w:rsidR="00914D89">
        <w:rPr>
          <w:rFonts w:ascii="Times" w:hAnsi="Times"/>
          <w:i/>
          <w:iCs/>
        </w:rPr>
        <w:t>1</w:t>
      </w:r>
      <w:r w:rsidRPr="00D8364B">
        <w:rPr>
          <w:rFonts w:ascii="Times" w:hAnsi="Times"/>
          <w:i/>
          <w:iCs/>
        </w:rPr>
        <w:t xml:space="preserve">: Shows a general trend of deathrates </w:t>
      </w:r>
      <w:r>
        <w:rPr>
          <w:rFonts w:ascii="Times" w:hAnsi="Times"/>
          <w:i/>
          <w:iCs/>
        </w:rPr>
        <w:t xml:space="preserve">per 100,000 persons </w:t>
      </w:r>
      <w:r w:rsidRPr="00D8364B">
        <w:rPr>
          <w:rFonts w:ascii="Times" w:hAnsi="Times"/>
          <w:i/>
          <w:iCs/>
        </w:rPr>
        <w:t xml:space="preserve">between </w:t>
      </w:r>
      <w:r>
        <w:rPr>
          <w:rFonts w:ascii="Times" w:hAnsi="Times"/>
          <w:i/>
          <w:iCs/>
        </w:rPr>
        <w:t>states who had a policy in comparison to states who didn’t.</w:t>
      </w:r>
    </w:p>
    <w:p w14:paraId="754EC8F3" w14:textId="77777777" w:rsidR="00920E0B" w:rsidRPr="00D8364B" w:rsidRDefault="00920E0B" w:rsidP="00920E0B">
      <w:pPr>
        <w:spacing w:line="360" w:lineRule="auto"/>
        <w:rPr>
          <w:rFonts w:ascii="Times" w:hAnsi="Times"/>
        </w:rPr>
      </w:pPr>
    </w:p>
    <w:p w14:paraId="41836C45" w14:textId="64341854" w:rsidR="00050AD9" w:rsidRDefault="00920E0B" w:rsidP="00920E0B">
      <w:r w:rsidRPr="00920E0B">
        <w:rPr>
          <w:noProof/>
        </w:rPr>
        <w:drawing>
          <wp:inline distT="0" distB="0" distL="0" distR="0" wp14:anchorId="3D963C36" wp14:editId="2ADA1BE5">
            <wp:extent cx="37973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7300" cy="3048000"/>
                    </a:xfrm>
                    <a:prstGeom prst="rect">
                      <a:avLst/>
                    </a:prstGeom>
                  </pic:spPr>
                </pic:pic>
              </a:graphicData>
            </a:graphic>
          </wp:inline>
        </w:drawing>
      </w:r>
    </w:p>
    <w:p w14:paraId="676B15ED" w14:textId="77777777" w:rsidR="008007A6" w:rsidRDefault="008007A6" w:rsidP="00247F9F">
      <w:pPr>
        <w:rPr>
          <w:sz w:val="28"/>
          <w:szCs w:val="28"/>
        </w:rPr>
      </w:pPr>
    </w:p>
    <w:p w14:paraId="7956C7D6" w14:textId="1EF2E5EA" w:rsidR="00247F9F" w:rsidRPr="00247F9F" w:rsidRDefault="00247F9F" w:rsidP="00247F9F">
      <w:pPr>
        <w:rPr>
          <w:sz w:val="28"/>
          <w:szCs w:val="28"/>
        </w:rPr>
      </w:pPr>
      <w:r w:rsidRPr="00247F9F">
        <w:rPr>
          <w:sz w:val="28"/>
          <w:szCs w:val="28"/>
        </w:rPr>
        <w:t>O</w:t>
      </w:r>
      <w:r w:rsidRPr="00247F9F">
        <w:rPr>
          <w:sz w:val="28"/>
          <w:szCs w:val="28"/>
        </w:rPr>
        <w:t>pioids</w:t>
      </w:r>
      <w:r w:rsidRPr="00247F9F">
        <w:rPr>
          <w:sz w:val="28"/>
          <w:szCs w:val="28"/>
        </w:rPr>
        <w:t xml:space="preserve"> – Shipments </w:t>
      </w:r>
    </w:p>
    <w:p w14:paraId="34DB3D6F" w14:textId="77777777" w:rsidR="00247F9F" w:rsidRDefault="00247F9F" w:rsidP="00247F9F"/>
    <w:p w14:paraId="76FBC613" w14:textId="340D6F06" w:rsidR="00247F9F" w:rsidRDefault="00247F9F" w:rsidP="00247F9F">
      <w:r>
        <w:t xml:space="preserve">There are 67 counties in Florida with a mean opioid per capita of 495.12 and a standard deviation of 313.9. For Washington state, there about 39 counties with a mean opioid’s shipment per capita of about 369.8. </w:t>
      </w:r>
      <w:r w:rsidR="008B4BC2">
        <w:t xml:space="preserve">The Opioids per capita for Washington did not seem to change significantly Compared to Florida. </w:t>
      </w:r>
      <w:r>
        <w:t xml:space="preserve">Below is a table showing </w:t>
      </w:r>
      <w:r w:rsidR="008B4BC2">
        <w:t xml:space="preserve">mean, median, min and Max </w:t>
      </w:r>
      <w:r>
        <w:t xml:space="preserve">Opioids per Capita for </w:t>
      </w:r>
      <w:r w:rsidR="00B55C9F">
        <w:t>Florida</w:t>
      </w:r>
      <w:r w:rsidR="008B4BC2">
        <w:t>.</w:t>
      </w:r>
    </w:p>
    <w:p w14:paraId="732E4BB6" w14:textId="77777777" w:rsidR="00B55C9F" w:rsidRPr="008B4BC2" w:rsidRDefault="00B55C9F" w:rsidP="00247F9F">
      <w:pPr>
        <w:rPr>
          <w:i/>
          <w:iCs/>
        </w:rPr>
      </w:pPr>
    </w:p>
    <w:p w14:paraId="33EAB559" w14:textId="6FAF7877" w:rsidR="00247F9F" w:rsidRPr="008B4BC2" w:rsidRDefault="00B55C9F" w:rsidP="00247F9F">
      <w:pPr>
        <w:rPr>
          <w:i/>
          <w:iCs/>
        </w:rPr>
      </w:pPr>
      <w:r w:rsidRPr="008B4BC2">
        <w:rPr>
          <w:i/>
          <w:iCs/>
        </w:rPr>
        <w:t>Table</w:t>
      </w:r>
      <w:r w:rsidR="008B4BC2" w:rsidRPr="008B4BC2">
        <w:rPr>
          <w:i/>
          <w:iCs/>
        </w:rPr>
        <w:t xml:space="preserve"> 2: Showing summary statistics of Opioids Per Capita in Florida.</w:t>
      </w:r>
    </w:p>
    <w:p w14:paraId="39AD56E1" w14:textId="77777777" w:rsidR="008B4BC2" w:rsidRDefault="008B4BC2" w:rsidP="00247F9F"/>
    <w:tbl>
      <w:tblPr>
        <w:tblW w:w="7879" w:type="dxa"/>
        <w:tblLook w:val="04A0" w:firstRow="1" w:lastRow="0" w:firstColumn="1" w:lastColumn="0" w:noHBand="0" w:noVBand="1"/>
      </w:tblPr>
      <w:tblGrid>
        <w:gridCol w:w="1651"/>
        <w:gridCol w:w="1651"/>
        <w:gridCol w:w="1123"/>
        <w:gridCol w:w="1206"/>
        <w:gridCol w:w="970"/>
        <w:gridCol w:w="1278"/>
      </w:tblGrid>
      <w:tr w:rsidR="00247F9F" w:rsidRPr="001D14DD" w14:paraId="5A5CFB3F" w14:textId="77777777" w:rsidTr="00247F9F">
        <w:trPr>
          <w:trHeight w:val="398"/>
        </w:trPr>
        <w:tc>
          <w:tcPr>
            <w:tcW w:w="16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BE748"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State</w:t>
            </w:r>
          </w:p>
        </w:tc>
        <w:tc>
          <w:tcPr>
            <w:tcW w:w="1651" w:type="dxa"/>
            <w:tcBorders>
              <w:top w:val="single" w:sz="4" w:space="0" w:color="auto"/>
              <w:left w:val="nil"/>
              <w:bottom w:val="single" w:sz="4" w:space="0" w:color="auto"/>
              <w:right w:val="single" w:sz="4" w:space="0" w:color="auto"/>
            </w:tcBorders>
            <w:shd w:val="clear" w:color="auto" w:fill="auto"/>
            <w:noWrap/>
            <w:vAlign w:val="bottom"/>
            <w:hideMark/>
          </w:tcPr>
          <w:p w14:paraId="6B2487BA"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Policy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14:paraId="7377CADA"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mean</w:t>
            </w:r>
          </w:p>
        </w:tc>
        <w:tc>
          <w:tcPr>
            <w:tcW w:w="1206" w:type="dxa"/>
            <w:tcBorders>
              <w:top w:val="single" w:sz="4" w:space="0" w:color="auto"/>
              <w:left w:val="nil"/>
              <w:bottom w:val="single" w:sz="4" w:space="0" w:color="auto"/>
              <w:right w:val="single" w:sz="4" w:space="0" w:color="auto"/>
            </w:tcBorders>
            <w:shd w:val="clear" w:color="auto" w:fill="auto"/>
            <w:noWrap/>
            <w:vAlign w:val="bottom"/>
            <w:hideMark/>
          </w:tcPr>
          <w:p w14:paraId="55ADF6C5"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median</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0DE0BADC"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min</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016D54DB"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max</w:t>
            </w:r>
          </w:p>
        </w:tc>
      </w:tr>
      <w:tr w:rsidR="00247F9F" w:rsidRPr="001D14DD" w14:paraId="40B844D9" w14:textId="77777777" w:rsidTr="00247F9F">
        <w:trPr>
          <w:trHeight w:val="398"/>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14:paraId="3C1F87BD"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Controls</w:t>
            </w:r>
          </w:p>
        </w:tc>
        <w:tc>
          <w:tcPr>
            <w:tcW w:w="1651" w:type="dxa"/>
            <w:tcBorders>
              <w:top w:val="nil"/>
              <w:left w:val="nil"/>
              <w:bottom w:val="single" w:sz="4" w:space="0" w:color="auto"/>
              <w:right w:val="single" w:sz="4" w:space="0" w:color="auto"/>
            </w:tcBorders>
            <w:shd w:val="clear" w:color="auto" w:fill="auto"/>
            <w:noWrap/>
            <w:vAlign w:val="bottom"/>
            <w:hideMark/>
          </w:tcPr>
          <w:p w14:paraId="20A73986"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Post</w:t>
            </w:r>
          </w:p>
        </w:tc>
        <w:tc>
          <w:tcPr>
            <w:tcW w:w="1123" w:type="dxa"/>
            <w:tcBorders>
              <w:top w:val="nil"/>
              <w:left w:val="nil"/>
              <w:bottom w:val="single" w:sz="4" w:space="0" w:color="auto"/>
              <w:right w:val="single" w:sz="4" w:space="0" w:color="auto"/>
            </w:tcBorders>
            <w:shd w:val="clear" w:color="auto" w:fill="auto"/>
            <w:noWrap/>
            <w:vAlign w:val="bottom"/>
            <w:hideMark/>
          </w:tcPr>
          <w:p w14:paraId="4A5697AE"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418.36</w:t>
            </w:r>
          </w:p>
        </w:tc>
        <w:tc>
          <w:tcPr>
            <w:tcW w:w="1206" w:type="dxa"/>
            <w:tcBorders>
              <w:top w:val="nil"/>
              <w:left w:val="nil"/>
              <w:bottom w:val="single" w:sz="4" w:space="0" w:color="auto"/>
              <w:right w:val="single" w:sz="4" w:space="0" w:color="auto"/>
            </w:tcBorders>
            <w:shd w:val="clear" w:color="auto" w:fill="auto"/>
            <w:noWrap/>
            <w:vAlign w:val="bottom"/>
            <w:hideMark/>
          </w:tcPr>
          <w:p w14:paraId="7705CB6B"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382.16</w:t>
            </w:r>
          </w:p>
        </w:tc>
        <w:tc>
          <w:tcPr>
            <w:tcW w:w="970" w:type="dxa"/>
            <w:tcBorders>
              <w:top w:val="nil"/>
              <w:left w:val="nil"/>
              <w:bottom w:val="single" w:sz="4" w:space="0" w:color="auto"/>
              <w:right w:val="single" w:sz="4" w:space="0" w:color="auto"/>
            </w:tcBorders>
            <w:shd w:val="clear" w:color="auto" w:fill="auto"/>
            <w:noWrap/>
            <w:vAlign w:val="bottom"/>
            <w:hideMark/>
          </w:tcPr>
          <w:p w14:paraId="3459C693"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54.65</w:t>
            </w:r>
          </w:p>
        </w:tc>
        <w:tc>
          <w:tcPr>
            <w:tcW w:w="1278" w:type="dxa"/>
            <w:tcBorders>
              <w:top w:val="nil"/>
              <w:left w:val="nil"/>
              <w:bottom w:val="single" w:sz="4" w:space="0" w:color="auto"/>
              <w:right w:val="single" w:sz="4" w:space="0" w:color="auto"/>
            </w:tcBorders>
            <w:shd w:val="clear" w:color="auto" w:fill="auto"/>
            <w:noWrap/>
            <w:vAlign w:val="bottom"/>
            <w:hideMark/>
          </w:tcPr>
          <w:p w14:paraId="7323D53C"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1721.50</w:t>
            </w:r>
          </w:p>
        </w:tc>
      </w:tr>
      <w:tr w:rsidR="00247F9F" w:rsidRPr="001D14DD" w14:paraId="3D6D805E" w14:textId="77777777" w:rsidTr="00247F9F">
        <w:trPr>
          <w:trHeight w:val="398"/>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14:paraId="783621F4"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 </w:t>
            </w:r>
          </w:p>
        </w:tc>
        <w:tc>
          <w:tcPr>
            <w:tcW w:w="1651" w:type="dxa"/>
            <w:tcBorders>
              <w:top w:val="nil"/>
              <w:left w:val="nil"/>
              <w:bottom w:val="single" w:sz="4" w:space="0" w:color="auto"/>
              <w:right w:val="single" w:sz="4" w:space="0" w:color="auto"/>
            </w:tcBorders>
            <w:shd w:val="clear" w:color="auto" w:fill="auto"/>
            <w:noWrap/>
            <w:vAlign w:val="bottom"/>
            <w:hideMark/>
          </w:tcPr>
          <w:p w14:paraId="4FC187C6"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Pre</w:t>
            </w:r>
          </w:p>
        </w:tc>
        <w:tc>
          <w:tcPr>
            <w:tcW w:w="1123" w:type="dxa"/>
            <w:tcBorders>
              <w:top w:val="nil"/>
              <w:left w:val="nil"/>
              <w:bottom w:val="single" w:sz="4" w:space="0" w:color="auto"/>
              <w:right w:val="single" w:sz="4" w:space="0" w:color="auto"/>
            </w:tcBorders>
            <w:shd w:val="clear" w:color="auto" w:fill="auto"/>
            <w:noWrap/>
            <w:vAlign w:val="bottom"/>
            <w:hideMark/>
          </w:tcPr>
          <w:p w14:paraId="4E8293C4"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325.31</w:t>
            </w:r>
          </w:p>
        </w:tc>
        <w:tc>
          <w:tcPr>
            <w:tcW w:w="1206" w:type="dxa"/>
            <w:tcBorders>
              <w:top w:val="nil"/>
              <w:left w:val="nil"/>
              <w:bottom w:val="single" w:sz="4" w:space="0" w:color="auto"/>
              <w:right w:val="single" w:sz="4" w:space="0" w:color="auto"/>
            </w:tcBorders>
            <w:shd w:val="clear" w:color="auto" w:fill="auto"/>
            <w:noWrap/>
            <w:vAlign w:val="bottom"/>
            <w:hideMark/>
          </w:tcPr>
          <w:p w14:paraId="026BA212"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287.26</w:t>
            </w:r>
          </w:p>
        </w:tc>
        <w:tc>
          <w:tcPr>
            <w:tcW w:w="970" w:type="dxa"/>
            <w:tcBorders>
              <w:top w:val="nil"/>
              <w:left w:val="nil"/>
              <w:bottom w:val="single" w:sz="4" w:space="0" w:color="auto"/>
              <w:right w:val="single" w:sz="4" w:space="0" w:color="auto"/>
            </w:tcBorders>
            <w:shd w:val="clear" w:color="auto" w:fill="auto"/>
            <w:noWrap/>
            <w:vAlign w:val="bottom"/>
            <w:hideMark/>
          </w:tcPr>
          <w:p w14:paraId="7635342C"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41.79</w:t>
            </w:r>
          </w:p>
        </w:tc>
        <w:tc>
          <w:tcPr>
            <w:tcW w:w="1278" w:type="dxa"/>
            <w:tcBorders>
              <w:top w:val="nil"/>
              <w:left w:val="nil"/>
              <w:bottom w:val="single" w:sz="4" w:space="0" w:color="auto"/>
              <w:right w:val="single" w:sz="4" w:space="0" w:color="auto"/>
            </w:tcBorders>
            <w:shd w:val="clear" w:color="auto" w:fill="auto"/>
            <w:noWrap/>
            <w:vAlign w:val="bottom"/>
            <w:hideMark/>
          </w:tcPr>
          <w:p w14:paraId="721F7F8F"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1612.74</w:t>
            </w:r>
          </w:p>
        </w:tc>
      </w:tr>
      <w:tr w:rsidR="00247F9F" w:rsidRPr="001D14DD" w14:paraId="53986FEE" w14:textId="77777777" w:rsidTr="00247F9F">
        <w:trPr>
          <w:trHeight w:val="398"/>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14:paraId="2CE273E3"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Florida</w:t>
            </w:r>
          </w:p>
        </w:tc>
        <w:tc>
          <w:tcPr>
            <w:tcW w:w="1651" w:type="dxa"/>
            <w:tcBorders>
              <w:top w:val="nil"/>
              <w:left w:val="nil"/>
              <w:bottom w:val="single" w:sz="4" w:space="0" w:color="auto"/>
              <w:right w:val="single" w:sz="4" w:space="0" w:color="auto"/>
            </w:tcBorders>
            <w:shd w:val="clear" w:color="auto" w:fill="auto"/>
            <w:noWrap/>
            <w:vAlign w:val="bottom"/>
            <w:hideMark/>
          </w:tcPr>
          <w:p w14:paraId="068487DC" w14:textId="77777777" w:rsidR="00247F9F" w:rsidRPr="001D14DD" w:rsidRDefault="00247F9F" w:rsidP="00CD7B84">
            <w:pPr>
              <w:jc w:val="center"/>
              <w:rPr>
                <w:rFonts w:ascii="Calibri" w:eastAsia="Times New Roman" w:hAnsi="Calibri" w:cs="Calibri"/>
                <w:color w:val="000000"/>
              </w:rPr>
            </w:pPr>
            <w:r w:rsidRPr="001D14DD">
              <w:rPr>
                <w:rFonts w:ascii="Calibri" w:eastAsia="Times New Roman" w:hAnsi="Calibri" w:cs="Calibri"/>
                <w:color w:val="000000"/>
              </w:rPr>
              <w:t>Post</w:t>
            </w:r>
          </w:p>
        </w:tc>
        <w:tc>
          <w:tcPr>
            <w:tcW w:w="1123" w:type="dxa"/>
            <w:tcBorders>
              <w:top w:val="nil"/>
              <w:left w:val="nil"/>
              <w:bottom w:val="single" w:sz="4" w:space="0" w:color="auto"/>
              <w:right w:val="single" w:sz="4" w:space="0" w:color="auto"/>
            </w:tcBorders>
            <w:shd w:val="clear" w:color="auto" w:fill="auto"/>
            <w:noWrap/>
            <w:vAlign w:val="bottom"/>
            <w:hideMark/>
          </w:tcPr>
          <w:p w14:paraId="255CC5D6"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533.20</w:t>
            </w:r>
          </w:p>
        </w:tc>
        <w:tc>
          <w:tcPr>
            <w:tcW w:w="1206" w:type="dxa"/>
            <w:tcBorders>
              <w:top w:val="nil"/>
              <w:left w:val="nil"/>
              <w:bottom w:val="single" w:sz="4" w:space="0" w:color="auto"/>
              <w:right w:val="single" w:sz="4" w:space="0" w:color="auto"/>
            </w:tcBorders>
            <w:shd w:val="clear" w:color="auto" w:fill="auto"/>
            <w:noWrap/>
            <w:vAlign w:val="bottom"/>
            <w:hideMark/>
          </w:tcPr>
          <w:p w14:paraId="731E5E15"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456.50</w:t>
            </w:r>
          </w:p>
        </w:tc>
        <w:tc>
          <w:tcPr>
            <w:tcW w:w="970" w:type="dxa"/>
            <w:tcBorders>
              <w:top w:val="nil"/>
              <w:left w:val="nil"/>
              <w:bottom w:val="single" w:sz="4" w:space="0" w:color="auto"/>
              <w:right w:val="single" w:sz="4" w:space="0" w:color="auto"/>
            </w:tcBorders>
            <w:shd w:val="clear" w:color="auto" w:fill="auto"/>
            <w:noWrap/>
            <w:vAlign w:val="bottom"/>
            <w:hideMark/>
          </w:tcPr>
          <w:p w14:paraId="6F0C466F"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71.36</w:t>
            </w:r>
          </w:p>
        </w:tc>
        <w:tc>
          <w:tcPr>
            <w:tcW w:w="1278" w:type="dxa"/>
            <w:tcBorders>
              <w:top w:val="nil"/>
              <w:left w:val="nil"/>
              <w:bottom w:val="single" w:sz="4" w:space="0" w:color="auto"/>
              <w:right w:val="single" w:sz="4" w:space="0" w:color="auto"/>
            </w:tcBorders>
            <w:shd w:val="clear" w:color="auto" w:fill="auto"/>
            <w:noWrap/>
            <w:vAlign w:val="bottom"/>
            <w:hideMark/>
          </w:tcPr>
          <w:p w14:paraId="44F70570"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2279.13</w:t>
            </w:r>
          </w:p>
        </w:tc>
      </w:tr>
      <w:tr w:rsidR="00247F9F" w:rsidRPr="001D14DD" w14:paraId="12CFCB6B" w14:textId="77777777" w:rsidTr="00247F9F">
        <w:trPr>
          <w:trHeight w:val="398"/>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14:paraId="1A0AD9ED"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 </w:t>
            </w:r>
          </w:p>
        </w:tc>
        <w:tc>
          <w:tcPr>
            <w:tcW w:w="1651" w:type="dxa"/>
            <w:tcBorders>
              <w:top w:val="nil"/>
              <w:left w:val="nil"/>
              <w:bottom w:val="single" w:sz="4" w:space="0" w:color="auto"/>
              <w:right w:val="single" w:sz="4" w:space="0" w:color="auto"/>
            </w:tcBorders>
            <w:shd w:val="clear" w:color="auto" w:fill="auto"/>
            <w:noWrap/>
            <w:vAlign w:val="bottom"/>
            <w:hideMark/>
          </w:tcPr>
          <w:p w14:paraId="2D57121F" w14:textId="77777777" w:rsidR="00247F9F" w:rsidRPr="001D14DD" w:rsidRDefault="00247F9F" w:rsidP="00CD7B84">
            <w:pPr>
              <w:rPr>
                <w:rFonts w:ascii="Calibri" w:eastAsia="Times New Roman" w:hAnsi="Calibri" w:cs="Calibri"/>
                <w:color w:val="000000"/>
              </w:rPr>
            </w:pPr>
            <w:r w:rsidRPr="001D14DD">
              <w:rPr>
                <w:rFonts w:ascii="Calibri" w:eastAsia="Times New Roman" w:hAnsi="Calibri" w:cs="Calibri"/>
                <w:color w:val="000000"/>
              </w:rPr>
              <w:t>Pre</w:t>
            </w:r>
          </w:p>
        </w:tc>
        <w:tc>
          <w:tcPr>
            <w:tcW w:w="1123" w:type="dxa"/>
            <w:tcBorders>
              <w:top w:val="nil"/>
              <w:left w:val="nil"/>
              <w:bottom w:val="single" w:sz="4" w:space="0" w:color="auto"/>
              <w:right w:val="single" w:sz="4" w:space="0" w:color="auto"/>
            </w:tcBorders>
            <w:shd w:val="clear" w:color="auto" w:fill="auto"/>
            <w:noWrap/>
            <w:vAlign w:val="bottom"/>
            <w:hideMark/>
          </w:tcPr>
          <w:p w14:paraId="005EEB82"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446.96</w:t>
            </w:r>
          </w:p>
        </w:tc>
        <w:tc>
          <w:tcPr>
            <w:tcW w:w="1206" w:type="dxa"/>
            <w:tcBorders>
              <w:top w:val="nil"/>
              <w:left w:val="nil"/>
              <w:bottom w:val="single" w:sz="4" w:space="0" w:color="auto"/>
              <w:right w:val="single" w:sz="4" w:space="0" w:color="auto"/>
            </w:tcBorders>
            <w:shd w:val="clear" w:color="auto" w:fill="auto"/>
            <w:noWrap/>
            <w:vAlign w:val="bottom"/>
            <w:hideMark/>
          </w:tcPr>
          <w:p w14:paraId="547D8F33"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388.74</w:t>
            </w:r>
          </w:p>
        </w:tc>
        <w:tc>
          <w:tcPr>
            <w:tcW w:w="970" w:type="dxa"/>
            <w:tcBorders>
              <w:top w:val="nil"/>
              <w:left w:val="nil"/>
              <w:bottom w:val="single" w:sz="4" w:space="0" w:color="auto"/>
              <w:right w:val="single" w:sz="4" w:space="0" w:color="auto"/>
            </w:tcBorders>
            <w:shd w:val="clear" w:color="auto" w:fill="auto"/>
            <w:noWrap/>
            <w:vAlign w:val="bottom"/>
            <w:hideMark/>
          </w:tcPr>
          <w:p w14:paraId="6FEB817A"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78.45</w:t>
            </w:r>
          </w:p>
        </w:tc>
        <w:tc>
          <w:tcPr>
            <w:tcW w:w="1278" w:type="dxa"/>
            <w:tcBorders>
              <w:top w:val="nil"/>
              <w:left w:val="nil"/>
              <w:bottom w:val="single" w:sz="4" w:space="0" w:color="auto"/>
              <w:right w:val="single" w:sz="4" w:space="0" w:color="auto"/>
            </w:tcBorders>
            <w:shd w:val="clear" w:color="auto" w:fill="auto"/>
            <w:noWrap/>
            <w:vAlign w:val="bottom"/>
            <w:hideMark/>
          </w:tcPr>
          <w:p w14:paraId="38D30767" w14:textId="77777777" w:rsidR="00247F9F" w:rsidRPr="001D14DD" w:rsidRDefault="00247F9F" w:rsidP="00CD7B84">
            <w:pPr>
              <w:jc w:val="right"/>
              <w:rPr>
                <w:rFonts w:ascii="Calibri" w:eastAsia="Times New Roman" w:hAnsi="Calibri" w:cs="Calibri"/>
                <w:color w:val="000000"/>
              </w:rPr>
            </w:pPr>
            <w:r w:rsidRPr="001D14DD">
              <w:rPr>
                <w:rFonts w:ascii="Calibri" w:eastAsia="Times New Roman" w:hAnsi="Calibri" w:cs="Calibri"/>
                <w:color w:val="000000"/>
              </w:rPr>
              <w:t>1749.64</w:t>
            </w:r>
          </w:p>
        </w:tc>
      </w:tr>
    </w:tbl>
    <w:p w14:paraId="48BB88E9" w14:textId="77777777" w:rsidR="00247F9F" w:rsidRDefault="00247F9F" w:rsidP="00247F9F"/>
    <w:p w14:paraId="5D801F98" w14:textId="77777777" w:rsidR="00247F9F" w:rsidRDefault="00247F9F" w:rsidP="00247F9F">
      <w:r>
        <w:t>Looking at the table above, it appears as though the mean opioid shipment per capita increased slightly after the policy was implemented. It is possible this can be attributed to the opioid shipments peaking at the beginning of 2010 when news of the policy was announced.</w:t>
      </w:r>
      <w:r w:rsidRPr="00086E05">
        <w:t xml:space="preserve"> </w:t>
      </w:r>
      <w:r>
        <w:t>However, looking at the graph of opioid shipments per capita for Florida, we can see a clear trend of a decrease in the total amount of opioid shipped per capita after the policy was implemented.</w:t>
      </w:r>
    </w:p>
    <w:p w14:paraId="1748F8F7" w14:textId="558263E8" w:rsidR="00247F9F" w:rsidRPr="00914D89" w:rsidRDefault="00223F14" w:rsidP="00247F9F">
      <w:pPr>
        <w:rPr>
          <w:i/>
          <w:iCs/>
        </w:rPr>
      </w:pPr>
      <w:r w:rsidRPr="00914D89">
        <w:rPr>
          <w:i/>
          <w:iCs/>
        </w:rPr>
        <w:lastRenderedPageBreak/>
        <w:t xml:space="preserve">Figure </w:t>
      </w:r>
      <w:r w:rsidR="00914D89">
        <w:rPr>
          <w:i/>
          <w:iCs/>
        </w:rPr>
        <w:t>2</w:t>
      </w:r>
      <w:r w:rsidRPr="00914D89">
        <w:rPr>
          <w:i/>
          <w:iCs/>
        </w:rPr>
        <w:t xml:space="preserve">: Showing the changes in Opioid shipments per capita after </w:t>
      </w:r>
      <w:r w:rsidR="00BF5ACB">
        <w:rPr>
          <w:i/>
          <w:iCs/>
        </w:rPr>
        <w:t>Florida’s</w:t>
      </w:r>
      <w:r w:rsidRPr="00914D89">
        <w:rPr>
          <w:i/>
          <w:iCs/>
        </w:rPr>
        <w:t xml:space="preserve"> policy was implemented. There is a general increase in the shipments across all counties that gets reversed in 2010 after the policy was enacted.</w:t>
      </w:r>
    </w:p>
    <w:p w14:paraId="5AF7E3B5" w14:textId="77777777" w:rsidR="008007A6" w:rsidRDefault="004F61BD" w:rsidP="0012342B">
      <w:r w:rsidRPr="004F61BD">
        <w:drawing>
          <wp:inline distT="0" distB="0" distL="0" distR="0" wp14:anchorId="7004BBDF" wp14:editId="7A865B8A">
            <wp:extent cx="5943600" cy="4417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17695"/>
                    </a:xfrm>
                    <a:prstGeom prst="rect">
                      <a:avLst/>
                    </a:prstGeom>
                  </pic:spPr>
                </pic:pic>
              </a:graphicData>
            </a:graphic>
          </wp:inline>
        </w:drawing>
      </w:r>
    </w:p>
    <w:p w14:paraId="36448D28" w14:textId="77777777" w:rsidR="00B55C9F" w:rsidRDefault="00B55C9F" w:rsidP="0012342B">
      <w:pPr>
        <w:rPr>
          <w:rFonts w:ascii="Times" w:hAnsi="Times"/>
          <w:b/>
          <w:bCs/>
          <w:sz w:val="28"/>
          <w:szCs w:val="28"/>
        </w:rPr>
      </w:pPr>
    </w:p>
    <w:p w14:paraId="19CB35EC" w14:textId="77777777" w:rsidR="00B55C9F" w:rsidRDefault="00B55C9F" w:rsidP="0012342B">
      <w:pPr>
        <w:rPr>
          <w:rFonts w:ascii="Times" w:hAnsi="Times"/>
          <w:b/>
          <w:bCs/>
          <w:sz w:val="28"/>
          <w:szCs w:val="28"/>
        </w:rPr>
      </w:pPr>
    </w:p>
    <w:p w14:paraId="18FD216A" w14:textId="0C3CF68D" w:rsidR="008611E9" w:rsidRPr="0012342B" w:rsidRDefault="002177CC" w:rsidP="0012342B">
      <w:r>
        <w:rPr>
          <w:rFonts w:ascii="Times" w:hAnsi="Times"/>
          <w:b/>
          <w:bCs/>
          <w:sz w:val="28"/>
          <w:szCs w:val="28"/>
        </w:rPr>
        <w:t>Rate of Opioid Shipment</w:t>
      </w:r>
    </w:p>
    <w:p w14:paraId="65F58466" w14:textId="7E1ADB09" w:rsidR="004C3135" w:rsidRPr="001F1348" w:rsidRDefault="004C3135" w:rsidP="004C3135">
      <w:pPr>
        <w:jc w:val="both"/>
        <w:rPr>
          <w:rFonts w:ascii="Times" w:hAnsi="Times"/>
          <w:b/>
          <w:bCs/>
          <w:color w:val="000000" w:themeColor="text1"/>
          <w:sz w:val="32"/>
          <w:szCs w:val="32"/>
        </w:rPr>
      </w:pP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16E533BE" w14:textId="77777777" w:rsidR="004C3135" w:rsidRPr="007F05C8" w:rsidRDefault="004C3135" w:rsidP="004C3135">
      <w:pPr>
        <w:jc w:val="both"/>
        <w:rPr>
          <w:rFonts w:ascii="Times" w:hAnsi="Times"/>
          <w:color w:val="000000" w:themeColor="text1"/>
        </w:rPr>
      </w:pPr>
    </w:p>
    <w:p w14:paraId="623749E6" w14:textId="7DE1C8BD" w:rsidR="00506649" w:rsidRDefault="00506649"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and overdose deaths is lower in the states where regulations were implemented when compared against the same jurisdiction prior to implementation</w:t>
      </w:r>
      <w:r>
        <w:rPr>
          <w:rFonts w:ascii="Times" w:eastAsia="Times New Roman" w:hAnsi="Times" w:cs="Arial"/>
          <w:color w:val="000000" w:themeColor="text1"/>
        </w:rPr>
        <w:t>,</w:t>
      </w:r>
      <w:r w:rsidRPr="007F05C8">
        <w:rPr>
          <w:rFonts w:ascii="Times" w:eastAsia="Times New Roman" w:hAnsi="Times" w:cs="Arial"/>
          <w:color w:val="000000" w:themeColor="text1"/>
        </w:rPr>
        <w:t xml:space="preserve"> and against jurisdictions where no new policies were implemented. To analyze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and that the trend should be substantially less for the treated states when compared to the control groups</w:t>
      </w:r>
      <w:r w:rsidRPr="007F05C8">
        <w:rPr>
          <w:rFonts w:ascii="Times" w:eastAsia="Times New Roman" w:hAnsi="Times" w:cs="Arial"/>
          <w:color w:val="000000" w:themeColor="text1"/>
        </w:rPr>
        <w:t xml:space="preserve">. Otherwise, the hypothesis will be rejected if </w:t>
      </w:r>
      <w:r>
        <w:rPr>
          <w:rFonts w:ascii="Times" w:eastAsia="Times New Roman" w:hAnsi="Times" w:cs="Arial"/>
          <w:color w:val="000000" w:themeColor="text1"/>
        </w:rPr>
        <w:t xml:space="preserve">either quantity’s trend </w:t>
      </w:r>
      <w:r w:rsidRPr="007F05C8">
        <w:rPr>
          <w:rFonts w:ascii="Times" w:eastAsia="Times New Roman" w:hAnsi="Times" w:cs="Arial"/>
          <w:color w:val="000000" w:themeColor="text1"/>
        </w:rPr>
        <w:t>continue</w:t>
      </w:r>
      <w:r>
        <w:rPr>
          <w:rFonts w:ascii="Times" w:eastAsia="Times New Roman" w:hAnsi="Times" w:cs="Arial"/>
          <w:color w:val="000000" w:themeColor="text1"/>
        </w:rPr>
        <w:t>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at a similar rate, or at a rate </w:t>
      </w:r>
      <w:proofErr w:type="gramStart"/>
      <w:r>
        <w:rPr>
          <w:rFonts w:ascii="Times" w:eastAsia="Times New Roman" w:hAnsi="Times" w:cs="Arial"/>
          <w:color w:val="000000" w:themeColor="text1"/>
        </w:rPr>
        <w:t>similar to</w:t>
      </w:r>
      <w:proofErr w:type="gramEnd"/>
      <w:r>
        <w:rPr>
          <w:rFonts w:ascii="Times" w:eastAsia="Times New Roman" w:hAnsi="Times" w:cs="Arial"/>
          <w:color w:val="000000" w:themeColor="text1"/>
        </w:rPr>
        <w:t xml:space="preserve"> the control group</w:t>
      </w:r>
      <w:r w:rsidRPr="007F05C8">
        <w:rPr>
          <w:rFonts w:ascii="Times" w:eastAsia="Times New Roman" w:hAnsi="Times" w:cs="Arial"/>
          <w:color w:val="000000" w:themeColor="text1"/>
        </w:rPr>
        <w:t>.</w:t>
      </w:r>
    </w:p>
    <w:p w14:paraId="530214C0" w14:textId="77777777" w:rsidR="00D8364B" w:rsidRDefault="004C3135"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lastRenderedPageBreak/>
        <w:t>Effect of regulation policy on opioid shipments</w:t>
      </w:r>
      <w:r w:rsidR="00B039DB" w:rsidRPr="00D8364B">
        <w:rPr>
          <w:rFonts w:ascii="Times" w:eastAsia="Times New Roman" w:hAnsi="Times" w:cs="Arial"/>
          <w:b/>
          <w:bCs/>
          <w:color w:val="000000" w:themeColor="text1"/>
          <w:sz w:val="28"/>
          <w:szCs w:val="28"/>
        </w:rPr>
        <w:t xml:space="preserve"> </w:t>
      </w:r>
    </w:p>
    <w:p w14:paraId="539D6A65" w14:textId="11E2FE44" w:rsidR="008611E9" w:rsidRPr="00D8364B" w:rsidRDefault="00B039DB"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Florida</w:t>
      </w:r>
    </w:p>
    <w:p w14:paraId="7F812757"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Florida.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100 per year.  This substantial change in trend supports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671B54">
      <w:pPr>
        <w:shd w:val="clear" w:color="auto" w:fill="FFFFFF"/>
        <w:spacing w:line="360" w:lineRule="auto"/>
        <w:jc w:val="both"/>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182C3CC7">
            <wp:extent cx="47339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733925" cy="3467100"/>
                    </a:xfrm>
                    <a:prstGeom prst="rect">
                      <a:avLst/>
                    </a:prstGeom>
                  </pic:spPr>
                </pic:pic>
              </a:graphicData>
            </a:graphic>
          </wp:inline>
        </w:drawing>
      </w:r>
    </w:p>
    <w:p w14:paraId="13821B87" w14:textId="5B715226" w:rsidR="00671B54" w:rsidRPr="00840EDF" w:rsidRDefault="00671B54" w:rsidP="00671B54">
      <w:pPr>
        <w:shd w:val="clear" w:color="auto" w:fill="FFFFFF"/>
        <w:spacing w:line="360" w:lineRule="auto"/>
        <w:jc w:val="both"/>
        <w:rPr>
          <w:rFonts w:ascii="Times" w:eastAsia="Times New Roman" w:hAnsi="Times" w:cs="Arial"/>
          <w:i/>
          <w:iCs/>
          <w:color w:val="000000" w:themeColor="text1"/>
        </w:rPr>
      </w:pPr>
      <w:r w:rsidRPr="00671B54">
        <w:rPr>
          <w:rFonts w:ascii="Times" w:eastAsia="Times New Roman" w:hAnsi="Times" w:cs="Arial"/>
          <w:i/>
          <w:iCs/>
          <w:color w:val="000000" w:themeColor="text1"/>
        </w:rPr>
        <w:t xml:space="preserve"> </w:t>
      </w:r>
      <w:r w:rsidRPr="00840EDF">
        <w:rPr>
          <w:rFonts w:ascii="Times" w:eastAsia="Times New Roman" w:hAnsi="Times" w:cs="Arial"/>
          <w:i/>
          <w:iCs/>
          <w:color w:val="000000" w:themeColor="text1"/>
        </w:rPr>
        <w:t xml:space="preserve">Fig </w:t>
      </w:r>
      <w:r w:rsidR="00914D89">
        <w:rPr>
          <w:rFonts w:ascii="Times" w:eastAsia="Times New Roman" w:hAnsi="Times" w:cs="Arial"/>
          <w:i/>
          <w:iCs/>
          <w:color w:val="000000" w:themeColor="text1"/>
        </w:rPr>
        <w:t>3</w:t>
      </w:r>
      <w:r w:rsidRPr="00840EDF">
        <w:rPr>
          <w:rFonts w:ascii="Times" w:eastAsia="Times New Roman" w:hAnsi="Times" w:cs="Arial"/>
          <w:i/>
          <w:iCs/>
          <w:color w:val="000000" w:themeColor="text1"/>
        </w:rPr>
        <w:t xml:space="preserve">: Opioids per capita for the intervention state Florida </w:t>
      </w:r>
    </w:p>
    <w:p w14:paraId="4800E118" w14:textId="7053A16B" w:rsidR="00671B54" w:rsidRDefault="00671B54" w:rsidP="00D8364B">
      <w:pPr>
        <w:shd w:val="clear" w:color="auto" w:fill="FFFFFF"/>
        <w:spacing w:line="360" w:lineRule="auto"/>
        <w:jc w:val="both"/>
        <w:rPr>
          <w:rFonts w:ascii="Times" w:eastAsia="Times New Roman" w:hAnsi="Times" w:cs="Arial"/>
          <w:color w:val="000000" w:themeColor="text1"/>
        </w:rPr>
      </w:pPr>
    </w:p>
    <w:p w14:paraId="5A46937C" w14:textId="7777777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following plot below is the plot comparing the trend of the average annual per capita opioid shipments for Florida against Florida’s control states, both before and after policy implementation.  When comparing these two trends, Florida’s trend after the policy was implemented was both substantially less than their control states’ and had a much larger reduction in trend than their control states when compared to prior to the policy implementation.  This substantial reduction in trend when compared to the control states also supports the hypothesis that the policy reduced the </w:t>
      </w:r>
      <w:r>
        <w:rPr>
          <w:rFonts w:ascii="Times" w:eastAsia="Times New Roman" w:hAnsi="Times" w:cs="Arial"/>
          <w:color w:val="000000" w:themeColor="text1"/>
        </w:rPr>
        <w:lastRenderedPageBreak/>
        <w:t>quantity of opioids shipped to Florida.  Therefore, with respect to 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B466E8">
      <w:pPr>
        <w:shd w:val="clear" w:color="auto" w:fill="FFFFFF"/>
        <w:spacing w:line="360" w:lineRule="auto"/>
        <w:jc w:val="both"/>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2A6056B" wp14:editId="6165DA77">
            <wp:extent cx="5114925" cy="3467100"/>
            <wp:effectExtent l="0" t="0" r="952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14925" cy="3467100"/>
                    </a:xfrm>
                    <a:prstGeom prst="rect">
                      <a:avLst/>
                    </a:prstGeom>
                  </pic:spPr>
                </pic:pic>
              </a:graphicData>
            </a:graphic>
          </wp:inline>
        </w:drawing>
      </w:r>
    </w:p>
    <w:p w14:paraId="3ECB5A5C" w14:textId="578E2F84" w:rsidR="008611E9" w:rsidRPr="00840EDF" w:rsidRDefault="008611E9"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CD6E8E0" w14:textId="02B7DEA1" w:rsidR="0060566E"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62E47C96" w14:textId="728C715F" w:rsidR="00506649" w:rsidRDefault="00506649" w:rsidP="004C3135">
      <w:pPr>
        <w:shd w:val="clear" w:color="auto" w:fill="FFFFFF"/>
        <w:jc w:val="both"/>
        <w:rPr>
          <w:rFonts w:ascii="Times" w:eastAsia="Times New Roman" w:hAnsi="Times" w:cs="Arial"/>
          <w:b/>
          <w:bCs/>
          <w:color w:val="000000" w:themeColor="text1"/>
          <w:sz w:val="28"/>
          <w:szCs w:val="28"/>
        </w:rPr>
      </w:pPr>
    </w:p>
    <w:p w14:paraId="6DB80273" w14:textId="3F436C1E"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prior to policy implementation and after policy implementation, this reduction appears moderate, and not substantial.  This small reduction in trend warrants further analysis prior to supports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4C3135">
      <w:pPr>
        <w:shd w:val="clear" w:color="auto" w:fill="FFFFFF"/>
        <w:jc w:val="both"/>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77BE6C23" wp14:editId="16C6B3AF">
            <wp:extent cx="4772025" cy="3467100"/>
            <wp:effectExtent l="0" t="0" r="952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72025" cy="3467100"/>
                    </a:xfrm>
                    <a:prstGeom prst="rect">
                      <a:avLst/>
                    </a:prstGeom>
                  </pic:spPr>
                </pic:pic>
              </a:graphicData>
            </a:graphic>
          </wp:inline>
        </w:drawing>
      </w:r>
    </w:p>
    <w:p w14:paraId="651C8889" w14:textId="350F08E0" w:rsidR="00914D89" w:rsidRDefault="00914D8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Fig 5.</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1A4506A4"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 following plot below is the plot comparing the trend of the average annual per capita opioid shipments for Washington against Washington’s control states, both before and after policy implementation.  When comparing these two trends, Washington’s trend after the policy was implemented was both substantially less negative than their control states’ and had a much smaller reduction in trend than their control states when comparing against prior to the policy implementation.  This limited reduction in trend when compared to the control states does not support the hypothesis that the policy reduced the quantity of opioids shipped to Washington.  Therefore, with respect to reduction of opioids distributed to Washington, this suggests that Washington’s policy has been 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4C3135">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inline distT="0" distB="0" distL="0" distR="0" wp14:anchorId="57BE7987" wp14:editId="14229E54">
            <wp:extent cx="5143500" cy="34671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43500" cy="3467100"/>
                    </a:xfrm>
                    <a:prstGeom prst="rect">
                      <a:avLst/>
                    </a:prstGeom>
                  </pic:spPr>
                </pic:pic>
              </a:graphicData>
            </a:graphic>
          </wp:inline>
        </w:drawing>
      </w:r>
    </w:p>
    <w:p w14:paraId="2C5440CF" w14:textId="0D2BE717" w:rsidR="00C32784" w:rsidRPr="00914D89" w:rsidRDefault="00914D89" w:rsidP="004C3135">
      <w:pPr>
        <w:shd w:val="clear" w:color="auto" w:fill="FFFFFF"/>
        <w:jc w:val="both"/>
        <w:rPr>
          <w:rFonts w:ascii="Times" w:eastAsia="Times New Roman" w:hAnsi="Times" w:cs="Arial"/>
          <w:i/>
          <w:iCs/>
          <w:color w:val="000000" w:themeColor="text1"/>
          <w:sz w:val="28"/>
          <w:szCs w:val="28"/>
        </w:rPr>
      </w:pPr>
      <w:r w:rsidRPr="00914D89">
        <w:rPr>
          <w:rFonts w:ascii="Times" w:eastAsia="Times New Roman" w:hAnsi="Times" w:cs="Arial"/>
          <w:i/>
          <w:iCs/>
          <w:color w:val="000000" w:themeColor="text1"/>
          <w:sz w:val="28"/>
          <w:szCs w:val="28"/>
        </w:rPr>
        <w:t>Fig 6.</w:t>
      </w:r>
    </w:p>
    <w:p w14:paraId="174BC7FF" w14:textId="77777777" w:rsidR="00C32784" w:rsidRDefault="00C32784" w:rsidP="004C3135">
      <w:pPr>
        <w:shd w:val="clear" w:color="auto" w:fill="FFFFFF"/>
        <w:jc w:val="both"/>
        <w:rPr>
          <w:rFonts w:ascii="Times" w:eastAsia="Times New Roman" w:hAnsi="Times" w:cs="Arial"/>
          <w:b/>
          <w:bCs/>
          <w:color w:val="000000" w:themeColor="text1"/>
          <w:sz w:val="28"/>
          <w:szCs w:val="28"/>
        </w:rPr>
      </w:pPr>
    </w:p>
    <w:p w14:paraId="6E7F5998" w14:textId="1A6123B0" w:rsidR="004C3135" w:rsidRDefault="004C3135" w:rsidP="00C32784">
      <w:pPr>
        <w:shd w:val="clear" w:color="auto" w:fill="FFFFFF"/>
        <w:spacing w:line="360" w:lineRule="auto"/>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t>Effect of regulation policy on the mortality rate of opioid overdose</w:t>
      </w:r>
    </w:p>
    <w:p w14:paraId="296EA369" w14:textId="57EB861A" w:rsidR="00C32784" w:rsidRDefault="00C32784" w:rsidP="00C32784">
      <w:pPr>
        <w:shd w:val="clear" w:color="auto" w:fill="FFFFFF"/>
        <w:spacing w:line="360" w:lineRule="auto"/>
        <w:jc w:val="both"/>
        <w:rPr>
          <w:rFonts w:ascii="Times" w:eastAsia="Times New Roman" w:hAnsi="Times" w:cs="Arial"/>
          <w:color w:val="000000" w:themeColor="text1"/>
        </w:rPr>
      </w:pPr>
      <w:r w:rsidRPr="00B238AE">
        <w:rPr>
          <w:rFonts w:ascii="Times" w:eastAsia="Times New Roman" w:hAnsi="Times" w:cs="Arial"/>
          <w:b/>
          <w:bCs/>
          <w:color w:val="000000" w:themeColor="text1"/>
          <w:sz w:val="28"/>
          <w:szCs w:val="28"/>
        </w:rPr>
        <w:t>Florida</w:t>
      </w:r>
    </w:p>
    <w:p w14:paraId="355A214F" w14:textId="5F2FF8BF" w:rsidR="00C32784" w:rsidRPr="002D011C" w:rsidRDefault="00C32784"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and its control states, before and after policy implementation in Florida.  B</w:t>
      </w:r>
      <w:r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Pr>
          <w:rFonts w:ascii="Times" w:eastAsia="Times New Roman" w:hAnsi="Times" w:cs="Arial"/>
          <w:color w:val="000000" w:themeColor="text1"/>
        </w:rPr>
        <w:t xml:space="preserve">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w:t>
      </w:r>
      <w:r w:rsidR="00385575">
        <w:rPr>
          <w:rFonts w:ascii="Times" w:eastAsia="Times New Roman" w:hAnsi="Times" w:cs="Arial"/>
          <w:color w:val="000000" w:themeColor="text1"/>
        </w:rPr>
        <w:t>0.5</w:t>
      </w:r>
      <w:r>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Pr>
          <w:rFonts w:ascii="Times" w:eastAsia="Times New Roman" w:hAnsi="Times" w:cs="Arial"/>
          <w:color w:val="000000" w:themeColor="text1"/>
        </w:rPr>
        <w:t xml:space="preserve">When comparing Florida’s trend against its control group, Florida’s trend after the policy was implemented was both substantially less than their control states’ and had a reduction in trend when compared to an increase in trend in their control states’, when compared to prior to the policy implementation.  </w:t>
      </w:r>
    </w:p>
    <w:p w14:paraId="25466978" w14:textId="01848770" w:rsidR="00C32784" w:rsidRPr="00C32784" w:rsidRDefault="00C32784" w:rsidP="00C32784">
      <w:pPr>
        <w:shd w:val="clear" w:color="auto" w:fill="FFFFFF"/>
        <w:jc w:val="both"/>
        <w:rPr>
          <w:rFonts w:ascii="Times" w:eastAsia="Times New Roman" w:hAnsi="Times" w:cs="Arial"/>
          <w:b/>
          <w:bCs/>
          <w:noProof/>
          <w:color w:val="000000" w:themeColor="text1"/>
          <w:sz w:val="28"/>
          <w:szCs w:val="28"/>
        </w:rPr>
      </w:pPr>
      <w:r>
        <w:rPr>
          <w:rFonts w:ascii="Times" w:eastAsia="Times New Roman" w:hAnsi="Times" w:cs="Arial"/>
          <w:b/>
          <w:bCs/>
          <w:noProof/>
          <w:color w:val="000000" w:themeColor="text1"/>
        </w:rPr>
        <w:lastRenderedPageBreak/>
        <w:drawing>
          <wp:anchor distT="0" distB="0" distL="114300" distR="114300" simplePos="0" relativeHeight="251659264" behindDoc="0" locked="0" layoutInCell="1" allowOverlap="1" wp14:anchorId="741B0653" wp14:editId="4BCE9F2E">
            <wp:simplePos x="0" y="0"/>
            <wp:positionH relativeFrom="column">
              <wp:posOffset>2903855</wp:posOffset>
            </wp:positionH>
            <wp:positionV relativeFrom="paragraph">
              <wp:posOffset>207010</wp:posOffset>
            </wp:positionV>
            <wp:extent cx="3451225" cy="2520950"/>
            <wp:effectExtent l="0" t="0" r="3175" b="635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1225" cy="2520950"/>
                    </a:xfrm>
                    <a:prstGeom prst="rect">
                      <a:avLst/>
                    </a:prstGeom>
                  </pic:spPr>
                </pic:pic>
              </a:graphicData>
            </a:graphic>
            <wp14:sizeRelH relativeFrom="page">
              <wp14:pctWidth>0</wp14:pctWidth>
            </wp14:sizeRelH>
            <wp14:sizeRelV relativeFrom="page">
              <wp14:pctHeight>0</wp14:pctHeight>
            </wp14:sizeRelV>
          </wp:anchor>
        </w:drawing>
      </w:r>
    </w:p>
    <w:p w14:paraId="6E8F3B0E" w14:textId="77777777" w:rsidR="00C32784" w:rsidRPr="007F05C8" w:rsidRDefault="00C32784" w:rsidP="00C32784">
      <w:pPr>
        <w:shd w:val="clear" w:color="auto" w:fill="FFFFFF"/>
        <w:jc w:val="both"/>
        <w:rPr>
          <w:rFonts w:ascii="Times" w:eastAsia="Times New Roman" w:hAnsi="Times" w:cs="Arial"/>
          <w:b/>
          <w:bCs/>
          <w:color w:val="000000" w:themeColor="text1"/>
        </w:rPr>
      </w:pPr>
      <w:r>
        <w:rPr>
          <w:rFonts w:ascii="Times" w:eastAsia="Times New Roman" w:hAnsi="Times" w:cs="Arial"/>
          <w:b/>
          <w:bCs/>
          <w:noProof/>
          <w:color w:val="000000" w:themeColor="text1"/>
        </w:rPr>
        <w:drawing>
          <wp:anchor distT="0" distB="0" distL="114300" distR="114300" simplePos="0" relativeHeight="251660288" behindDoc="0" locked="0" layoutInCell="1" allowOverlap="1" wp14:anchorId="50BD7975" wp14:editId="0FE95DDD">
            <wp:simplePos x="0" y="0"/>
            <wp:positionH relativeFrom="column">
              <wp:posOffset>0</wp:posOffset>
            </wp:positionH>
            <wp:positionV relativeFrom="paragraph">
              <wp:posOffset>1905</wp:posOffset>
            </wp:positionV>
            <wp:extent cx="2756079" cy="2520222"/>
            <wp:effectExtent l="0" t="0" r="0" b="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6079" cy="2520222"/>
                    </a:xfrm>
                    <a:prstGeom prst="rect">
                      <a:avLst/>
                    </a:prstGeom>
                  </pic:spPr>
                </pic:pic>
              </a:graphicData>
            </a:graphic>
            <wp14:sizeRelH relativeFrom="page">
              <wp14:pctWidth>0</wp14:pctWidth>
            </wp14:sizeRelH>
            <wp14:sizeRelV relativeFrom="page">
              <wp14:pctHeight>0</wp14:pctHeight>
            </wp14:sizeRelV>
          </wp:anchor>
        </w:drawing>
      </w:r>
    </w:p>
    <w:p w14:paraId="07D96D2B" w14:textId="6E7D5934" w:rsidR="00C32784" w:rsidRPr="007F05C8" w:rsidRDefault="00C32784" w:rsidP="00C32784">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Chart of the mortality rate of opioid-drug overdose between the pre-policy and post-policy periods, the regulation policy was effective in Florida in February 2010.</w:t>
      </w:r>
    </w:p>
    <w:p w14:paraId="3B3DBF72" w14:textId="77777777" w:rsidR="00C32784" w:rsidRPr="007F05C8" w:rsidRDefault="00C32784" w:rsidP="00C32784">
      <w:pPr>
        <w:shd w:val="clear" w:color="auto" w:fill="FFFFFF"/>
        <w:jc w:val="both"/>
        <w:rPr>
          <w:rFonts w:ascii="Times" w:eastAsia="Times New Roman" w:hAnsi="Times" w:cs="Arial"/>
          <w:color w:val="000000" w:themeColor="text1"/>
        </w:rPr>
      </w:pPr>
    </w:p>
    <w:p w14:paraId="4AE6546D"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0, it is obvious that the mortality rate of opioid-drug overdose has a decreasing tendency based on the left graph. Also, the right graph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It is evident that the mortality rate of opioid-drug overdose in these control states continues to hold an increasing trend after 2010.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had a rising trend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opioid drugs in 2010,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 xml:space="preserve">in 2010 and it continued to keep a downward tendency from 2010. This might not happen if the regulation policy was not 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 xml:space="preserve">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w:t>
      </w:r>
      <w:r>
        <w:rPr>
          <w:rFonts w:ascii="Times" w:eastAsia="Times New Roman" w:hAnsi="Times" w:cs="Arial"/>
          <w:color w:val="000000" w:themeColor="text1"/>
        </w:rPr>
        <w:t xml:space="preserve">Furthermore, it is evident that the variations of </w:t>
      </w:r>
      <w:r w:rsidRPr="007F05C8">
        <w:rPr>
          <w:rFonts w:ascii="Times" w:eastAsia="Times New Roman" w:hAnsi="Times" w:cs="Arial"/>
          <w:color w:val="000000" w:themeColor="text1"/>
        </w:rPr>
        <w:t>drug overdose deaths between pre and post</w:t>
      </w:r>
      <w:r>
        <w:rPr>
          <w:rFonts w:ascii="Times" w:eastAsia="Times New Roman" w:hAnsi="Times" w:cs="Arial"/>
          <w:color w:val="000000" w:themeColor="text1"/>
        </w:rPr>
        <w:t xml:space="preserve"> </w:t>
      </w:r>
      <w:r w:rsidRPr="007F05C8">
        <w:rPr>
          <w:rFonts w:ascii="Times" w:eastAsia="Times New Roman" w:hAnsi="Times" w:cs="Arial"/>
          <w:color w:val="000000" w:themeColor="text1"/>
        </w:rPr>
        <w:t>policy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became greater since 2010.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lastRenderedPageBreak/>
        <w:t>about 7.5 higher</w:t>
      </w:r>
      <w:r w:rsidRPr="007F05C8">
        <w:rPr>
          <w:rFonts w:ascii="Times" w:eastAsia="Times New Roman" w:hAnsi="Times" w:cs="Arial"/>
          <w:color w:val="000000" w:themeColor="text1"/>
        </w:rPr>
        <w:t xml:space="preserve"> than the average mortality rate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about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decreasing the mortality rate of opioid-drug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Default="00385575" w:rsidP="00385575">
      <w:pPr>
        <w:shd w:val="clear" w:color="auto" w:fill="FFFFFF"/>
        <w:spacing w:line="360" w:lineRule="auto"/>
        <w:jc w:val="both"/>
        <w:rPr>
          <w:rFonts w:ascii="Times" w:eastAsia="Times New Roman" w:hAnsi="Times" w:cs="Arial"/>
          <w:b/>
          <w:bCs/>
          <w:color w:val="000000" w:themeColor="text1"/>
          <w:sz w:val="28"/>
          <w:szCs w:val="28"/>
        </w:rPr>
      </w:pPr>
      <w:r w:rsidRPr="00B238AE">
        <w:rPr>
          <w:rFonts w:ascii="Times" w:eastAsia="Times New Roman" w:hAnsi="Times" w:cs="Arial"/>
          <w:b/>
          <w:bCs/>
          <w:color w:val="000000" w:themeColor="text1"/>
          <w:sz w:val="28"/>
          <w:szCs w:val="28"/>
        </w:rPr>
        <w:t>Texas</w:t>
      </w:r>
    </w:p>
    <w:p w14:paraId="5104FB10" w14:textId="7295E3D2"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1.3 per year.  This substantial change in trend supports the hypothesis that the policy reduced the quantity of drug-induced deaths in Texas. When comparing Texas’s trend against its control group, Texas’s trend after the policy was implemented was both substantially less than their control states’ and had a reduction in trend when compared to an increase in trend in their control states’, when compared to prior to the policy implementation.  </w:t>
      </w:r>
    </w:p>
    <w:p w14:paraId="0141B58A" w14:textId="41DA52FF" w:rsidR="00C32784" w:rsidRPr="00F05EC6" w:rsidRDefault="00C32784"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anchor distT="0" distB="0" distL="114300" distR="114300" simplePos="0" relativeHeight="251662336" behindDoc="0" locked="0" layoutInCell="1" allowOverlap="1" wp14:anchorId="06C2B165" wp14:editId="761C1574">
            <wp:simplePos x="0" y="0"/>
            <wp:positionH relativeFrom="column">
              <wp:posOffset>0</wp:posOffset>
            </wp:positionH>
            <wp:positionV relativeFrom="paragraph">
              <wp:posOffset>308297</wp:posOffset>
            </wp:positionV>
            <wp:extent cx="2783840" cy="2562860"/>
            <wp:effectExtent l="0" t="0" r="0" b="254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3840" cy="256286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1312" behindDoc="0" locked="0" layoutInCell="1" allowOverlap="1" wp14:anchorId="2E6FF1F6" wp14:editId="17A236B9">
            <wp:simplePos x="0" y="0"/>
            <wp:positionH relativeFrom="column">
              <wp:posOffset>2858770</wp:posOffset>
            </wp:positionH>
            <wp:positionV relativeFrom="paragraph">
              <wp:posOffset>308020</wp:posOffset>
            </wp:positionV>
            <wp:extent cx="3486150" cy="2562860"/>
            <wp:effectExtent l="0" t="0" r="6350" b="254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6150" cy="2562860"/>
                    </a:xfrm>
                    <a:prstGeom prst="rect">
                      <a:avLst/>
                    </a:prstGeom>
                  </pic:spPr>
                </pic:pic>
              </a:graphicData>
            </a:graphic>
            <wp14:sizeRelH relativeFrom="page">
              <wp14:pctWidth>0</wp14:pctWidth>
            </wp14:sizeRelH>
            <wp14:sizeRelV relativeFrom="page">
              <wp14:pctHeight>0</wp14:pctHeight>
            </wp14:sizeRelV>
          </wp:anchor>
        </w:drawing>
      </w:r>
    </w:p>
    <w:p w14:paraId="50DE1DBD" w14:textId="77777777" w:rsidR="00C32784" w:rsidRPr="00B238AE" w:rsidRDefault="00C32784" w:rsidP="00C32784">
      <w:pPr>
        <w:shd w:val="clear" w:color="auto" w:fill="FFFFFF"/>
        <w:jc w:val="both"/>
        <w:rPr>
          <w:rFonts w:ascii="Times" w:eastAsia="Times New Roman" w:hAnsi="Times" w:cs="Arial"/>
          <w:b/>
          <w:bCs/>
          <w:color w:val="000000" w:themeColor="text1"/>
          <w:sz w:val="28"/>
          <w:szCs w:val="28"/>
        </w:rPr>
      </w:pPr>
    </w:p>
    <w:p w14:paraId="7427B4C0" w14:textId="3A5E84C7" w:rsidR="00C32784" w:rsidRPr="007F05C8" w:rsidRDefault="00C32784" w:rsidP="00C32784">
      <w:pPr>
        <w:shd w:val="clear" w:color="auto" w:fill="FFFFFF"/>
        <w:jc w:val="center"/>
        <w:rPr>
          <w:rFonts w:ascii="Times" w:eastAsia="Times New Roman" w:hAnsi="Times" w:cs="Arial"/>
          <w:color w:val="000000" w:themeColor="text1"/>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8</w:t>
      </w:r>
      <w:r w:rsidRPr="007F05C8">
        <w:rPr>
          <w:rFonts w:ascii="Times" w:eastAsia="Times New Roman" w:hAnsi="Times" w:cs="Arial"/>
          <w:i/>
          <w:iCs/>
          <w:color w:val="000000" w:themeColor="text1"/>
          <w:sz w:val="22"/>
          <w:szCs w:val="22"/>
        </w:rPr>
        <w:t xml:space="preserve">: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777937C1"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implement the regulation policy for opioid drugs in 2007, it is obvious that the mortality rate of opioid-drug overdose has a relatively decreasing tendency based on the left graph. </w:t>
      </w:r>
      <w:r w:rsidRPr="007F05C8">
        <w:rPr>
          <w:rFonts w:ascii="Times" w:eastAsia="Times New Roman" w:hAnsi="Times" w:cs="Arial"/>
          <w:color w:val="000000" w:themeColor="text1"/>
        </w:rPr>
        <w:lastRenderedPageBreak/>
        <w:t>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had an increasing trend from about </w:t>
      </w:r>
      <w:r>
        <w:rPr>
          <w:rFonts w:ascii="Times" w:eastAsia="Times New Roman" w:hAnsi="Times" w:cs="Arial"/>
          <w:color w:val="000000" w:themeColor="text1"/>
        </w:rPr>
        <w:t>8</w:t>
      </w:r>
      <w:r w:rsidRPr="007F05C8">
        <w:rPr>
          <w:rFonts w:ascii="Times" w:eastAsia="Times New Roman" w:hAnsi="Times" w:cs="Arial"/>
          <w:color w:val="000000" w:themeColor="text1"/>
        </w:rPr>
        <w:t xml:space="preserve"> year by year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at TX, the mortality rate</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 opioid-drug overdose in TX dropped immediately to about 0.0105% in 2007 and it continued to keep a downward tendency from 2007. This might not happen if the regulation policy was not 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Pr>
          <w:rFonts w:ascii="Times" w:eastAsia="Times New Roman" w:hAnsi="Times" w:cs="Arial"/>
          <w:color w:val="000000" w:themeColor="text1"/>
        </w:rPr>
        <w:t>are 3 higher than</w:t>
      </w:r>
      <w:r w:rsidRPr="007F05C8">
        <w:rPr>
          <w:rFonts w:ascii="Times" w:eastAsia="Times New Roman" w:hAnsi="Times" w:cs="Arial"/>
          <w:color w:val="000000" w:themeColor="text1"/>
        </w:rPr>
        <w:t xml:space="preserve"> the average mortality rate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Nevertheless, the three comparison states still had an upward trend of mortality rate after 2007, this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it is obvious that the variations of </w:t>
      </w:r>
      <w:r w:rsidRPr="007F05C8">
        <w:rPr>
          <w:rFonts w:ascii="Times" w:eastAsia="Times New Roman" w:hAnsi="Times" w:cs="Arial"/>
          <w:color w:val="000000" w:themeColor="text1"/>
        </w:rPr>
        <w:t>drug overdose deaths between pre and post</w:t>
      </w:r>
      <w:r>
        <w:rPr>
          <w:rFonts w:ascii="Times" w:eastAsia="Times New Roman" w:hAnsi="Times" w:cs="Arial"/>
          <w:color w:val="000000" w:themeColor="text1"/>
        </w:rPr>
        <w:t xml:space="preserve"> </w:t>
      </w:r>
      <w:r w:rsidRPr="007F05C8">
        <w:rPr>
          <w:rFonts w:ascii="Times" w:eastAsia="Times New Roman" w:hAnsi="Times" w:cs="Arial"/>
          <w:color w:val="000000" w:themeColor="text1"/>
        </w:rPr>
        <w:t>policy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became greater since 2007.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about 9 higher</w:t>
      </w:r>
      <w:r w:rsidRPr="007F05C8">
        <w:rPr>
          <w:rFonts w:ascii="Times" w:eastAsia="Times New Roman" w:hAnsi="Times" w:cs="Arial"/>
          <w:color w:val="000000" w:themeColor="text1"/>
        </w:rPr>
        <w:t xml:space="preserve"> than the average mortality rate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rate of opioid-drug overdose in Texas.</w:t>
      </w:r>
    </w:p>
    <w:p w14:paraId="005CCE38" w14:textId="1F77B512" w:rsidR="00C32784" w:rsidRDefault="00C32784" w:rsidP="00C32784">
      <w:pPr>
        <w:shd w:val="clear" w:color="auto" w:fill="FFFFFF"/>
        <w:jc w:val="both"/>
        <w:rPr>
          <w:rFonts w:ascii="Times" w:eastAsia="Times New Roman" w:hAnsi="Times" w:cs="Arial"/>
          <w:color w:val="000000" w:themeColor="text1"/>
        </w:rPr>
      </w:pP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Default="00385575" w:rsidP="00385575">
      <w:pPr>
        <w:shd w:val="clear" w:color="auto" w:fill="FFFFFF"/>
        <w:spacing w:line="360" w:lineRule="auto"/>
        <w:jc w:val="both"/>
        <w:rPr>
          <w:rFonts w:ascii="Times" w:eastAsia="Times New Roman" w:hAnsi="Times" w:cs="Arial"/>
          <w:b/>
          <w:bCs/>
          <w:color w:val="000000" w:themeColor="text1"/>
          <w:sz w:val="28"/>
          <w:szCs w:val="28"/>
        </w:rPr>
      </w:pPr>
      <w:r>
        <w:rPr>
          <w:rFonts w:ascii="Times" w:eastAsia="Times New Roman" w:hAnsi="Times" w:cs="Arial"/>
          <w:b/>
          <w:bCs/>
          <w:color w:val="000000" w:themeColor="text1"/>
          <w:sz w:val="28"/>
          <w:szCs w:val="28"/>
        </w:rPr>
        <w:t>Washington</w:t>
      </w:r>
    </w:p>
    <w:p w14:paraId="397D12F0" w14:textId="392FAD5C" w:rsidR="00385575"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in Washington.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0.25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Pr>
          <w:rFonts w:ascii="Times" w:eastAsia="Times New Roman" w:hAnsi="Times" w:cs="Arial"/>
          <w:color w:val="000000" w:themeColor="text1"/>
        </w:rPr>
        <w:t xml:space="preserve">increasing at a rate of approximately 0.07 per year.  Consequently, this change in trend does not support the hypothesis that the policy reduced the quantity of drug-induced deaths in Washington. </w:t>
      </w:r>
    </w:p>
    <w:p w14:paraId="035FEB6D" w14:textId="6D5D7A0D" w:rsidR="00C32784" w:rsidRPr="00B238AE" w:rsidRDefault="00385575"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noProof/>
          <w:color w:val="000000" w:themeColor="text1"/>
        </w:rPr>
        <w:lastRenderedPageBreak/>
        <w:drawing>
          <wp:anchor distT="0" distB="0" distL="114300" distR="114300" simplePos="0" relativeHeight="251664384" behindDoc="0" locked="0" layoutInCell="1" allowOverlap="1" wp14:anchorId="73A89422" wp14:editId="171CFE64">
            <wp:simplePos x="0" y="0"/>
            <wp:positionH relativeFrom="column">
              <wp:posOffset>-32198</wp:posOffset>
            </wp:positionH>
            <wp:positionV relativeFrom="paragraph">
              <wp:posOffset>297150</wp:posOffset>
            </wp:positionV>
            <wp:extent cx="2788276" cy="2450168"/>
            <wp:effectExtent l="0" t="0" r="6350" b="127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8276" cy="2450168"/>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noProof/>
          <w:color w:val="000000" w:themeColor="text1"/>
        </w:rPr>
        <w:drawing>
          <wp:anchor distT="0" distB="0" distL="114300" distR="114300" simplePos="0" relativeHeight="251663360" behindDoc="0" locked="0" layoutInCell="1" allowOverlap="1" wp14:anchorId="451A0E34" wp14:editId="139FC72C">
            <wp:simplePos x="0" y="0"/>
            <wp:positionH relativeFrom="column">
              <wp:posOffset>2787650</wp:posOffset>
            </wp:positionH>
            <wp:positionV relativeFrom="paragraph">
              <wp:posOffset>300355</wp:posOffset>
            </wp:positionV>
            <wp:extent cx="3444875" cy="2449830"/>
            <wp:effectExtent l="0" t="0" r="0" b="127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4875" cy="2449830"/>
                    </a:xfrm>
                    <a:prstGeom prst="rect">
                      <a:avLst/>
                    </a:prstGeom>
                  </pic:spPr>
                </pic:pic>
              </a:graphicData>
            </a:graphic>
            <wp14:sizeRelH relativeFrom="page">
              <wp14:pctWidth>0</wp14:pctWidth>
            </wp14:sizeRelH>
            <wp14:sizeRelV relativeFrom="page">
              <wp14:pctHeight>0</wp14:pctHeight>
            </wp14:sizeRelV>
          </wp:anchor>
        </w:drawing>
      </w:r>
    </w:p>
    <w:p w14:paraId="11D7671B" w14:textId="2F94751C"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6390CEE1"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xml:space="preserve">: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4D8C4767" w14:textId="77777777" w:rsidR="00C32784" w:rsidRPr="007F05C8" w:rsidRDefault="00C32784" w:rsidP="00C32784">
      <w:pPr>
        <w:pStyle w:val="BodyText"/>
        <w:spacing w:line="304" w:lineRule="auto"/>
        <w:ind w:right="131"/>
        <w:jc w:val="both"/>
        <w:rPr>
          <w:rFonts w:ascii="Times" w:hAnsi="Times"/>
          <w:color w:val="161616"/>
          <w:w w:val="110"/>
        </w:rPr>
      </w:pPr>
    </w:p>
    <w:p w14:paraId="199C1280"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It is obvious that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these control states continues to hold an increasing trend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about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rate of opioid-drug overdose in WA did not drop, it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Pr="007F05C8">
        <w:rPr>
          <w:rFonts w:ascii="Times" w:eastAsia="Times New Roman" w:hAnsi="Times" w:cs="Arial"/>
          <w:color w:val="000000" w:themeColor="text1"/>
        </w:rPr>
        <w:t xml:space="preserve">average mortality rate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larger</w:t>
      </w:r>
      <w:r w:rsidRPr="007F05C8">
        <w:rPr>
          <w:rFonts w:ascii="Times" w:eastAsia="Times New Roman" w:hAnsi="Times" w:cs="Arial"/>
          <w:color w:val="000000" w:themeColor="text1"/>
        </w:rPr>
        <w:t xml:space="preserve"> than the </w:t>
      </w:r>
      <w:r>
        <w:rPr>
          <w:rFonts w:ascii="Times" w:eastAsia="Times New Roman" w:hAnsi="Times" w:cs="Arial"/>
          <w:color w:val="000000" w:themeColor="text1"/>
        </w:rPr>
        <w:t xml:space="preserve">slope of </w:t>
      </w:r>
      <w:r w:rsidRPr="007F05C8">
        <w:rPr>
          <w:rFonts w:ascii="Times" w:eastAsia="Times New Roman" w:hAnsi="Times" w:cs="Arial"/>
          <w:color w:val="000000" w:themeColor="text1"/>
        </w:rPr>
        <w:t xml:space="preserve">average mortality rate of Washington from 2003 to 2011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The three comparison states still had an upward trend of mortality rate after 2012, this tendency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general, the mortality rate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about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rates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Washington were lower than other control states on average </w:t>
      </w:r>
      <w:r w:rsidRPr="007F05C8">
        <w:rPr>
          <w:rFonts w:ascii="Times" w:eastAsia="Times New Roman" w:hAnsi="Times" w:cs="Arial"/>
          <w:color w:val="000000" w:themeColor="text1"/>
        </w:rPr>
        <w:lastRenderedPageBreak/>
        <w:t>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7777777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were able to implement policies that reduced drug-induced deaths, and Florida’s policy was able to limit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the state.  With appropriate data, similar analysis would be able to confirm if Texas was able to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6D35AF97" w14:textId="77777777" w:rsidR="00506649" w:rsidRPr="007F05C8" w:rsidRDefault="00506649" w:rsidP="00506649">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 most states had implemented at least 3 of these 4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is difficult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 These factors complicate </w:t>
      </w:r>
      <w:r>
        <w:rPr>
          <w:rFonts w:ascii="Times" w:eastAsia="Times New Roman" w:hAnsi="Times" w:cs="Arial"/>
          <w:color w:val="000000" w:themeColor="text1"/>
        </w:rPr>
        <w:t>valid inference on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4E87BAA9" w:rsidR="004C3135" w:rsidRPr="00C32784" w:rsidRDefault="004C3135" w:rsidP="004C3135">
      <w:pPr>
        <w:shd w:val="clear" w:color="auto" w:fill="FFFFFF"/>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4810C826" w14:textId="77777777" w:rsidR="00506649" w:rsidRPr="003D3906" w:rsidRDefault="00506649" w:rsidP="004C3135">
      <w:pPr>
        <w:shd w:val="clear" w:color="auto" w:fill="FFFFFF"/>
        <w:jc w:val="both"/>
        <w:rPr>
          <w:rFonts w:ascii="Times" w:eastAsia="Times New Roman" w:hAnsi="Times" w:cs="Arial"/>
          <w:b/>
          <w:bCs/>
          <w:color w:val="FF0000"/>
          <w:sz w:val="32"/>
          <w:szCs w:val="32"/>
        </w:rPr>
      </w:pPr>
    </w:p>
    <w:p w14:paraId="324D2D61" w14:textId="77777777" w:rsidR="00506649" w:rsidRDefault="00506649" w:rsidP="00506649">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Based on this analysis, Florida and Texas have been able to implement successful policies to combat the opioid epidemic and should be used as a best practice case study for other states who continue to struggle in reducing opioid deaths and over-prescription of opioids.  Conversely, Washington’s policy in 2012 has been shown to be relatively ineffective at combating the opioid epidemic and should be updated to follow more closely Florida’s implementation, which has been substantially more successful.</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lastRenderedPageBreak/>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9"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20"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0AE61" w14:textId="77777777" w:rsidR="0048051D" w:rsidRDefault="0048051D" w:rsidP="00AC5A3C">
      <w:r>
        <w:separator/>
      </w:r>
    </w:p>
  </w:endnote>
  <w:endnote w:type="continuationSeparator" w:id="0">
    <w:p w14:paraId="6DFD8B3D" w14:textId="77777777" w:rsidR="0048051D" w:rsidRDefault="0048051D"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74D23" w14:textId="77777777" w:rsidR="0048051D" w:rsidRDefault="0048051D" w:rsidP="00AC5A3C">
      <w:r>
        <w:separator/>
      </w:r>
    </w:p>
  </w:footnote>
  <w:footnote w:type="continuationSeparator" w:id="0">
    <w:p w14:paraId="42EDC0A0" w14:textId="77777777" w:rsidR="0048051D" w:rsidRDefault="0048051D"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2198803">
    <w:abstractNumId w:val="1"/>
  </w:num>
  <w:num w:numId="2" w16cid:durableId="1114472100">
    <w:abstractNumId w:val="2"/>
  </w:num>
  <w:num w:numId="3" w16cid:durableId="779446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50AD9"/>
    <w:rsid w:val="0005203D"/>
    <w:rsid w:val="00056C08"/>
    <w:rsid w:val="00061D5D"/>
    <w:rsid w:val="000B2994"/>
    <w:rsid w:val="0010500E"/>
    <w:rsid w:val="0012342B"/>
    <w:rsid w:val="001B5271"/>
    <w:rsid w:val="002159A5"/>
    <w:rsid w:val="002177CC"/>
    <w:rsid w:val="00223F14"/>
    <w:rsid w:val="00247F9F"/>
    <w:rsid w:val="00252006"/>
    <w:rsid w:val="002E4C74"/>
    <w:rsid w:val="002F1BB0"/>
    <w:rsid w:val="00351B38"/>
    <w:rsid w:val="00385575"/>
    <w:rsid w:val="0042380B"/>
    <w:rsid w:val="00455DAE"/>
    <w:rsid w:val="0048051D"/>
    <w:rsid w:val="004C3135"/>
    <w:rsid w:val="004C4033"/>
    <w:rsid w:val="004F61BD"/>
    <w:rsid w:val="00506649"/>
    <w:rsid w:val="005660CB"/>
    <w:rsid w:val="005C16F9"/>
    <w:rsid w:val="005F5733"/>
    <w:rsid w:val="0060566E"/>
    <w:rsid w:val="00661AAE"/>
    <w:rsid w:val="00671B54"/>
    <w:rsid w:val="007153C4"/>
    <w:rsid w:val="00727FEC"/>
    <w:rsid w:val="007773E0"/>
    <w:rsid w:val="007D0DDD"/>
    <w:rsid w:val="007D535F"/>
    <w:rsid w:val="007F0B5D"/>
    <w:rsid w:val="007F1131"/>
    <w:rsid w:val="008007A6"/>
    <w:rsid w:val="00820830"/>
    <w:rsid w:val="00840EDF"/>
    <w:rsid w:val="008611E9"/>
    <w:rsid w:val="00873C55"/>
    <w:rsid w:val="008B4BC2"/>
    <w:rsid w:val="00914D89"/>
    <w:rsid w:val="00920E0B"/>
    <w:rsid w:val="00991CE3"/>
    <w:rsid w:val="009E7933"/>
    <w:rsid w:val="00A0329D"/>
    <w:rsid w:val="00A42CD2"/>
    <w:rsid w:val="00A63D5F"/>
    <w:rsid w:val="00AC5A3C"/>
    <w:rsid w:val="00AE606D"/>
    <w:rsid w:val="00B039DB"/>
    <w:rsid w:val="00B466E8"/>
    <w:rsid w:val="00B53592"/>
    <w:rsid w:val="00B55C9F"/>
    <w:rsid w:val="00B80E08"/>
    <w:rsid w:val="00BD3714"/>
    <w:rsid w:val="00BF5ACB"/>
    <w:rsid w:val="00C116FD"/>
    <w:rsid w:val="00C300AF"/>
    <w:rsid w:val="00C32784"/>
    <w:rsid w:val="00CA5218"/>
    <w:rsid w:val="00CD5E99"/>
    <w:rsid w:val="00D50D64"/>
    <w:rsid w:val="00D8364B"/>
    <w:rsid w:val="00D93D1A"/>
    <w:rsid w:val="00D9639F"/>
    <w:rsid w:val="00DB3D1B"/>
    <w:rsid w:val="00DF0671"/>
    <w:rsid w:val="00DF7EC7"/>
    <w:rsid w:val="00E92823"/>
    <w:rsid w:val="00F04220"/>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dc.gov/drugoverdose/rxrate-maps/state2020.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orldpopulationreview.com/stat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17</Pages>
  <Words>4095</Words>
  <Characters>23346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Emmanuel Ruhamyankaka</cp:lastModifiedBy>
  <cp:revision>23</cp:revision>
  <dcterms:created xsi:type="dcterms:W3CDTF">2022-11-29T00:20:00Z</dcterms:created>
  <dcterms:modified xsi:type="dcterms:W3CDTF">2022-11-29T10:50:00Z</dcterms:modified>
</cp:coreProperties>
</file>