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 xml:space="preserve">Grey Team (Nick Carroll, </w:t>
      </w:r>
      <w:proofErr w:type="spellStart"/>
      <w:r w:rsidRPr="00791E5A">
        <w:rPr>
          <w:rFonts w:ascii="Times" w:hAnsi="Times" w:cs="Arial"/>
          <w:color w:val="1D1C1D"/>
        </w:rPr>
        <w:t>Jiaxin</w:t>
      </w:r>
      <w:proofErr w:type="spellEnd"/>
      <w:r w:rsidRPr="00791E5A">
        <w:rPr>
          <w:rFonts w:ascii="Times" w:hAnsi="Times" w:cs="Arial"/>
          <w:color w:val="1D1C1D"/>
        </w:rPr>
        <w:t xml:space="preserve"> Ying, Emmanuel </w:t>
      </w:r>
      <w:proofErr w:type="spellStart"/>
      <w:r w:rsidRPr="00791E5A">
        <w:rPr>
          <w:rFonts w:ascii="Times" w:hAnsi="Times" w:cs="Arial"/>
          <w:color w:val="1D1C1D"/>
        </w:rPr>
        <w:t>Ruhamyankaka</w:t>
      </w:r>
      <w:proofErr w:type="spellEnd"/>
      <w:r w:rsidRPr="00791E5A">
        <w:rPr>
          <w:rFonts w:ascii="Times" w:hAnsi="Times" w:cs="Arial"/>
          <w:color w:val="1D1C1D"/>
        </w:rPr>
        <w:t>, Song Young Oh)</w:t>
      </w:r>
    </w:p>
    <w:p w14:paraId="5366DA43" w14:textId="77777777" w:rsidR="00791E5A" w:rsidRDefault="00791E5A" w:rsidP="00791E5A">
      <w:pPr>
        <w:jc w:val="both"/>
        <w:rPr>
          <w:rFonts w:ascii="Times" w:hAnsi="Times"/>
          <w:b/>
          <w:bCs/>
          <w:color w:val="000000" w:themeColor="text1"/>
        </w:rPr>
      </w:pP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13DA0778"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In addition to these efforts at the federal level, there has been enforcement of state-level opioid control policies in various parts of the US. For instance, the Texas Medical Board adopted regulations with regards to treating pain with controlled substances in 2007. The Florida legislature also began to require that pain clinics treating pain with controlled substances register with the state since 2010, and the Washington Department of Health adopted a rule regulating the prescribing of 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18438F08" w14:textId="77777777"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Evaluating the impact of these state-level policies on public health outcomes matters in health policy. It is because their geographic and temporal variation in policy adoption can offer an insight into better understanding about the policy effects. In this project, the effects of opioid drug prescription regulations enforced in three states (Texas, Florida, Washington) will be examined by focusing on their effects on 1) the volume of opioids shipment and 2) drug overdose deaths.</w:t>
      </w:r>
    </w:p>
    <w:p w14:paraId="72D2DBB4" w14:textId="77777777" w:rsidR="00791E5A" w:rsidRPr="00791E5A" w:rsidRDefault="00791E5A" w:rsidP="005B40ED">
      <w:pPr>
        <w:spacing w:line="360" w:lineRule="auto"/>
        <w:jc w:val="both"/>
        <w:rPr>
          <w:rFonts w:ascii="Times" w:hAnsi="Times"/>
          <w:color w:val="000000" w:themeColor="text1"/>
        </w:rPr>
      </w:pPr>
    </w:p>
    <w:p w14:paraId="5D6E2F65" w14:textId="1C6A434B"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Furthermore, two approaches will be mainly used in the analysis. The first approach is pre-post comparison which focuses on difference between pre-policy and post-policy outcomes. The other one is 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lastRenderedPageBreak/>
        <w:t>Overview of the Data</w:t>
      </w:r>
    </w:p>
    <w:p w14:paraId="07151525" w14:textId="09A1BE13" w:rsid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1D05A2CA" w14:textId="77777777" w:rsidR="005B40ED" w:rsidRPr="00A53FC4" w:rsidRDefault="005B40ED" w:rsidP="005B40ED">
      <w:pPr>
        <w:spacing w:line="360" w:lineRule="auto"/>
        <w:jc w:val="both"/>
        <w:rPr>
          <w:rFonts w:ascii="Times" w:hAnsi="Times"/>
          <w:color w:val="000000" w:themeColor="text1"/>
        </w:rPr>
      </w:pPr>
    </w:p>
    <w:p w14:paraId="6E868966" w14:textId="45E07BE7"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352B9C45" w14:textId="01480D54" w:rsidR="00A0684B" w:rsidRPr="00B238AE" w:rsidRDefault="00B238AE" w:rsidP="00D3489B">
      <w:pPr>
        <w:jc w:val="both"/>
        <w:rPr>
          <w:rFonts w:ascii="Times" w:hAnsi="Times"/>
          <w:b/>
          <w:bCs/>
          <w:color w:val="000000" w:themeColor="text1"/>
          <w:sz w:val="32"/>
          <w:szCs w:val="32"/>
        </w:rPr>
      </w:pPr>
      <w:r w:rsidRPr="00B238AE">
        <w:rPr>
          <w:rFonts w:ascii="Times" w:hAnsi="Times"/>
          <w:b/>
          <w:bCs/>
          <w:color w:val="000000" w:themeColor="text1"/>
          <w:sz w:val="32"/>
          <w:szCs w:val="32"/>
        </w:rPr>
        <w:t>Pre-post and Difference-in-difference Analysis</w:t>
      </w:r>
    </w:p>
    <w:p w14:paraId="12CC9C30" w14:textId="77777777" w:rsidR="005B40ED" w:rsidRDefault="005B40ED" w:rsidP="00D3489B">
      <w:pPr>
        <w:jc w:val="both"/>
        <w:rPr>
          <w:rFonts w:ascii="Times" w:hAnsi="Times"/>
          <w:b/>
          <w:bCs/>
          <w:color w:val="000000" w:themeColor="text1"/>
        </w:rPr>
      </w:pPr>
    </w:p>
    <w:p w14:paraId="129BED31" w14:textId="77777777" w:rsidR="00D3489B" w:rsidRPr="007F05C8" w:rsidRDefault="00D3489B" w:rsidP="005B40ED">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project hypothesis is that the average annual percent change in per capita opioid quantities </w:t>
      </w:r>
      <w:proofErr w:type="gramStart"/>
      <w:r w:rsidRPr="007F05C8">
        <w:rPr>
          <w:rFonts w:ascii="Times" w:eastAsia="Times New Roman" w:hAnsi="Times" w:cs="Arial"/>
          <w:color w:val="000000" w:themeColor="text1"/>
        </w:rPr>
        <w:t>sold</w:t>
      </w:r>
      <w:proofErr w:type="gramEnd"/>
      <w:r w:rsidRPr="007F05C8">
        <w:rPr>
          <w:rFonts w:ascii="Times" w:eastAsia="Times New Roman" w:hAnsi="Times" w:cs="Arial"/>
          <w:color w:val="000000" w:themeColor="text1"/>
        </w:rPr>
        <w:t xml:space="preserve"> and overdose deaths is lower in the states where regulations were implemented when compared against the same jurisdiction prior to implementation and against jurisdictions where no new policies were implemented. To analyze this change, both a "Pre-Post Comparison" and "Difference-in-Difference Comparison" analysis will be utilized. To analyze the validity of the hypothesis, it is expected that the hypothesis is reasonable if the average annual percent change in per capita opioid quantities </w:t>
      </w:r>
      <w:proofErr w:type="gramStart"/>
      <w:r w:rsidRPr="007F05C8">
        <w:rPr>
          <w:rFonts w:ascii="Times" w:eastAsia="Times New Roman" w:hAnsi="Times" w:cs="Arial"/>
          <w:color w:val="000000" w:themeColor="text1"/>
        </w:rPr>
        <w:t>sold</w:t>
      </w:r>
      <w:proofErr w:type="gramEnd"/>
      <w:r w:rsidRPr="007F05C8">
        <w:rPr>
          <w:rFonts w:ascii="Times" w:eastAsia="Times New Roman" w:hAnsi="Times" w:cs="Arial"/>
          <w:color w:val="000000" w:themeColor="text1"/>
        </w:rPr>
        <w:t xml:space="preserve"> and opioid-drug-overdose deaths should be substantially less after the policies were placed than before the polices were introduced for each jurisdiction. Otherwise, the hypothesis will be rejected if the opioid-drug-overdose deaths per capita or the opioid quantities sold per capita continue to increase or basically keep constant after the regulation policy change.</w:t>
      </w:r>
    </w:p>
    <w:p w14:paraId="02E72375" w14:textId="77777777" w:rsidR="00D3489B" w:rsidRPr="007F05C8" w:rsidRDefault="00D3489B" w:rsidP="005B40ED">
      <w:pPr>
        <w:shd w:val="clear" w:color="auto" w:fill="FFFFFF"/>
        <w:spacing w:line="360" w:lineRule="auto"/>
        <w:jc w:val="both"/>
        <w:rPr>
          <w:rFonts w:ascii="Times" w:eastAsia="Times New Roman" w:hAnsi="Times" w:cs="Arial"/>
          <w:color w:val="000000" w:themeColor="text1"/>
        </w:rPr>
      </w:pPr>
    </w:p>
    <w:p w14:paraId="7847EAE2" w14:textId="4BCE58A1" w:rsidR="00D3489B" w:rsidRDefault="00D3489B" w:rsidP="005B40ED">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lastRenderedPageBreak/>
        <w:t xml:space="preserve">For the three states (Florida, Washington, and Texas) that introduced opioid regulation policies, we choose three states as comparison states for them because they have similar population sizes and opioid dispense rates. The control states for Florida are </w:t>
      </w:r>
      <w:r w:rsidR="00701B13">
        <w:rPr>
          <w:rFonts w:ascii="Times" w:eastAsia="Times New Roman" w:hAnsi="Times" w:cs="Arial"/>
          <w:color w:val="000000" w:themeColor="text1"/>
        </w:rPr>
        <w:t>Michigan (MI)</w:t>
      </w:r>
      <w:r w:rsidRPr="007F05C8">
        <w:rPr>
          <w:rFonts w:ascii="Times" w:eastAsia="Times New Roman" w:hAnsi="Times" w:cs="Arial"/>
          <w:color w:val="000000" w:themeColor="text1"/>
        </w:rPr>
        <w:t xml:space="preserve">, </w:t>
      </w:r>
      <w:r w:rsidR="00701B13">
        <w:rPr>
          <w:rFonts w:ascii="Times" w:eastAsia="Times New Roman" w:hAnsi="Times" w:cs="Arial"/>
          <w:color w:val="000000" w:themeColor="text1"/>
        </w:rPr>
        <w:t>North Carolina (NC</w:t>
      </w:r>
      <w:r w:rsidRPr="007F05C8">
        <w:rPr>
          <w:rFonts w:ascii="Times" w:eastAsia="Times New Roman" w:hAnsi="Times" w:cs="Arial"/>
          <w:color w:val="000000" w:themeColor="text1"/>
        </w:rPr>
        <w:t>),</w:t>
      </w:r>
      <w:r w:rsidR="00701B13">
        <w:rPr>
          <w:rFonts w:ascii="Times" w:eastAsia="Times New Roman" w:hAnsi="Times" w:cs="Arial"/>
          <w:color w:val="000000" w:themeColor="text1"/>
        </w:rPr>
        <w:t xml:space="preserve"> Ohio (OH</w:t>
      </w:r>
      <w:r w:rsidRPr="007F05C8">
        <w:rPr>
          <w:rFonts w:ascii="Times" w:eastAsia="Times New Roman" w:hAnsi="Times" w:cs="Arial"/>
          <w:color w:val="000000" w:themeColor="text1"/>
        </w:rPr>
        <w:t xml:space="preserve">), </w:t>
      </w:r>
      <w:r w:rsidR="00701B13">
        <w:rPr>
          <w:rFonts w:ascii="Times" w:eastAsia="Times New Roman" w:hAnsi="Times" w:cs="Arial"/>
          <w:color w:val="000000" w:themeColor="text1"/>
        </w:rPr>
        <w:t xml:space="preserve">and </w:t>
      </w:r>
      <w:r w:rsidRPr="007F05C8">
        <w:rPr>
          <w:rFonts w:ascii="Times" w:eastAsia="Times New Roman" w:hAnsi="Times" w:cs="Arial"/>
          <w:color w:val="000000" w:themeColor="text1"/>
        </w:rPr>
        <w:t xml:space="preserve">the control states for Washington are </w:t>
      </w:r>
      <w:r w:rsidR="00701B13">
        <w:rPr>
          <w:rFonts w:ascii="Times" w:eastAsia="Times New Roman" w:hAnsi="Times" w:cs="Arial"/>
          <w:color w:val="000000" w:themeColor="text1"/>
        </w:rPr>
        <w:t>Missouri (MO), Georgia (GA), Arizona (AZ)</w:t>
      </w:r>
      <w:r w:rsidRPr="007F05C8">
        <w:rPr>
          <w:rFonts w:ascii="Times" w:eastAsia="Times New Roman" w:hAnsi="Times" w:cs="Arial"/>
          <w:color w:val="000000" w:themeColor="text1"/>
        </w:rPr>
        <w:t>,</w:t>
      </w:r>
      <w:r w:rsidR="00701B13">
        <w:rPr>
          <w:rFonts w:ascii="Times" w:eastAsia="Times New Roman" w:hAnsi="Times" w:cs="Arial"/>
          <w:color w:val="000000" w:themeColor="text1"/>
        </w:rPr>
        <w:t xml:space="preserve"> and</w:t>
      </w:r>
      <w:r w:rsidRPr="007F05C8">
        <w:rPr>
          <w:rFonts w:ascii="Times" w:eastAsia="Times New Roman" w:hAnsi="Times" w:cs="Arial"/>
          <w:color w:val="000000" w:themeColor="text1"/>
        </w:rPr>
        <w:t xml:space="preserve"> the control states for Texas are </w:t>
      </w:r>
      <w:r w:rsidR="00701B13">
        <w:rPr>
          <w:rFonts w:ascii="Times" w:eastAsia="Times New Roman" w:hAnsi="Times" w:cs="Arial"/>
          <w:color w:val="000000" w:themeColor="text1"/>
        </w:rPr>
        <w:t>Pennsylvania (PA), Virginia (VA), Massachusetts (MA)</w:t>
      </w:r>
      <w:r w:rsidRPr="007F05C8">
        <w:rPr>
          <w:rFonts w:ascii="Times" w:eastAsia="Times New Roman" w:hAnsi="Times" w:cs="Arial"/>
          <w:color w:val="000000" w:themeColor="text1"/>
        </w:rPr>
        <w:t xml:space="preserve">. These control states did not implement </w:t>
      </w:r>
      <w:r w:rsidR="00701B13">
        <w:rPr>
          <w:rFonts w:ascii="Times" w:eastAsia="Times New Roman" w:hAnsi="Times" w:cs="Arial"/>
          <w:color w:val="000000" w:themeColor="text1"/>
        </w:rPr>
        <w:t xml:space="preserve">the same </w:t>
      </w:r>
      <w:r w:rsidRPr="007F05C8">
        <w:rPr>
          <w:rFonts w:ascii="Times" w:eastAsia="Times New Roman" w:hAnsi="Times" w:cs="Arial"/>
          <w:color w:val="000000" w:themeColor="text1"/>
        </w:rPr>
        <w:t>policies to regulate opioid drugs, so we assume that an increase in opioid-drug-overdose deaths per capita or opioid quantities sold per capita is due to the state did not introduce policies to regulate opioid drugs.</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0F460DD6" w14:textId="56A157C4" w:rsidR="00D3489B" w:rsidRPr="00B238AE" w:rsidRDefault="00D3489B" w:rsidP="00D3489B">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Effect of regulation policy on opioid shipments</w:t>
      </w:r>
      <w:r w:rsidR="005B40ED" w:rsidRPr="00B238AE">
        <w:rPr>
          <w:rFonts w:ascii="Times" w:eastAsia="Times New Roman" w:hAnsi="Times" w:cs="Arial"/>
          <w:b/>
          <w:bCs/>
          <w:color w:val="FF0000"/>
          <w:sz w:val="28"/>
          <w:szCs w:val="28"/>
        </w:rPr>
        <w:t xml:space="preserve"> (to be added)</w:t>
      </w:r>
    </w:p>
    <w:p w14:paraId="3C3DA452" w14:textId="707E3484" w:rsidR="00B238AE" w:rsidRPr="00B238AE" w:rsidRDefault="00B238AE" w:rsidP="00B238AE">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Florida</w:t>
      </w:r>
    </w:p>
    <w:p w14:paraId="7A8D741F" w14:textId="1246ABE8" w:rsidR="00B238AE" w:rsidRPr="00B238AE" w:rsidRDefault="00B238AE" w:rsidP="00B238AE">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Texas</w:t>
      </w:r>
    </w:p>
    <w:p w14:paraId="1FACBB15" w14:textId="77777777" w:rsidR="00B238AE" w:rsidRPr="00B238AE" w:rsidRDefault="00B238AE" w:rsidP="00B238AE">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Washington</w:t>
      </w:r>
    </w:p>
    <w:p w14:paraId="06B0DB2A" w14:textId="77777777" w:rsidR="00B238AE" w:rsidRPr="005B40ED" w:rsidRDefault="00B238AE" w:rsidP="00D3489B">
      <w:pPr>
        <w:shd w:val="clear" w:color="auto" w:fill="FFFFFF"/>
        <w:jc w:val="both"/>
        <w:rPr>
          <w:rFonts w:ascii="Times" w:eastAsia="Times New Roman" w:hAnsi="Times" w:cs="Arial"/>
          <w:b/>
          <w:bCs/>
          <w:color w:val="FF0000"/>
          <w:sz w:val="28"/>
          <w:szCs w:val="28"/>
        </w:rPr>
      </w:pPr>
    </w:p>
    <w:p w14:paraId="0D8D94DA" w14:textId="77777777" w:rsidR="00D3489B" w:rsidRPr="007F05C8" w:rsidRDefault="00D3489B" w:rsidP="00D3489B">
      <w:pPr>
        <w:shd w:val="clear" w:color="auto" w:fill="FFFFFF"/>
        <w:jc w:val="both"/>
        <w:rPr>
          <w:rFonts w:ascii="Times" w:eastAsia="Times New Roman" w:hAnsi="Times" w:cs="Arial"/>
          <w:color w:val="000000" w:themeColor="text1"/>
        </w:rPr>
      </w:pPr>
    </w:p>
    <w:p w14:paraId="0B9414F6" w14:textId="77777777" w:rsidR="00D3489B" w:rsidRPr="007F05C8" w:rsidRDefault="00D3489B" w:rsidP="00D3489B">
      <w:pPr>
        <w:shd w:val="clear" w:color="auto" w:fill="FFFFFF"/>
        <w:jc w:val="both"/>
        <w:rPr>
          <w:rFonts w:ascii="Times" w:eastAsia="Times New Roman" w:hAnsi="Times" w:cs="Arial"/>
          <w:color w:val="000000" w:themeColor="text1"/>
        </w:rPr>
      </w:pPr>
    </w:p>
    <w:p w14:paraId="4AF4E9D3" w14:textId="77777777" w:rsidR="00D3489B" w:rsidRPr="007F05C8" w:rsidRDefault="00D3489B" w:rsidP="00D3489B">
      <w:pPr>
        <w:shd w:val="clear" w:color="auto" w:fill="FFFFFF"/>
        <w:jc w:val="both"/>
        <w:rPr>
          <w:rFonts w:ascii="Times" w:eastAsia="Times New Roman" w:hAnsi="Times" w:cs="Arial"/>
          <w:color w:val="000000" w:themeColor="text1"/>
        </w:rPr>
      </w:pPr>
    </w:p>
    <w:p w14:paraId="30BB0FEE" w14:textId="77777777" w:rsidR="00D3489B" w:rsidRPr="007F05C8" w:rsidRDefault="00D3489B" w:rsidP="00D3489B">
      <w:pPr>
        <w:shd w:val="clear" w:color="auto" w:fill="FFFFFF"/>
        <w:jc w:val="both"/>
        <w:rPr>
          <w:rFonts w:ascii="Times" w:eastAsia="Times New Roman" w:hAnsi="Times" w:cs="Arial"/>
          <w:color w:val="000000" w:themeColor="text1"/>
        </w:rPr>
      </w:pPr>
    </w:p>
    <w:p w14:paraId="135EF3DB" w14:textId="77777777" w:rsidR="00D3489B" w:rsidRPr="007F05C8" w:rsidRDefault="00D3489B" w:rsidP="00D3489B">
      <w:pPr>
        <w:shd w:val="clear" w:color="auto" w:fill="FFFFFF"/>
        <w:jc w:val="both"/>
        <w:rPr>
          <w:rFonts w:ascii="Times" w:eastAsia="Times New Roman" w:hAnsi="Times" w:cs="Arial"/>
          <w:color w:val="000000" w:themeColor="text1"/>
        </w:rPr>
      </w:pPr>
    </w:p>
    <w:p w14:paraId="3CBDDC98" w14:textId="77777777" w:rsidR="00D3489B" w:rsidRPr="007F05C8" w:rsidRDefault="00D3489B" w:rsidP="00D3489B">
      <w:pPr>
        <w:shd w:val="clear" w:color="auto" w:fill="FFFFFF"/>
        <w:jc w:val="both"/>
        <w:rPr>
          <w:rFonts w:ascii="Times" w:eastAsia="Times New Roman" w:hAnsi="Times" w:cs="Arial"/>
          <w:color w:val="000000" w:themeColor="text1"/>
        </w:rPr>
      </w:pPr>
    </w:p>
    <w:p w14:paraId="5AC48A5C" w14:textId="77777777" w:rsidR="00D3489B" w:rsidRPr="007F05C8" w:rsidRDefault="00D3489B" w:rsidP="00D3489B">
      <w:pPr>
        <w:shd w:val="clear" w:color="auto" w:fill="FFFFFF"/>
        <w:jc w:val="both"/>
        <w:rPr>
          <w:rFonts w:ascii="Times" w:eastAsia="Times New Roman" w:hAnsi="Times" w:cs="Arial"/>
          <w:color w:val="000000" w:themeColor="text1"/>
        </w:rPr>
      </w:pPr>
    </w:p>
    <w:p w14:paraId="40FCCEC7" w14:textId="77777777" w:rsidR="00D3489B" w:rsidRPr="007F05C8" w:rsidRDefault="00D3489B" w:rsidP="00D3489B">
      <w:pPr>
        <w:shd w:val="clear" w:color="auto" w:fill="FFFFFF"/>
        <w:jc w:val="both"/>
        <w:rPr>
          <w:rFonts w:ascii="Times" w:eastAsia="Times New Roman" w:hAnsi="Times" w:cs="Arial"/>
          <w:color w:val="000000" w:themeColor="text1"/>
        </w:rPr>
      </w:pPr>
    </w:p>
    <w:p w14:paraId="3D957C96" w14:textId="77777777" w:rsidR="00D3489B" w:rsidRPr="007F05C8" w:rsidRDefault="00D3489B" w:rsidP="00D3489B">
      <w:pPr>
        <w:shd w:val="clear" w:color="auto" w:fill="FFFFFF"/>
        <w:jc w:val="both"/>
        <w:rPr>
          <w:rFonts w:ascii="Times" w:eastAsia="Times New Roman" w:hAnsi="Times" w:cs="Arial"/>
          <w:color w:val="000000" w:themeColor="text1"/>
        </w:rPr>
      </w:pPr>
    </w:p>
    <w:p w14:paraId="2AD96D98" w14:textId="77777777" w:rsidR="00D3489B" w:rsidRPr="007F05C8" w:rsidRDefault="00D3489B" w:rsidP="00D3489B">
      <w:pPr>
        <w:shd w:val="clear" w:color="auto" w:fill="FFFFFF"/>
        <w:jc w:val="both"/>
        <w:rPr>
          <w:rFonts w:ascii="Times" w:eastAsia="Times New Roman" w:hAnsi="Times" w:cs="Arial"/>
          <w:color w:val="000000" w:themeColor="text1"/>
        </w:rPr>
      </w:pPr>
    </w:p>
    <w:p w14:paraId="724E37A8" w14:textId="77777777" w:rsidR="00D3489B" w:rsidRPr="007F05C8" w:rsidRDefault="00D3489B" w:rsidP="00D3489B">
      <w:pPr>
        <w:shd w:val="clear" w:color="auto" w:fill="FFFFFF"/>
        <w:jc w:val="both"/>
        <w:rPr>
          <w:rFonts w:ascii="Times" w:eastAsia="Times New Roman" w:hAnsi="Times" w:cs="Arial"/>
          <w:color w:val="000000" w:themeColor="text1"/>
        </w:rPr>
      </w:pPr>
    </w:p>
    <w:p w14:paraId="3DBA2743" w14:textId="77777777" w:rsidR="00D3489B" w:rsidRPr="007F05C8" w:rsidRDefault="00D3489B" w:rsidP="00D3489B">
      <w:pPr>
        <w:shd w:val="clear" w:color="auto" w:fill="FFFFFF"/>
        <w:jc w:val="both"/>
        <w:rPr>
          <w:rFonts w:ascii="Times" w:eastAsia="Times New Roman" w:hAnsi="Times" w:cs="Arial"/>
          <w:color w:val="000000" w:themeColor="text1"/>
        </w:rPr>
      </w:pPr>
    </w:p>
    <w:p w14:paraId="2980F94D" w14:textId="77777777" w:rsidR="00D3489B" w:rsidRPr="007F05C8" w:rsidRDefault="00D3489B" w:rsidP="00D3489B">
      <w:pPr>
        <w:shd w:val="clear" w:color="auto" w:fill="FFFFFF"/>
        <w:jc w:val="both"/>
        <w:rPr>
          <w:rFonts w:ascii="Times" w:eastAsia="Times New Roman" w:hAnsi="Times" w:cs="Arial"/>
          <w:color w:val="000000" w:themeColor="text1"/>
        </w:rPr>
      </w:pPr>
    </w:p>
    <w:p w14:paraId="53E8CF25" w14:textId="77777777" w:rsidR="00D3489B" w:rsidRPr="007F05C8" w:rsidRDefault="00D3489B" w:rsidP="00D3489B">
      <w:pPr>
        <w:shd w:val="clear" w:color="auto" w:fill="FFFFFF"/>
        <w:jc w:val="both"/>
        <w:rPr>
          <w:rFonts w:ascii="Times" w:eastAsia="Times New Roman" w:hAnsi="Times" w:cs="Arial"/>
          <w:color w:val="000000" w:themeColor="text1"/>
        </w:rPr>
      </w:pPr>
    </w:p>
    <w:p w14:paraId="255FA5EB" w14:textId="77777777" w:rsidR="00D3489B" w:rsidRPr="007F05C8" w:rsidRDefault="00D3489B" w:rsidP="00D3489B">
      <w:pPr>
        <w:shd w:val="clear" w:color="auto" w:fill="FFFFFF"/>
        <w:jc w:val="both"/>
        <w:rPr>
          <w:rFonts w:ascii="Times" w:eastAsia="Times New Roman" w:hAnsi="Times" w:cs="Arial"/>
          <w:color w:val="000000" w:themeColor="text1"/>
        </w:rPr>
      </w:pPr>
    </w:p>
    <w:p w14:paraId="616CFC4A" w14:textId="77777777" w:rsidR="00D3489B" w:rsidRPr="007F05C8" w:rsidRDefault="00D3489B" w:rsidP="00D3489B">
      <w:pPr>
        <w:shd w:val="clear" w:color="auto" w:fill="FFFFFF"/>
        <w:jc w:val="both"/>
        <w:rPr>
          <w:rFonts w:ascii="Times" w:eastAsia="Times New Roman" w:hAnsi="Times" w:cs="Arial"/>
          <w:color w:val="000000" w:themeColor="text1"/>
        </w:rPr>
      </w:pPr>
    </w:p>
    <w:p w14:paraId="2D178D82" w14:textId="77777777" w:rsidR="00D3489B" w:rsidRPr="007F05C8" w:rsidRDefault="00D3489B" w:rsidP="00D3489B">
      <w:pPr>
        <w:shd w:val="clear" w:color="auto" w:fill="FFFFFF"/>
        <w:jc w:val="both"/>
        <w:rPr>
          <w:rFonts w:ascii="Times" w:eastAsia="Times New Roman" w:hAnsi="Times" w:cs="Arial"/>
          <w:color w:val="000000" w:themeColor="text1"/>
        </w:rPr>
      </w:pPr>
    </w:p>
    <w:p w14:paraId="7B9C79E8" w14:textId="6516E200" w:rsidR="00D3489B" w:rsidRDefault="00D3489B" w:rsidP="00D3489B">
      <w:pPr>
        <w:shd w:val="clear" w:color="auto" w:fill="FFFFFF"/>
        <w:jc w:val="both"/>
        <w:rPr>
          <w:rFonts w:ascii="Times" w:eastAsia="Times New Roman" w:hAnsi="Times" w:cs="Arial"/>
          <w:color w:val="000000" w:themeColor="text1"/>
        </w:rPr>
      </w:pPr>
    </w:p>
    <w:p w14:paraId="39E8F929" w14:textId="77777777" w:rsidR="00A0684B" w:rsidRPr="007F05C8" w:rsidRDefault="00A0684B" w:rsidP="00D3489B">
      <w:pPr>
        <w:shd w:val="clear" w:color="auto" w:fill="FFFFFF"/>
        <w:jc w:val="both"/>
        <w:rPr>
          <w:rFonts w:ascii="Times" w:eastAsia="Times New Roman" w:hAnsi="Times" w:cs="Arial"/>
          <w:color w:val="000000" w:themeColor="text1"/>
        </w:rPr>
      </w:pPr>
    </w:p>
    <w:p w14:paraId="3CFDB6A3" w14:textId="77777777" w:rsidR="00D3489B" w:rsidRPr="007F05C8" w:rsidRDefault="00D3489B" w:rsidP="00D3489B">
      <w:pPr>
        <w:shd w:val="clear" w:color="auto" w:fill="FFFFFF"/>
        <w:jc w:val="both"/>
        <w:rPr>
          <w:rFonts w:ascii="Times" w:eastAsia="Times New Roman" w:hAnsi="Times" w:cs="Arial"/>
          <w:color w:val="000000" w:themeColor="text1"/>
        </w:rPr>
      </w:pPr>
    </w:p>
    <w:p w14:paraId="6C5460B5" w14:textId="77777777" w:rsidR="00D3489B" w:rsidRPr="007F05C8" w:rsidRDefault="00D3489B" w:rsidP="00D3489B">
      <w:pPr>
        <w:shd w:val="clear" w:color="auto" w:fill="FFFFFF"/>
        <w:jc w:val="both"/>
        <w:rPr>
          <w:rFonts w:ascii="Times" w:eastAsia="Times New Roman" w:hAnsi="Times" w:cs="Arial"/>
          <w:color w:val="000000" w:themeColor="text1"/>
        </w:rPr>
      </w:pPr>
    </w:p>
    <w:p w14:paraId="5E449A6A" w14:textId="77777777" w:rsidR="005B40ED" w:rsidRDefault="005B40ED" w:rsidP="00D3489B">
      <w:pPr>
        <w:shd w:val="clear" w:color="auto" w:fill="FFFFFF"/>
        <w:jc w:val="both"/>
        <w:rPr>
          <w:rFonts w:ascii="Times" w:eastAsia="Times New Roman" w:hAnsi="Times" w:cs="Arial"/>
          <w:b/>
          <w:bCs/>
          <w:color w:val="000000" w:themeColor="text1"/>
        </w:rPr>
      </w:pP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415D9F11" w14:textId="77777777" w:rsidR="005B40ED" w:rsidRDefault="005B40ED" w:rsidP="00D3489B">
      <w:pPr>
        <w:shd w:val="clear" w:color="auto" w:fill="FFFFFF"/>
        <w:jc w:val="both"/>
        <w:rPr>
          <w:rFonts w:ascii="Times" w:eastAsia="Times New Roman" w:hAnsi="Times" w:cs="Arial"/>
          <w:b/>
          <w:bCs/>
          <w:color w:val="000000" w:themeColor="text1"/>
        </w:rPr>
      </w:pPr>
    </w:p>
    <w:p w14:paraId="4A7D7253" w14:textId="77777777" w:rsidR="005B40ED" w:rsidRDefault="005B40ED" w:rsidP="00D3489B">
      <w:pPr>
        <w:shd w:val="clear" w:color="auto" w:fill="FFFFFF"/>
        <w:jc w:val="both"/>
        <w:rPr>
          <w:rFonts w:ascii="Times" w:eastAsia="Times New Roman" w:hAnsi="Times" w:cs="Arial"/>
          <w:b/>
          <w:bCs/>
          <w:color w:val="000000" w:themeColor="text1"/>
        </w:rPr>
      </w:pPr>
    </w:p>
    <w:p w14:paraId="5ACFD53B" w14:textId="77777777" w:rsidR="005B40ED" w:rsidRDefault="005B40ED" w:rsidP="00D3489B">
      <w:pPr>
        <w:shd w:val="clear" w:color="auto" w:fill="FFFFFF"/>
        <w:jc w:val="both"/>
        <w:rPr>
          <w:rFonts w:ascii="Times" w:eastAsia="Times New Roman" w:hAnsi="Times" w:cs="Arial"/>
          <w:b/>
          <w:bCs/>
          <w:color w:val="000000" w:themeColor="text1"/>
        </w:rPr>
      </w:pPr>
    </w:p>
    <w:p w14:paraId="7C0EE341" w14:textId="278B0393" w:rsidR="00D3489B" w:rsidRDefault="00D3489B" w:rsidP="00D3489B">
      <w:pPr>
        <w:shd w:val="clear" w:color="auto" w:fill="FFFFFF"/>
        <w:jc w:val="both"/>
        <w:rPr>
          <w:rFonts w:ascii="Times" w:eastAsia="Times New Roman" w:hAnsi="Times" w:cs="Arial"/>
          <w:b/>
          <w:bCs/>
          <w:color w:val="000000" w:themeColor="text1"/>
          <w:sz w:val="28"/>
          <w:szCs w:val="28"/>
        </w:rPr>
      </w:pPr>
      <w:r w:rsidRPr="005B40ED">
        <w:rPr>
          <w:rFonts w:ascii="Times" w:eastAsia="Times New Roman" w:hAnsi="Times" w:cs="Arial"/>
          <w:b/>
          <w:bCs/>
          <w:color w:val="000000" w:themeColor="text1"/>
          <w:sz w:val="28"/>
          <w:szCs w:val="28"/>
        </w:rPr>
        <w:lastRenderedPageBreak/>
        <w:t>Effect of regulation policy on the mortality rate of opioid overdose</w:t>
      </w:r>
    </w:p>
    <w:p w14:paraId="3BB6C1A2" w14:textId="77777777" w:rsidR="005B40ED" w:rsidRPr="005B40ED" w:rsidRDefault="005B40ED" w:rsidP="00D3489B">
      <w:pPr>
        <w:shd w:val="clear" w:color="auto" w:fill="FFFFFF"/>
        <w:jc w:val="both"/>
        <w:rPr>
          <w:rFonts w:ascii="Times" w:eastAsia="Times New Roman" w:hAnsi="Times" w:cs="Arial"/>
          <w:b/>
          <w:bCs/>
          <w:color w:val="000000" w:themeColor="text1"/>
          <w:sz w:val="28"/>
          <w:szCs w:val="28"/>
        </w:rPr>
      </w:pPr>
    </w:p>
    <w:p w14:paraId="62313D35" w14:textId="6934E048" w:rsidR="00D3489B" w:rsidRPr="00B238AE"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8480" behindDoc="0" locked="0" layoutInCell="1" allowOverlap="1" wp14:anchorId="5EB37519" wp14:editId="2C8D0DAA">
            <wp:simplePos x="0" y="0"/>
            <wp:positionH relativeFrom="column">
              <wp:posOffset>2903855</wp:posOffset>
            </wp:positionH>
            <wp:positionV relativeFrom="paragraph">
              <wp:posOffset>207010</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B238AE">
        <w:rPr>
          <w:rFonts w:ascii="Times" w:eastAsia="Times New Roman" w:hAnsi="Times" w:cs="Arial"/>
          <w:b/>
          <w:bCs/>
          <w:color w:val="000000" w:themeColor="text1"/>
          <w:sz w:val="28"/>
          <w:szCs w:val="28"/>
        </w:rPr>
        <w:t>Florida</w:t>
      </w:r>
      <w:r w:rsidR="00D3489B" w:rsidRPr="00B238AE">
        <w:rPr>
          <w:rFonts w:ascii="Times" w:eastAsia="Times New Roman" w:hAnsi="Times" w:cs="Arial"/>
          <w:b/>
          <w:bCs/>
          <w:noProof/>
          <w:color w:val="000000" w:themeColor="text1"/>
          <w:sz w:val="28"/>
          <w:szCs w:val="28"/>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Figure 1: Chart of the mortality rate of opioid-drug overdose between the pre-policy and post-policy periods, the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109E2FE0"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Above</w:t>
      </w:r>
      <w:r>
        <w:rPr>
          <w:rFonts w:ascii="Times" w:eastAsia="Times New Roman" w:hAnsi="Times" w:cs="Arial"/>
          <w:color w:val="000000" w:themeColor="text1"/>
        </w:rPr>
        <w:t xml:space="preserve"> are the plots comparing the trends of the average annual per 100000 drug-induced deaths in Florida and its control states</w:t>
      </w:r>
      <w:r>
        <w:rPr>
          <w:rFonts w:ascii="Times" w:eastAsia="Times New Roman" w:hAnsi="Times" w:cs="Arial"/>
          <w:color w:val="000000" w:themeColor="text1"/>
        </w:rPr>
        <w:t xml:space="preserve"> </w:t>
      </w:r>
      <w:r w:rsidRPr="007F05C8">
        <w:rPr>
          <w:rFonts w:ascii="Times" w:eastAsia="Times New Roman" w:hAnsi="Times" w:cs="Arial"/>
          <w:color w:val="000000" w:themeColor="text1"/>
        </w:rPr>
        <w:t>(</w:t>
      </w:r>
      <w:r>
        <w:rPr>
          <w:rFonts w:ascii="Times" w:hAnsi="Times" w:cs="AppleSystemUIFont"/>
        </w:rPr>
        <w:t>MI</w:t>
      </w:r>
      <w:r w:rsidRPr="007F05C8">
        <w:rPr>
          <w:rFonts w:ascii="Times" w:hAnsi="Times" w:cs="AppleSystemUIFont"/>
        </w:rPr>
        <w:t xml:space="preserve">, OH, </w:t>
      </w:r>
      <w:r>
        <w:rPr>
          <w:rFonts w:ascii="Times" w:hAnsi="Times" w:cs="AppleSystemUIFont"/>
        </w:rPr>
        <w:t>NC</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Florida.  B</w:t>
      </w:r>
      <w:r w:rsidRPr="0005203D">
        <w:rPr>
          <w:rFonts w:ascii="Times" w:eastAsia="Times New Roman" w:hAnsi="Times" w:cs="Arial"/>
          <w:color w:val="000000" w:themeColor="text1"/>
        </w:rPr>
        <w:t xml:space="preserve">efore the policy went into effect in </w:t>
      </w:r>
      <w:r>
        <w:rPr>
          <w:rFonts w:ascii="Times" w:eastAsia="Times New Roman" w:hAnsi="Times" w:cs="Arial"/>
          <w:color w:val="000000" w:themeColor="text1"/>
        </w:rPr>
        <w:t>February</w:t>
      </w:r>
      <w:r w:rsidRPr="0005203D">
        <w:rPr>
          <w:rFonts w:ascii="Times" w:eastAsia="Times New Roman" w:hAnsi="Times" w:cs="Arial"/>
          <w:color w:val="000000" w:themeColor="text1"/>
        </w:rPr>
        <w:t xml:space="preserve"> 2010, the </w:t>
      </w:r>
      <w:r>
        <w:rPr>
          <w:rFonts w:ascii="Times" w:eastAsia="Times New Roman" w:hAnsi="Times" w:cs="Arial"/>
          <w:color w:val="000000" w:themeColor="text1"/>
        </w:rPr>
        <w:t xml:space="preserve">trend of drug-induced deaths in Florida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increasing</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w:t>
      </w:r>
      <w:r>
        <w:rPr>
          <w:rFonts w:ascii="Times" w:eastAsia="Times New Roman" w:hAnsi="Times" w:cs="Arial"/>
          <w:color w:val="000000" w:themeColor="text1"/>
        </w:rPr>
        <w:t>became decreasing.</w:t>
      </w:r>
      <w:r>
        <w:rPr>
          <w:rFonts w:ascii="Times" w:eastAsia="Times New Roman" w:hAnsi="Times" w:cs="Arial"/>
          <w:color w:val="000000" w:themeColor="text1"/>
        </w:rPr>
        <w:t xml:space="preserve">  This substantial change in trend supports the hypothesis that the policy reduced the quantity of drug-induced deaths in Florida. When comparing Florida’s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Pr>
          <w:rFonts w:ascii="Times" w:eastAsia="Times New Roman" w:hAnsi="Times" w:cs="Arial"/>
          <w:color w:val="000000" w:themeColor="text1"/>
        </w:rPr>
        <w:t>Florida</w:t>
      </w:r>
      <w:r>
        <w:rPr>
          <w:rFonts w:ascii="Times" w:eastAsia="Times New Roman" w:hAnsi="Times" w:cs="Arial"/>
          <w:color w:val="000000" w:themeColor="text1"/>
        </w:rPr>
        <w:t xml:space="preserve"> and </w:t>
      </w:r>
      <w:r>
        <w:rPr>
          <w:rFonts w:ascii="Times" w:eastAsia="Times New Roman" w:hAnsi="Times" w:cs="Arial"/>
          <w:color w:val="000000" w:themeColor="text1"/>
        </w:rPr>
        <w:t xml:space="preserve">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2009) was relatively small, while </w:t>
      </w:r>
      <w:r>
        <w:rPr>
          <w:rFonts w:ascii="Times" w:eastAsia="Times New Roman" w:hAnsi="Times" w:cs="Arial"/>
          <w:color w:val="000000" w:themeColor="text1"/>
        </w:rPr>
        <w:t xml:space="preserve">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tes on p</w:t>
      </w:r>
      <w:r>
        <w:rPr>
          <w:rFonts w:ascii="Times" w:eastAsia="Times New Roman" w:hAnsi="Times" w:cs="Arial"/>
          <w:color w:val="000000" w:themeColor="text1"/>
        </w:rPr>
        <w:t>ost</w:t>
      </w:r>
      <w:r>
        <w:rPr>
          <w:rFonts w:ascii="Times" w:eastAsia="Times New Roman" w:hAnsi="Times" w:cs="Arial"/>
          <w:color w:val="000000" w:themeColor="text1"/>
        </w:rPr>
        <w:t>-policy</w:t>
      </w:r>
      <w:r>
        <w:rPr>
          <w:rFonts w:ascii="Times" w:eastAsia="Times New Roman" w:hAnsi="Times" w:cs="Arial"/>
          <w:color w:val="000000" w:themeColor="text1"/>
        </w:rPr>
        <w:t xml:space="preserve"> (after 2010)</w:t>
      </w:r>
      <w:r>
        <w:rPr>
          <w:rFonts w:ascii="Times" w:eastAsia="Times New Roman" w:hAnsi="Times" w:cs="Arial"/>
          <w:color w:val="000000" w:themeColor="text1"/>
        </w:rPr>
        <w:t xml:space="preserve"> periods </w:t>
      </w:r>
      <w:r>
        <w:rPr>
          <w:rFonts w:ascii="Times" w:eastAsia="Times New Roman" w:hAnsi="Times" w:cs="Arial"/>
          <w:color w:val="000000" w:themeColor="text1"/>
        </w:rPr>
        <w:t xml:space="preserve">became very large because these states did not publish </w:t>
      </w:r>
      <w:r w:rsidRPr="007F05C8">
        <w:rPr>
          <w:rFonts w:ascii="Times" w:eastAsia="Times New Roman" w:hAnsi="Times" w:cs="Arial"/>
          <w:color w:val="000000" w:themeColor="text1"/>
        </w:rPr>
        <w:t>regulation policy for opioid drugs</w:t>
      </w:r>
      <w:r>
        <w:rPr>
          <w:rFonts w:ascii="Times" w:eastAsia="Times New Roman" w:hAnsi="Times" w:cs="Arial"/>
          <w:color w:val="000000" w:themeColor="text1"/>
        </w:rPr>
        <w:t xml:space="preserve"> thus continued to have rising tendencies of </w:t>
      </w:r>
      <w:r>
        <w:rPr>
          <w:rFonts w:ascii="Times" w:eastAsia="Times New Roman" w:hAnsi="Times" w:cs="Arial"/>
          <w:color w:val="000000" w:themeColor="text1"/>
        </w:rPr>
        <w:t>drug-induced deaths</w:t>
      </w:r>
      <w:r>
        <w:rPr>
          <w:rFonts w:ascii="Times" w:eastAsia="Times New Roman" w:hAnsi="Times" w:cs="Arial"/>
          <w:color w:val="000000" w:themeColor="text1"/>
        </w:rPr>
        <w:t>. In general, a</w:t>
      </w:r>
      <w:r w:rsidRPr="007F05C8">
        <w:rPr>
          <w:rFonts w:ascii="Times" w:eastAsia="Times New Roman" w:hAnsi="Times" w:cs="Arial"/>
          <w:color w:val="000000" w:themeColor="text1"/>
        </w:rPr>
        <w:t xml:space="preserve">fter Florida implemented policy for opioid drugs in 2010,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of opioid-drug overdose in FL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2010. This might not happen if the regulation policy was not implemented.</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we conclude that the policy of opioid regulations had a positive impact on decreasing the mortality rate of opioid-drug overdose in Florida.</w:t>
      </w:r>
    </w:p>
    <w:p w14:paraId="2D33F6FF" w14:textId="0F5012D7" w:rsidR="00F05EC6" w:rsidRPr="00F05EC6" w:rsidRDefault="00F05EC6" w:rsidP="00D3489B">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lastRenderedPageBreak/>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Arial"/>
          <w:b/>
          <w:bCs/>
          <w:noProof/>
          <w:color w:val="000000" w:themeColor="text1"/>
          <w:sz w:val="28"/>
          <w:szCs w:val="28"/>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B238AE">
        <w:rPr>
          <w:rFonts w:ascii="Times" w:eastAsia="Times New Roman" w:hAnsi="Times" w:cs="Arial"/>
          <w:b/>
          <w:bCs/>
          <w:color w:val="000000" w:themeColor="text1"/>
          <w:sz w:val="28"/>
          <w:szCs w:val="28"/>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78CD214E"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2: Chart of the mortality rate of opioid-drug overdose between the pre-policy and post-policy periods, the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72EEC7B9" w14:textId="39F895F8" w:rsidR="003C75E4" w:rsidRPr="007F05C8" w:rsidRDefault="003C75E4" w:rsidP="003C75E4">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states</w:t>
      </w:r>
      <w:r>
        <w:rPr>
          <w:rFonts w:ascii="Times" w:eastAsia="Times New Roman" w:hAnsi="Times" w:cs="Arial"/>
          <w:color w:val="000000" w:themeColor="text1"/>
        </w:rPr>
        <w:t xml:space="preserve"> (</w:t>
      </w:r>
      <w:r w:rsidRPr="007F05C8">
        <w:rPr>
          <w:rFonts w:ascii="Times" w:eastAsia="Times New Roman" w:hAnsi="Times" w:cs="Arial"/>
          <w:color w:val="000000" w:themeColor="text1"/>
        </w:rPr>
        <w:t>(</w:t>
      </w:r>
      <w:r>
        <w:rPr>
          <w:rFonts w:ascii="Times" w:eastAsia="Times New Roman" w:hAnsi="Times" w:cs="Arial"/>
          <w:color w:val="000000" w:themeColor="text1"/>
        </w:rPr>
        <w:t>MA</w:t>
      </w:r>
      <w:r w:rsidRPr="007F05C8">
        <w:rPr>
          <w:rFonts w:ascii="Times" w:hAnsi="Times" w:cs="AppleSystemUIFont"/>
        </w:rPr>
        <w:t xml:space="preserve">, </w:t>
      </w:r>
      <w:r>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t>
      </w:r>
      <w:r w:rsidRPr="007F05C8">
        <w:rPr>
          <w:rFonts w:ascii="Times" w:eastAsia="Times New Roman" w:hAnsi="Times" w:cs="Arial"/>
          <w:color w:val="000000" w:themeColor="text1"/>
        </w:rPr>
        <w:t>Texas</w:t>
      </w:r>
      <w:r>
        <w:rPr>
          <w:rFonts w:ascii="Times" w:eastAsia="Times New Roman" w:hAnsi="Times" w:cs="Arial"/>
          <w:color w:val="000000" w:themeColor="text1"/>
        </w:rPr>
        <w:t>.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07</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w:t>
      </w:r>
      <w:r>
        <w:rPr>
          <w:rFonts w:ascii="Times" w:eastAsia="Times New Roman" w:hAnsi="Times" w:cs="Arial"/>
          <w:color w:val="000000" w:themeColor="text1"/>
        </w:rPr>
        <w:t xml:space="preserve">While the </w:t>
      </w:r>
      <w:r>
        <w:rPr>
          <w:rFonts w:ascii="Times" w:eastAsia="Times New Roman" w:hAnsi="Times" w:cs="Arial"/>
          <w:color w:val="000000" w:themeColor="text1"/>
        </w:rPr>
        <w:t>decreasing</w:t>
      </w:r>
      <w:r>
        <w:rPr>
          <w:rFonts w:ascii="Times" w:eastAsia="Times New Roman" w:hAnsi="Times" w:cs="Arial"/>
          <w:color w:val="000000" w:themeColor="text1"/>
        </w:rPr>
        <w:t xml:space="preserve"> degree was not obvious,</w:t>
      </w:r>
      <w:r>
        <w:rPr>
          <w:rFonts w:ascii="Times" w:eastAsia="Times New Roman" w:hAnsi="Times" w:cs="Arial"/>
          <w:color w:val="000000" w:themeColor="text1"/>
        </w:rPr>
        <w:t xml:space="preserve"> </w:t>
      </w:r>
      <w:r>
        <w:rPr>
          <w:rFonts w:ascii="Times" w:eastAsia="Times New Roman" w:hAnsi="Times" w:cs="Arial"/>
          <w:color w:val="000000" w:themeColor="text1"/>
        </w:rPr>
        <w:t>t</w:t>
      </w:r>
      <w:r>
        <w:rPr>
          <w:rFonts w:ascii="Times" w:eastAsia="Times New Roman" w:hAnsi="Times" w:cs="Arial"/>
          <w:color w:val="000000" w:themeColor="text1"/>
        </w:rPr>
        <w:t xml:space="preserve">his change in trend supports the hypothesis that the policy reduced the quantity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When comparing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tes on pre-policy periods (before 200</w:t>
      </w:r>
      <w:r>
        <w:rPr>
          <w:rFonts w:ascii="Times" w:eastAsia="Times New Roman" w:hAnsi="Times" w:cs="Arial"/>
          <w:color w:val="000000" w:themeColor="text1"/>
        </w:rPr>
        <w:t>6</w:t>
      </w:r>
      <w:r>
        <w:rPr>
          <w:rFonts w:ascii="Times" w:eastAsia="Times New Roman" w:hAnsi="Times" w:cs="Arial"/>
          <w:color w:val="000000" w:themeColor="text1"/>
        </w:rPr>
        <w:t xml:space="preserve">) </w:t>
      </w:r>
      <w:r>
        <w:rPr>
          <w:rFonts w:ascii="Times" w:eastAsia="Times New Roman" w:hAnsi="Times" w:cs="Arial"/>
          <w:color w:val="000000" w:themeColor="text1"/>
        </w:rPr>
        <w:t>was</w:t>
      </w:r>
      <w:r>
        <w:rPr>
          <w:rFonts w:ascii="Times" w:eastAsia="Times New Roman" w:hAnsi="Times" w:cs="Arial"/>
          <w:color w:val="000000" w:themeColor="text1"/>
        </w:rPr>
        <w:t xml:space="preserve">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tes on post-policy (after 20</w:t>
      </w:r>
      <w:r>
        <w:rPr>
          <w:rFonts w:ascii="Times" w:eastAsia="Times New Roman" w:hAnsi="Times" w:cs="Arial"/>
          <w:color w:val="000000" w:themeColor="text1"/>
        </w:rPr>
        <w:t>07</w:t>
      </w:r>
      <w:r>
        <w:rPr>
          <w:rFonts w:ascii="Times" w:eastAsia="Times New Roman" w:hAnsi="Times" w:cs="Arial"/>
          <w:color w:val="000000" w:themeColor="text1"/>
        </w:rPr>
        <w:t xml:space="preserve">) periods became very large because these states did not publish </w:t>
      </w:r>
      <w:r w:rsidRPr="007F05C8">
        <w:rPr>
          <w:rFonts w:ascii="Times" w:eastAsia="Times New Roman" w:hAnsi="Times" w:cs="Arial"/>
          <w:color w:val="000000" w:themeColor="text1"/>
        </w:rPr>
        <w:t>regulation polic</w:t>
      </w:r>
      <w:r>
        <w:rPr>
          <w:rFonts w:ascii="Times" w:eastAsia="Times New Roman" w:hAnsi="Times" w:cs="Arial"/>
          <w:color w:val="000000" w:themeColor="text1"/>
        </w:rPr>
        <w:t>ies</w:t>
      </w:r>
      <w:r w:rsidRPr="007F05C8">
        <w:rPr>
          <w:rFonts w:ascii="Times" w:eastAsia="Times New Roman" w:hAnsi="Times" w:cs="Arial"/>
          <w:color w:val="000000" w:themeColor="text1"/>
        </w:rPr>
        <w:t xml:space="preserve">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fter Texas implemented policy for opioid drugs in 20</w:t>
      </w:r>
      <w:r>
        <w:rPr>
          <w:rFonts w:ascii="Times" w:eastAsia="Times New Roman" w:hAnsi="Times" w:cs="Arial"/>
          <w:color w:val="000000" w:themeColor="text1"/>
        </w:rPr>
        <w:t>07</w:t>
      </w:r>
      <w:r w:rsidRPr="007F05C8">
        <w:rPr>
          <w:rFonts w:ascii="Times" w:eastAsia="Times New Roman" w:hAnsi="Times" w:cs="Arial"/>
          <w:color w:val="000000" w:themeColor="text1"/>
        </w:rPr>
        <w:t xml:space="preserve">,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w:t>
      </w:r>
      <w:r>
        <w:rPr>
          <w:rFonts w:ascii="Times" w:eastAsia="Times New Roman" w:hAnsi="Times" w:cs="Arial"/>
          <w:color w:val="000000" w:themeColor="text1"/>
        </w:rPr>
        <w:t>TX</w:t>
      </w:r>
      <w:r w:rsidRPr="007F05C8">
        <w:rPr>
          <w:rFonts w:ascii="Times" w:eastAsia="Times New Roman" w:hAnsi="Times" w:cs="Arial"/>
          <w:color w:val="000000" w:themeColor="text1"/>
        </w:rPr>
        <w:t xml:space="preserve">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w:t>
      </w:r>
      <w:r>
        <w:rPr>
          <w:rFonts w:ascii="Times" w:eastAsia="Times New Roman" w:hAnsi="Times" w:cs="Arial"/>
          <w:color w:val="000000" w:themeColor="text1"/>
        </w:rPr>
        <w:t>07</w:t>
      </w:r>
      <w:r w:rsidRPr="007F05C8">
        <w:rPr>
          <w:rFonts w:ascii="Times" w:eastAsia="Times New Roman" w:hAnsi="Times" w:cs="Arial"/>
          <w:color w:val="000000" w:themeColor="text1"/>
        </w:rPr>
        <w:t>. This might not happen if the regulation policy was not implemented.</w:t>
      </w:r>
      <w:r>
        <w:rPr>
          <w:rFonts w:ascii="Times" w:eastAsia="Times New Roman" w:hAnsi="Times" w:cs="Arial"/>
          <w:color w:val="000000" w:themeColor="text1"/>
        </w:rPr>
        <w:t xml:space="preserve"> </w:t>
      </w:r>
      <w:r>
        <w:rPr>
          <w:rFonts w:ascii="Times" w:eastAsia="Times New Roman" w:hAnsi="Times" w:cs="Arial"/>
          <w:color w:val="000000" w:themeColor="text1"/>
        </w:rPr>
        <w:t>Hence</w:t>
      </w:r>
      <w:r w:rsidRPr="007F05C8">
        <w:rPr>
          <w:rFonts w:ascii="Times" w:eastAsia="Times New Roman" w:hAnsi="Times" w:cs="Arial"/>
          <w:color w:val="000000" w:themeColor="text1"/>
        </w:rPr>
        <w:t>, we conclude that the policy of opioid regulations had a positive impact on decreasing the mortality rate of opioid-drug overdose in Texas.</w:t>
      </w:r>
    </w:p>
    <w:p w14:paraId="355EF54D" w14:textId="77777777" w:rsidR="003C75E4" w:rsidRDefault="003C75E4" w:rsidP="00B238AE">
      <w:pPr>
        <w:shd w:val="clear" w:color="auto" w:fill="FFFFFF"/>
        <w:spacing w:line="360" w:lineRule="auto"/>
        <w:jc w:val="both"/>
        <w:rPr>
          <w:rFonts w:ascii="Times" w:eastAsia="Times New Roman" w:hAnsi="Times" w:cs="Arial"/>
          <w:color w:val="000000" w:themeColor="text1"/>
        </w:rPr>
      </w:pPr>
    </w:p>
    <w:p w14:paraId="5CF30AB6" w14:textId="77777777" w:rsidR="003C75E4" w:rsidRDefault="003C75E4" w:rsidP="00B238AE">
      <w:pPr>
        <w:shd w:val="clear" w:color="auto" w:fill="FFFFFF"/>
        <w:spacing w:line="360" w:lineRule="auto"/>
        <w:jc w:val="both"/>
        <w:rPr>
          <w:rFonts w:ascii="Times" w:eastAsia="Times New Roman" w:hAnsi="Times" w:cs="Arial"/>
          <w:color w:val="000000" w:themeColor="text1"/>
        </w:rPr>
      </w:pP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B238AE" w:rsidRDefault="00F05EC6" w:rsidP="00D3489B">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noProof/>
          <w:color w:val="000000" w:themeColor="text1"/>
        </w:rPr>
        <w:lastRenderedPageBreak/>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B238AE">
        <w:rPr>
          <w:rFonts w:ascii="Times" w:eastAsia="Times New Roman" w:hAnsi="Times" w:cs="Arial"/>
          <w:b/>
          <w:bCs/>
          <w:color w:val="000000" w:themeColor="text1"/>
          <w:sz w:val="28"/>
          <w:szCs w:val="28"/>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77777777"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3: Chart of the mortality rate of opioid-drug overdose between the pre-policy and post-policy periods, the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29168F54"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are the plots comparing the trends of the average annual per 100000 drug-induced deaths in Washington</w:t>
      </w:r>
      <w:r>
        <w:rPr>
          <w:rFonts w:ascii="Times" w:eastAsia="Times New Roman" w:hAnsi="Times" w:cs="Arial"/>
          <w:color w:val="000000" w:themeColor="text1"/>
        </w:rPr>
        <w:t xml:space="preserve"> </w:t>
      </w:r>
      <w:r>
        <w:rPr>
          <w:rFonts w:ascii="Times" w:eastAsia="Times New Roman" w:hAnsi="Times" w:cs="Arial"/>
          <w:color w:val="000000" w:themeColor="text1"/>
        </w:rPr>
        <w:t>and its control states</w:t>
      </w:r>
      <w:r>
        <w:rPr>
          <w:rFonts w:ascii="Times" w:eastAsia="Times New Roman" w:hAnsi="Times" w:cs="Arial"/>
          <w:color w:val="000000" w:themeColor="text1"/>
        </w:rPr>
        <w:t xml:space="preserve"> </w:t>
      </w:r>
      <w:r>
        <w:rPr>
          <w:rFonts w:ascii="Times" w:eastAsia="Times New Roman" w:hAnsi="Times" w:cs="Arial"/>
          <w:color w:val="000000" w:themeColor="text1"/>
        </w:rPr>
        <w:t>(</w:t>
      </w:r>
      <w:r>
        <w:rPr>
          <w:rFonts w:ascii="Times" w:hAnsi="Times" w:cs="AppleSystemUIFont"/>
        </w:rPr>
        <w:t>MO</w:t>
      </w:r>
      <w:r w:rsidRPr="007F05C8">
        <w:rPr>
          <w:rFonts w:ascii="Times" w:hAnsi="Times" w:cs="AppleSystemUIFont"/>
        </w:rPr>
        <w:t xml:space="preserve">, </w:t>
      </w:r>
      <w:r>
        <w:rPr>
          <w:rFonts w:ascii="Times" w:hAnsi="Times" w:cs="AppleSystemUIFont"/>
        </w:rPr>
        <w:t>GA</w:t>
      </w:r>
      <w:r w:rsidRPr="007F05C8">
        <w:rPr>
          <w:rFonts w:ascii="Times" w:hAnsi="Times" w:cs="AppleSystemUIFont"/>
        </w:rPr>
        <w:t xml:space="preserve">, </w:t>
      </w:r>
      <w:r>
        <w:rPr>
          <w:rFonts w:ascii="Times" w:hAnsi="Times" w:cs="AppleSystemUIFont"/>
        </w:rPr>
        <w:t>AZ</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Washington.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12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Washington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7F05C8">
        <w:rPr>
          <w:rFonts w:ascii="Times" w:eastAsia="Times New Roman" w:hAnsi="Times" w:cs="Arial"/>
          <w:color w:val="000000" w:themeColor="text1"/>
        </w:rPr>
        <w:t>However, after implementing the regulation policy for opioid drugs in 2012 at WA, the mortality rate of opioid-drug overdose in WA did not drop, it continued to keep an upward, but lesser degree tendency from 2012</w:t>
      </w:r>
      <w:r>
        <w:rPr>
          <w:rFonts w:ascii="Times" w:eastAsia="Times New Roman" w:hAnsi="Times" w:cs="Arial"/>
          <w:color w:val="000000" w:themeColor="text1"/>
        </w:rPr>
        <w:t xml:space="preserve">.  Consequently, this change in trend does not support the hypothesis that the policy reduced the quantity of drug-induced deaths in Washington. When comparing Washington’s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the variation of trends between Washington</w:t>
      </w:r>
      <w:r w:rsidR="00F42193">
        <w:rPr>
          <w:rFonts w:ascii="Times" w:eastAsia="Times New Roman" w:hAnsi="Times" w:cs="Arial"/>
          <w:color w:val="000000" w:themeColor="text1"/>
        </w:rPr>
        <w:t xml:space="preserve"> </w:t>
      </w:r>
      <w:r>
        <w:rPr>
          <w:rFonts w:ascii="Times" w:eastAsia="Times New Roman" w:hAnsi="Times" w:cs="Arial"/>
          <w:color w:val="000000" w:themeColor="text1"/>
        </w:rPr>
        <w:t xml:space="preserve">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tes on pre-policy periods (before 20</w:t>
      </w:r>
      <w:r>
        <w:rPr>
          <w:rFonts w:ascii="Times" w:eastAsia="Times New Roman" w:hAnsi="Times" w:cs="Arial"/>
          <w:color w:val="000000" w:themeColor="text1"/>
        </w:rPr>
        <w:t>11</w:t>
      </w:r>
      <w:r>
        <w:rPr>
          <w:rFonts w:ascii="Times" w:eastAsia="Times New Roman" w:hAnsi="Times" w:cs="Arial"/>
          <w:color w:val="000000" w:themeColor="text1"/>
        </w:rPr>
        <w:t xml:space="preserve">) </w:t>
      </w:r>
      <w:r>
        <w:rPr>
          <w:rFonts w:ascii="Times" w:eastAsia="Times New Roman" w:hAnsi="Times" w:cs="Arial"/>
          <w:color w:val="000000" w:themeColor="text1"/>
        </w:rPr>
        <w:t>and</w:t>
      </w:r>
      <w:r>
        <w:rPr>
          <w:rFonts w:ascii="Times" w:eastAsia="Times New Roman" w:hAnsi="Times" w:cs="Arial"/>
          <w:color w:val="000000" w:themeColor="text1"/>
        </w:rPr>
        <w:t xml:space="preserve"> the variation of trends between Washington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tes on post-policy (after 20</w:t>
      </w:r>
      <w:r>
        <w:rPr>
          <w:rFonts w:ascii="Times" w:eastAsia="Times New Roman" w:hAnsi="Times" w:cs="Arial"/>
          <w:color w:val="000000" w:themeColor="text1"/>
        </w:rPr>
        <w:t>12</w:t>
      </w:r>
      <w:r>
        <w:rPr>
          <w:rFonts w:ascii="Times" w:eastAsia="Times New Roman" w:hAnsi="Times" w:cs="Arial"/>
          <w:color w:val="000000" w:themeColor="text1"/>
        </w:rPr>
        <w:t xml:space="preserve">) periods </w:t>
      </w:r>
      <w:r>
        <w:rPr>
          <w:rFonts w:ascii="Times" w:eastAsia="Times New Roman" w:hAnsi="Times" w:cs="Arial"/>
          <w:color w:val="000000" w:themeColor="text1"/>
        </w:rPr>
        <w:t>was not different so much</w:t>
      </w:r>
      <w:r>
        <w:rPr>
          <w:rFonts w:ascii="Times" w:eastAsia="Times New Roman" w:hAnsi="Times" w:cs="Arial"/>
          <w:color w:val="000000" w:themeColor="text1"/>
        </w:rPr>
        <w:t xml:space="preserve"> because </w:t>
      </w:r>
      <w:r>
        <w:rPr>
          <w:rFonts w:ascii="Times" w:eastAsia="Times New Roman" w:hAnsi="Times" w:cs="Arial"/>
          <w:color w:val="000000" w:themeColor="text1"/>
        </w:rPr>
        <w:t>all</w:t>
      </w:r>
      <w:r>
        <w:rPr>
          <w:rFonts w:ascii="Times" w:eastAsia="Times New Roman" w:hAnsi="Times" w:cs="Arial"/>
          <w:color w:val="000000" w:themeColor="text1"/>
        </w:rPr>
        <w:t xml:space="preserve"> states continued to have rising tendencies of drug-induced deaths.</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although the mortality rates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7B00FD16" w14:textId="61854D19" w:rsidR="00D3489B" w:rsidRDefault="00D3489B" w:rsidP="00D3489B">
      <w:pPr>
        <w:shd w:val="clear" w:color="auto" w:fill="FFFFFF"/>
        <w:jc w:val="both"/>
        <w:rPr>
          <w:rFonts w:ascii="Times" w:eastAsia="Times New Roman" w:hAnsi="Times" w:cs="Arial"/>
          <w:color w:val="000000" w:themeColor="text1"/>
        </w:rPr>
      </w:pPr>
    </w:p>
    <w:p w14:paraId="51EBB224" w14:textId="77777777" w:rsidR="005D6C64" w:rsidRDefault="005D6C64" w:rsidP="00D3489B">
      <w:pPr>
        <w:shd w:val="clear" w:color="auto" w:fill="FFFFFF"/>
        <w:jc w:val="both"/>
        <w:rPr>
          <w:rFonts w:ascii="Times" w:eastAsia="Times New Roman" w:hAnsi="Times" w:cs="Arial"/>
          <w:color w:val="000000" w:themeColor="text1"/>
        </w:rPr>
      </w:pPr>
    </w:p>
    <w:p w14:paraId="1EBE0BDB" w14:textId="7BD98AC6" w:rsidR="003C75E4" w:rsidRDefault="003C75E4" w:rsidP="00D3489B">
      <w:pPr>
        <w:shd w:val="clear" w:color="auto" w:fill="FFFFFF"/>
        <w:jc w:val="both"/>
        <w:rPr>
          <w:rFonts w:ascii="Times" w:eastAsia="Times New Roman" w:hAnsi="Times" w:cs="Arial"/>
          <w:color w:val="000000" w:themeColor="text1"/>
        </w:rPr>
      </w:pPr>
    </w:p>
    <w:p w14:paraId="63ADD34D" w14:textId="77777777" w:rsidR="003C75E4" w:rsidRPr="007F05C8" w:rsidRDefault="003C75E4"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lastRenderedPageBreak/>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0ECFCE5D"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is about focusing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for exploring whether there were greater variations in opioid shipments or drug overdose deaths between pre- and post-policy periods in each state that had adopted the regulation policy of opioids than in other states that had not. Specifically, we compare the policy-implemented states with states which did not have related policies by choosing three control states based on similar population sizes and opioid dispense rates for each treatment state. Finally, we evaluate the impacts of regulatory policy by recalling a pre-post analysis so that comparing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7F05C8">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34FA0D73" w14:textId="77777777" w:rsidR="00B238AE" w:rsidRPr="007F05C8" w:rsidRDefault="00B238AE" w:rsidP="007F05C8">
      <w:pPr>
        <w:shd w:val="clear" w:color="auto" w:fill="FFFFFF"/>
        <w:jc w:val="both"/>
        <w:rPr>
          <w:rFonts w:ascii="Times" w:eastAsia="Times New Roman" w:hAnsi="Times" w:cs="Arial"/>
          <w:b/>
          <w:bCs/>
          <w:color w:val="000000" w:themeColor="text1"/>
        </w:rPr>
      </w:pPr>
    </w:p>
    <w:p w14:paraId="4A0A47F2" w14:textId="4CF08F06" w:rsidR="00265D5F" w:rsidRPr="007F05C8" w:rsidRDefault="005D3A39" w:rsidP="00B238AE">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r w:rsidR="006B4BEA" w:rsidRPr="007F05C8">
        <w:rPr>
          <w:rFonts w:ascii="Times" w:eastAsia="Times New Roman" w:hAnsi="Times" w:cs="Arial"/>
          <w:color w:val="000000" w:themeColor="text1"/>
        </w:rPr>
        <w:t xml:space="preserve">in order to protect personal </w:t>
      </w:r>
      <w:r w:rsidR="00265D5F" w:rsidRPr="007F05C8">
        <w:rPr>
          <w:rFonts w:ascii="Times" w:eastAsia="Times New Roman" w:hAnsi="Times" w:cs="Arial"/>
          <w:color w:val="000000" w:themeColor="text1"/>
        </w:rPr>
        <w:t>privacy, if the number of people in a given category (</w:t>
      </w:r>
      <w:proofErr w:type="gramStart"/>
      <w:r w:rsidR="00265D5F" w:rsidRPr="007F05C8">
        <w:rPr>
          <w:rFonts w:ascii="Times" w:eastAsia="Times New Roman" w:hAnsi="Times" w:cs="Arial"/>
          <w:color w:val="000000" w:themeColor="text1"/>
        </w:rPr>
        <w:t>i.e.</w:t>
      </w:r>
      <w:proofErr w:type="gramEnd"/>
      <w:r w:rsidR="00265D5F" w:rsidRPr="007F05C8">
        <w:rPr>
          <w:rFonts w:ascii="Times" w:eastAsia="Times New Roman" w:hAnsi="Times" w:cs="Arial"/>
          <w:color w:val="000000" w:themeColor="text1"/>
        </w:rPr>
        <w:t xml:space="preserve"> one county/year/cause of death category) is less than 10, the US Vital Statistics agency will not record such data. Hence, the true values of total deaths of opioid-drug overdose will be higher than the data we used in this case</w:t>
      </w:r>
      <w:r w:rsidRPr="007F05C8">
        <w:rPr>
          <w:rFonts w:ascii="Times" w:eastAsia="Times New Roman" w:hAnsi="Times" w:cs="Arial"/>
          <w:color w:val="000000" w:themeColor="text1"/>
        </w:rPr>
        <w:t xml:space="preserve">, so the real average mortality rates of opioid-drug overdose per capita will also be higher than the mortality rates we calculated. Second, </w:t>
      </w:r>
      <w:r w:rsidRPr="007F05C8">
        <w:rPr>
          <w:rFonts w:ascii="Times" w:hAnsi="Times" w:cs="AppleSystemUIFont"/>
        </w:rPr>
        <w:t>since the U.S. census is 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own prejudice</w:t>
      </w:r>
      <w:r w:rsidR="00CA766A">
        <w:rPr>
          <w:rFonts w:ascii="Times" w:hAnsi="Times" w:cs="AppleSystemUIFont"/>
        </w:rPr>
        <w:t xml:space="preserve"> [</w:t>
      </w:r>
      <w:r w:rsidR="00B238AE">
        <w:rPr>
          <w:rFonts w:ascii="Times" w:hAnsi="Times" w:cs="AppleSystemUIFont"/>
        </w:rPr>
        <w:t>3</w:t>
      </w:r>
      <w:r w:rsidR="00CA766A">
        <w:rPr>
          <w:rFonts w:ascii="Times" w:hAnsi="Times" w:cs="AppleSystemUIFont"/>
        </w:rPr>
        <w:t>]</w:t>
      </w:r>
      <w:r w:rsidRPr="007F05C8">
        <w:rPr>
          <w:rFonts w:ascii="Times" w:hAnsi="Times" w:cs="AppleSystemUIFont"/>
        </w:rPr>
        <w:t xml:space="preserve">. Therefore, the true population may be different from the data we used here, but we can't get the most realistic data, so these analyses may not fully reflect the real situation. Third, our control states were selected based on </w:t>
      </w:r>
      <w:r w:rsidRPr="007F05C8">
        <w:rPr>
          <w:rFonts w:ascii="Times" w:eastAsia="Times New Roman" w:hAnsi="Times" w:cs="Arial"/>
          <w:color w:val="000000" w:themeColor="text1"/>
        </w:rPr>
        <w:t xml:space="preserve">similar </w:t>
      </w:r>
      <w:r w:rsidRPr="007F05C8">
        <w:rPr>
          <w:rFonts w:ascii="Times" w:eastAsia="Times New Roman" w:hAnsi="Times" w:cs="Arial"/>
          <w:color w:val="000000" w:themeColor="text1"/>
        </w:rPr>
        <w:lastRenderedPageBreak/>
        <w:t>population sizes and opioid dispense rates</w:t>
      </w:r>
      <w:r w:rsidRPr="007F05C8">
        <w:rPr>
          <w:rFonts w:ascii="Times" w:hAnsi="Times" w:cs="AppleSystemUIFont"/>
        </w:rPr>
        <w:t xml:space="preserve">, but we did not </w:t>
      </w:r>
      <w:proofErr w:type="gramStart"/>
      <w:r w:rsidRPr="007F05C8">
        <w:rPr>
          <w:rFonts w:ascii="Times" w:hAnsi="Times" w:cs="AppleSystemUIFont"/>
        </w:rPr>
        <w:t>take into account</w:t>
      </w:r>
      <w:proofErr w:type="gramEnd"/>
      <w:r w:rsidRPr="007F05C8">
        <w:rPr>
          <w:rFonts w:ascii="Times" w:hAnsi="Times" w:cs="AppleSystemUIFont"/>
        </w:rPr>
        <w:t xml:space="preserve"> other similar factors such as income and education levels, so our analysis may be somewhat one-sided.</w:t>
      </w:r>
      <w:r w:rsidR="00CA766A">
        <w:rPr>
          <w:rFonts w:ascii="Times" w:hAnsi="Times" w:cs="AppleSystemUIFont"/>
        </w:rPr>
        <w:t xml:space="preserve"> </w:t>
      </w:r>
      <w:proofErr w:type="gramStart"/>
      <w:r w:rsidR="00CA766A" w:rsidRPr="00CA766A">
        <w:rPr>
          <w:rFonts w:ascii="Times" w:hAnsi="Times" w:cs="AppleSystemUIFont"/>
        </w:rPr>
        <w:t>Last but not least</w:t>
      </w:r>
      <w:proofErr w:type="gramEnd"/>
      <w:r w:rsidR="00CA766A" w:rsidRPr="00CA766A">
        <w:rPr>
          <w:rFonts w:ascii="Times" w:hAnsi="Times" w:cs="AppleSystemUIFont"/>
        </w:rPr>
        <w:t xml:space="preserve">, most states have 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 </w:t>
      </w:r>
      <w:proofErr w:type="gramStart"/>
      <w:r w:rsidR="00CA766A" w:rsidRPr="00CA766A">
        <w:rPr>
          <w:rFonts w:ascii="Times" w:hAnsi="Times" w:cs="AppleSystemUIFont"/>
        </w:rPr>
        <w:t>the majority of</w:t>
      </w:r>
      <w:proofErr w:type="gramEnd"/>
      <w:r w:rsidR="00CA766A" w:rsidRPr="00CA766A">
        <w:rPr>
          <w:rFonts w:ascii="Times" w:hAnsi="Times" w:cs="AppleSystemUIFont"/>
        </w:rPr>
        <w:t xml:space="preserve"> states had implemented at least 3 of these 4 categories of policies [</w:t>
      </w:r>
      <w:r w:rsidR="00B238AE">
        <w:rPr>
          <w:rFonts w:ascii="Times" w:hAnsi="Times" w:cs="AppleSystemUIFont"/>
        </w:rPr>
        <w:t>4</w:t>
      </w:r>
      <w:r w:rsidR="00CA766A" w:rsidRPr="00CA766A">
        <w:rPr>
          <w:rFonts w:ascii="Times" w:hAnsi="Times" w:cs="AppleSystemUIFont"/>
        </w:rPr>
        <w:t>]. Therefore, it will be unreasonable to put too much emphasis on specific timepoints, namely the year of 2007 (Texas), 2010 (Florida), 201</w:t>
      </w:r>
      <w:r w:rsidR="00C02F51">
        <w:rPr>
          <w:rFonts w:ascii="Times" w:hAnsi="Times" w:cs="AppleSystemUIFont"/>
        </w:rPr>
        <w:t>2</w:t>
      </w:r>
      <w:r w:rsidR="00CA766A"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accurate evaluation of opioid policy effectiveness.</w:t>
      </w:r>
    </w:p>
    <w:p w14:paraId="0607ABAD" w14:textId="6F51C71D" w:rsidR="005D3A39" w:rsidRPr="007F05C8" w:rsidRDefault="005D3A39" w:rsidP="007F05C8">
      <w:pPr>
        <w:shd w:val="clear" w:color="auto" w:fill="FFFFFF"/>
        <w:jc w:val="both"/>
        <w:rPr>
          <w:rFonts w:ascii="Times" w:eastAsia="Times New Roman" w:hAnsi="Times" w:cs="Arial"/>
          <w:color w:val="000000" w:themeColor="text1"/>
        </w:rPr>
      </w:pPr>
    </w:p>
    <w:p w14:paraId="6219DB5D" w14:textId="0F681123" w:rsidR="00CA766A" w:rsidRDefault="00CA766A" w:rsidP="00847790">
      <w:pPr>
        <w:shd w:val="clear" w:color="auto" w:fill="FFFFFF"/>
        <w:jc w:val="both"/>
        <w:rPr>
          <w:rFonts w:ascii="Times" w:eastAsia="Times New Roman" w:hAnsi="Times" w:cs="Arial"/>
          <w:color w:val="000000" w:themeColor="text1"/>
        </w:rPr>
      </w:pPr>
    </w:p>
    <w:p w14:paraId="26661288" w14:textId="34E1A254" w:rsidR="00CA766A" w:rsidRDefault="00CA766A" w:rsidP="00847790">
      <w:pPr>
        <w:shd w:val="clear" w:color="auto" w:fill="FFFFFF"/>
        <w:jc w:val="both"/>
        <w:rPr>
          <w:rFonts w:ascii="Times" w:eastAsia="Times New Roman" w:hAnsi="Times" w:cs="Arial"/>
          <w:color w:val="000000" w:themeColor="text1"/>
        </w:rPr>
      </w:pPr>
    </w:p>
    <w:p w14:paraId="5B0588B1" w14:textId="6A80422F" w:rsidR="00B238AE" w:rsidRPr="00B238AE" w:rsidRDefault="00CA766A" w:rsidP="00847790">
      <w:pPr>
        <w:shd w:val="clear" w:color="auto" w:fill="FFFFFF"/>
        <w:jc w:val="both"/>
        <w:rPr>
          <w:rFonts w:ascii="Times" w:eastAsia="Times New Roman" w:hAnsi="Times" w:cs="Arial"/>
          <w:b/>
          <w:bCs/>
          <w:color w:val="FF0000"/>
          <w:sz w:val="32"/>
          <w:szCs w:val="32"/>
        </w:rPr>
      </w:pPr>
      <w:r w:rsidRPr="00B238AE">
        <w:rPr>
          <w:rFonts w:ascii="Times" w:eastAsia="Times New Roman" w:hAnsi="Times" w:cs="Arial"/>
          <w:b/>
          <w:bCs/>
          <w:color w:val="FF0000"/>
          <w:sz w:val="32"/>
          <w:szCs w:val="32"/>
        </w:rPr>
        <w:t>Conclusion</w:t>
      </w:r>
    </w:p>
    <w:p w14:paraId="559F1BE7" w14:textId="77777777" w:rsidR="00B238AE" w:rsidRDefault="00B238AE" w:rsidP="00847790">
      <w:pPr>
        <w:shd w:val="clear" w:color="auto" w:fill="FFFFFF"/>
        <w:jc w:val="both"/>
        <w:rPr>
          <w:rFonts w:ascii="Times" w:eastAsia="Times New Roman" w:hAnsi="Times" w:cs="Arial"/>
          <w:b/>
          <w:bCs/>
          <w:color w:val="000000" w:themeColor="text1"/>
          <w:sz w:val="32"/>
          <w:szCs w:val="32"/>
        </w:rPr>
      </w:pPr>
    </w:p>
    <w:p w14:paraId="740FF17C" w14:textId="29C40804" w:rsidR="00CA766A" w:rsidRPr="00AA22EC" w:rsidRDefault="00CA766A"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90F8" w14:textId="77777777" w:rsidR="001E4224" w:rsidRDefault="001E4224" w:rsidP="00B238AE">
      <w:r>
        <w:separator/>
      </w:r>
    </w:p>
  </w:endnote>
  <w:endnote w:type="continuationSeparator" w:id="0">
    <w:p w14:paraId="418F4AF7" w14:textId="77777777" w:rsidR="001E4224" w:rsidRDefault="001E4224"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651504"/>
      <w:docPartObj>
        <w:docPartGallery w:val="Page Numbers (Bottom of Page)"/>
        <w:docPartUnique/>
      </w:docPartObj>
    </w:sdt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317887"/>
      <w:docPartObj>
        <w:docPartGallery w:val="Page Numbers (Bottom of Page)"/>
        <w:docPartUnique/>
      </w:docPartObj>
    </w:sdt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C4E3" w14:textId="77777777" w:rsidR="001E4224" w:rsidRDefault="001E4224" w:rsidP="00B238AE">
      <w:r>
        <w:separator/>
      </w:r>
    </w:p>
  </w:footnote>
  <w:footnote w:type="continuationSeparator" w:id="0">
    <w:p w14:paraId="0F71E17B" w14:textId="77777777" w:rsidR="001E4224" w:rsidRDefault="001E4224"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823559">
    <w:abstractNumId w:val="1"/>
  </w:num>
  <w:num w:numId="2" w16cid:durableId="146604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6197E"/>
    <w:rsid w:val="000F1987"/>
    <w:rsid w:val="0010500E"/>
    <w:rsid w:val="001E4224"/>
    <w:rsid w:val="0023013A"/>
    <w:rsid w:val="00265D5F"/>
    <w:rsid w:val="00347639"/>
    <w:rsid w:val="003C75E4"/>
    <w:rsid w:val="00590BEC"/>
    <w:rsid w:val="005B40ED"/>
    <w:rsid w:val="005D3A39"/>
    <w:rsid w:val="005D6C64"/>
    <w:rsid w:val="006822B7"/>
    <w:rsid w:val="006B4BEA"/>
    <w:rsid w:val="00701B13"/>
    <w:rsid w:val="007163D2"/>
    <w:rsid w:val="00754167"/>
    <w:rsid w:val="007773E0"/>
    <w:rsid w:val="00790201"/>
    <w:rsid w:val="00791E5A"/>
    <w:rsid w:val="007D0DDD"/>
    <w:rsid w:val="007F05C8"/>
    <w:rsid w:val="00847790"/>
    <w:rsid w:val="008F1501"/>
    <w:rsid w:val="00A0684B"/>
    <w:rsid w:val="00A53FC4"/>
    <w:rsid w:val="00AA22EC"/>
    <w:rsid w:val="00B238AE"/>
    <w:rsid w:val="00B46D15"/>
    <w:rsid w:val="00BA2949"/>
    <w:rsid w:val="00C02F51"/>
    <w:rsid w:val="00C24078"/>
    <w:rsid w:val="00C52149"/>
    <w:rsid w:val="00CA766A"/>
    <w:rsid w:val="00CB26EB"/>
    <w:rsid w:val="00D00877"/>
    <w:rsid w:val="00D3489B"/>
    <w:rsid w:val="00E54AAC"/>
    <w:rsid w:val="00F05EC6"/>
    <w:rsid w:val="00F4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2BF6-DD99-C24C-8921-CE4C77CE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Jiaxin Ying</cp:lastModifiedBy>
  <cp:revision>8</cp:revision>
  <dcterms:created xsi:type="dcterms:W3CDTF">2022-11-28T21:54:00Z</dcterms:created>
  <dcterms:modified xsi:type="dcterms:W3CDTF">2022-11-29T00:16:00Z</dcterms:modified>
</cp:coreProperties>
</file>