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A9B49" w14:textId="77777777" w:rsidR="008D7C81" w:rsidRDefault="00000000">
      <w:pPr>
        <w:pStyle w:val="Heading1"/>
      </w:pPr>
      <w:r>
        <w:t>Case for Selecting Control States for Florida and Washington</w:t>
      </w:r>
    </w:p>
    <w:p w14:paraId="6AB3FA09" w14:textId="77777777" w:rsidR="008D7C81" w:rsidRDefault="00000000">
      <w:r>
        <w:t>This document outlines the rationale for selecting appropriate control states to compare against Florida and Washington in a Difference-in-Differences (DiD) framework analyzing opioid-related policy impacts. The selection is based on pre-policy mortality trends, socioeconomic and demographic similarities, and structural factors influencing opioid addiction risk.</w:t>
      </w:r>
    </w:p>
    <w:p w14:paraId="158C2628" w14:textId="77777777" w:rsidR="008D7C81" w:rsidRDefault="00000000">
      <w:pPr>
        <w:pStyle w:val="Heading2"/>
      </w:pPr>
      <w:r>
        <w:t>Florida: Selected and Backup Control States</w:t>
      </w:r>
    </w:p>
    <w:p w14:paraId="3CA07BD0" w14:textId="77777777" w:rsidR="008D7C81" w:rsidRDefault="00000000">
      <w:r>
        <w:t>Florida implemented major opioid control policies such as pill mill laws and Prescription Drug Monitoring Programs (PDMPs) around 2010–2011. Appropriate control states should exhibit similar pre-policy opioid mortality trends and comparable structural characteristics, without enacting equivalent policies at the same time.</w:t>
      </w:r>
    </w:p>
    <w:p w14:paraId="73BAA5A3" w14:textId="77777777" w:rsidR="008D7C81" w:rsidRDefault="00000000">
      <w:pPr>
        <w:pStyle w:val="Heading3"/>
      </w:pPr>
      <w:r>
        <w:t>Selected Control States: Georgia, Alabama, South Carolina</w:t>
      </w:r>
    </w:p>
    <w:p w14:paraId="5A715E91" w14:textId="77777777" w:rsidR="008D7C81" w:rsidRDefault="00000000">
      <w:r>
        <w:t>Pre-policy similarity: Between 2000 and 2010, Georgia, Alabama, and South Carolina exhibited opioid-related overdose mortality trends parallel to Florida’s. All states showed a gradual increase from low-to-moderate levels in the early 2000s to sharp growth near 2008–2010, before Florida’s policy intervention.</w:t>
      </w:r>
    </w:p>
    <w:p w14:paraId="4A45C05C" w14:textId="77777777" w:rsidR="008D7C81" w:rsidRDefault="00000000">
      <w:r>
        <w:t>Structural similarity: These southeastern states share several risk-related factors with Florida:</w:t>
      </w:r>
      <w:r>
        <w:br/>
        <w:t>- Similar education attainment distributions, with large rural populations having lower average completion rates.</w:t>
      </w:r>
      <w:r>
        <w:br/>
        <w:t>- Comparable economic structures—high prevalence of blue-collar industries involving physical labor, which correlates with higher injury rates and pain-related prescriptions.</w:t>
      </w:r>
      <w:r>
        <w:br/>
        <w:t>- Limited access to healthcare and lower rates of preventative healthcare utilization.</w:t>
      </w:r>
      <w:r>
        <w:br/>
        <w:t>- Non-expansion of Medicaid during the pre-ACA period, meaning similar healthcare access constraints.</w:t>
      </w:r>
      <w:r>
        <w:br/>
        <w:t>- Predominantly conservative political orientations, shaping similar health policy attitudes.</w:t>
      </w:r>
      <w:r>
        <w:br/>
      </w:r>
    </w:p>
    <w:p w14:paraId="70F16189" w14:textId="77777777" w:rsidR="008D7C81" w:rsidRDefault="00000000">
      <w:r>
        <w:t>Differences: Florida is more urbanized overall and has an older population on average, particularly in coastal counties. Its economy has stronger service and tourism components compared to the more industrial or agricultural profiles of Alabama and Georgia. However, these distinctions likely do not drive major divergence in pre-policy opioid mortality trends.</w:t>
      </w:r>
    </w:p>
    <w:p w14:paraId="7737B5FC" w14:textId="77777777" w:rsidR="008D7C81" w:rsidRDefault="00000000">
      <w:pPr>
        <w:pStyle w:val="Heading3"/>
      </w:pPr>
      <w:r>
        <w:t>Backup Control States: North Carolina, Tennessee, Mississippi</w:t>
      </w:r>
    </w:p>
    <w:p w14:paraId="2F4D7012" w14:textId="77777777" w:rsidR="008D7C81" w:rsidRDefault="00000000">
      <w:r>
        <w:t>Pre-policy similarity: These states also exhibit similar mortality growth patterns prior to 2010 but show slightly different slopes or earlier adoption of certain monitoring programs.</w:t>
      </w:r>
      <w:r>
        <w:br/>
        <w:t>North Carolina and Tennessee both had increasing prescription rates similar to Florida’s trend, though their policy responses began marginally earlier.</w:t>
      </w:r>
    </w:p>
    <w:p w14:paraId="48D12F31" w14:textId="77777777" w:rsidR="008D7C81" w:rsidRDefault="00000000">
      <w:r>
        <w:lastRenderedPageBreak/>
        <w:t>Structural similarity: The backup states mirror Florida in education, income, and healthcare access limitations. Mississippi, while slightly poorer, provides useful robustness given its comparable public health infrastructure.</w:t>
      </w:r>
    </w:p>
    <w:p w14:paraId="1C0C3DAD" w14:textId="77777777" w:rsidR="008D7C81" w:rsidRDefault="00000000">
      <w:r>
        <w:t>Differences: Tennessee introduced stricter prescription controls somewhat earlier than Florida, and North Carolina implemented a PDMP slightly before 2011, which could bias estimates if not adjusted for timing.</w:t>
      </w:r>
    </w:p>
    <w:p w14:paraId="1CA6C548" w14:textId="77777777" w:rsidR="008D7C81" w:rsidRDefault="00000000">
      <w:pPr>
        <w:pStyle w:val="Heading2"/>
      </w:pPr>
      <w:r>
        <w:t>Washington: Selected and Backup Control States</w:t>
      </w:r>
    </w:p>
    <w:p w14:paraId="44EB0DCF" w14:textId="77777777" w:rsidR="008D7C81" w:rsidRDefault="00000000">
      <w:r>
        <w:t>Washington’s opioid control policies began earlier, focusing on prescriber education, dosage limits, and stronger monitoring systems. Control states were chosen to share pre-policy overdose mortality patterns and comparable socioeconomic characteristics, but without identical regulatory timing.</w:t>
      </w:r>
    </w:p>
    <w:p w14:paraId="087D8FF3" w14:textId="77777777" w:rsidR="008D7C81" w:rsidRDefault="00000000">
      <w:pPr>
        <w:pStyle w:val="Heading3"/>
      </w:pPr>
      <w:r>
        <w:t>Selected Control States: Oregon, Colorado, Minnesota</w:t>
      </w:r>
    </w:p>
    <w:p w14:paraId="54081745" w14:textId="77777777" w:rsidR="008D7C81" w:rsidRDefault="00000000">
      <w:r>
        <w:t>Pre-policy similarity: In the early 2000s, Oregon, Colorado, and Minnesota tracked Washington closely in opioid overdose mortality. Each saw a steady increase through 2010, without dramatic deviations. None implemented major opioid prescription reforms at the same early stage as Washington.</w:t>
      </w:r>
    </w:p>
    <w:p w14:paraId="5571A288" w14:textId="77777777" w:rsidR="008D7C81" w:rsidRDefault="00000000">
      <w:r>
        <w:t>Structural similarity:</w:t>
      </w:r>
      <w:r>
        <w:br/>
        <w:t>- Comparable levels of educational attainment and income.</w:t>
      </w:r>
      <w:r>
        <w:br/>
        <w:t>- High urban-rural diversity and access to healthcare infrastructure.</w:t>
      </w:r>
      <w:r>
        <w:br/>
        <w:t>- Similar preventative healthcare utilization and Medicaid expansion timing.</w:t>
      </w:r>
      <w:r>
        <w:br/>
        <w:t>- Politically moderate-to-progressive states with strong public health cultures.</w:t>
      </w:r>
      <w:r>
        <w:br/>
        <w:t>- Similar occupational risk structures—significant service, healthcare, and light manufacturing employment.</w:t>
      </w:r>
    </w:p>
    <w:p w14:paraId="03752DE7" w14:textId="77777777" w:rsidR="008D7C81" w:rsidRDefault="00000000">
      <w:r>
        <w:t>Differences: Oregon’s overdose mortality rates began rising more sharply post-2012, while Minnesota maintained slightly lower mortality overall. Colorado has a somewhat younger and more transient population, which could affect prescription behavior and treatment access.</w:t>
      </w:r>
    </w:p>
    <w:p w14:paraId="416E9903" w14:textId="77777777" w:rsidR="008D7C81" w:rsidRDefault="00000000">
      <w:pPr>
        <w:pStyle w:val="Heading3"/>
      </w:pPr>
      <w:r>
        <w:t>Backup Control States: Nevada, California, Virginia</w:t>
      </w:r>
    </w:p>
    <w:p w14:paraId="4AF0D45E" w14:textId="77777777" w:rsidR="008D7C81" w:rsidRDefault="00000000">
      <w:r>
        <w:t>Pre-policy similarity: These states shared moderate opioid mortality increases from 2000 to 2010. California and Nevada both display strong parallels with Washington’s early trajectory, though California’s size and internal policy variation complicate its use as a clean control.</w:t>
      </w:r>
    </w:p>
    <w:p w14:paraId="140FF08B" w14:textId="77777777" w:rsidR="008D7C81" w:rsidRDefault="00000000">
      <w:r>
        <w:t>Structural similarity: All have significant urban centers, mixed political orientation, and similar healthcare access structures. Virginia serves as a useful check given its balanced demographics and moderate overdose rate trend pre-policy.</w:t>
      </w:r>
    </w:p>
    <w:p w14:paraId="428BC888" w14:textId="77777777" w:rsidR="008D7C81" w:rsidRDefault="00000000">
      <w:r>
        <w:t>Differences: California’s population size and earlier adoption of harm reduction measures make it less directly comparable. Nevada shows slightly higher baseline mortality due to tourism-related demographic flux and healthcare shortages.</w:t>
      </w:r>
    </w:p>
    <w:p w14:paraId="0798E08D" w14:textId="77777777" w:rsidR="008D7C81" w:rsidRDefault="00000000">
      <w:pPr>
        <w:pStyle w:val="Heading2"/>
      </w:pPr>
      <w:r>
        <w:lastRenderedPageBreak/>
        <w:t>Summary Justification</w:t>
      </w:r>
    </w:p>
    <w:p w14:paraId="0EEB3E38" w14:textId="77777777" w:rsidR="008D7C81" w:rsidRDefault="00000000">
      <w:r>
        <w:t>Overall, the selected and backup control states demonstrate comparable pre-policy opioid mortality trajectories, as well as similar socioeconomic and structural factors associated with opioid addiction risk. Minor demographic and economic differences will be addressed through covariate controls and fixed effects in the DiD model. Parallel pre-treatment trends will be empirically tested to confirm suitability of these control states.</w:t>
      </w:r>
    </w:p>
    <w:sectPr w:rsidR="008D7C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813872">
    <w:abstractNumId w:val="8"/>
  </w:num>
  <w:num w:numId="2" w16cid:durableId="492571607">
    <w:abstractNumId w:val="6"/>
  </w:num>
  <w:num w:numId="3" w16cid:durableId="1731686375">
    <w:abstractNumId w:val="5"/>
  </w:num>
  <w:num w:numId="4" w16cid:durableId="1416200141">
    <w:abstractNumId w:val="4"/>
  </w:num>
  <w:num w:numId="5" w16cid:durableId="338822719">
    <w:abstractNumId w:val="7"/>
  </w:num>
  <w:num w:numId="6" w16cid:durableId="595213494">
    <w:abstractNumId w:val="3"/>
  </w:num>
  <w:num w:numId="7" w16cid:durableId="1275287105">
    <w:abstractNumId w:val="2"/>
  </w:num>
  <w:num w:numId="8" w16cid:durableId="1326395042">
    <w:abstractNumId w:val="1"/>
  </w:num>
  <w:num w:numId="9" w16cid:durableId="302465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4FE6"/>
    <w:rsid w:val="008D7C81"/>
    <w:rsid w:val="00AA1D8D"/>
    <w:rsid w:val="00B47730"/>
    <w:rsid w:val="00CB0664"/>
    <w:rsid w:val="00E72077"/>
    <w:rsid w:val="00EA1C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931B2"/>
  <w14:defaultImageDpi w14:val="300"/>
  <w15:docId w15:val="{A458AF16-45BB-9F4E-BA5E-F037273D7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Tea Tafaj</cp:lastModifiedBy>
  <cp:revision>2</cp:revision>
  <dcterms:created xsi:type="dcterms:W3CDTF">2025-11-11T16:40:00Z</dcterms:created>
  <dcterms:modified xsi:type="dcterms:W3CDTF">2025-11-11T16:40:00Z</dcterms:modified>
  <cp:category/>
</cp:coreProperties>
</file>