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 xml:space="preserve">PROYECTO EJECUTIVO "TEKITL DIGITAL YEKNEMILIS" </w:t>
      </w:r>
    </w:p>
    <w:p w14:paraId="00000002">
      <w:pPr>
        <w:spacing w:line="360"/>
        <w:jc w:val="both"/>
        <w:rPr>
          <w:rFonts w:ascii="Arial" w:cs="Arial" w:hAnsi="Arial"/>
          <w:sz w:val="24"/>
          <w:szCs w:val="24"/>
        </w:rPr>
      </w:pPr>
    </w:p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1. MARCO FILOSÓFICO Y VISIÓN ESTRATÉGICA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El proyecto ejecutivo rompe de manera definitiva con la inercia del asistencialismo estatal que trataba a los pueblos originarios como receptores pasivos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 Al trasladar el principio ancestral del trabajo colectivo (</w:t>
      </w:r>
      <w:r>
        <w:rPr>
          <w:rFonts w:ascii="Arial" w:cs="Arial" w:hAnsi="Arial"/>
          <w:i/>
          <w:color w:val="000000"/>
          <w:sz w:val="24"/>
          <w:szCs w:val="24"/>
          <w:rtl w:val="off"/>
          <w:lang w:val="en-US"/>
        </w:rPr>
        <w:t>Tequio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o </w:t>
      </w:r>
      <w:r>
        <w:rPr>
          <w:rFonts w:ascii="Arial" w:cs="Arial" w:hAnsi="Arial"/>
          <w:i/>
          <w:color w:val="000000"/>
          <w:sz w:val="24"/>
          <w:szCs w:val="24"/>
          <w:rtl w:val="off"/>
          <w:lang w:val="en-US"/>
        </w:rPr>
        <w:t>Faena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) al entorno tecnológico, se establece la </w:t>
      </w: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Soberanía Tecnológica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: el conocimiento para reparar, programar y gestionar la infraestructura debe residir dentro de la propia comunidad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Evolución de los MADI (Módulos de Apropiación Digital)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Los espacios anteriormente concebidos como "salas de cómputo" o "cibercafés" se transforman conceptualmente en </w:t>
      </w: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Ecosistemas Vivos y Territorios Digitales Soberanos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, fungiendo como nodos físicos donde convergen la tradición y la innovación contemporánea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:</w:t>
      </w:r>
    </w:p>
    <w:p w14:paraId="00000007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Espacio de Gobernanza: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Donde las Asambleas Comunitarias deciden qué se consulta y cómo se protegen los datos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08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Centros de Justicia Educativa: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Espacios de certificación de competencias laborales con validez nacional ante el CONOCER y la SEP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09">
      <w:pPr>
        <w:framePr w:w="0" w:h="0" w:vAnchor="margin" w:hAnchor="text" w:x="0" w:y="0"/>
        <w:numPr>
          <w:ilvl w:val="0"/>
          <w:numId w:val="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Estudios de Memoria Biocultural: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Células para la grabación, preservación y difusión de saberes, medicina tradicional y lenguas maternas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right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2. DIAGNÓSTICO Y MANDATO JURÍDICO MULTINIVEL</w:t>
      </w:r>
    </w:p>
    <w:p w14:paraId="000000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La Cuádruple Carga (El Rezago Estructural)</w:t>
      </w:r>
    </w:p>
    <w:p w14:paraId="000000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El modelo responde a una superposición de vulnerabilidades detectadas en los 58 municipios con mayor presencia indígena en el estado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: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tbl>
      <w:tblPr>
        <w:bidiVisual w:val="off"/>
        <w:tblW w:w="9343" w:type="dxa"/>
        <w:jc w:val="left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2487"/>
        <w:gridCol w:w="3209"/>
        <w:gridCol w:w="3647"/>
      </w:tblGrid>
      <w:tr>
        <w:trPr>
          <w:wBefore w:w="0" w:type="dxa"/>
          <w:jc w:val="left"/>
        </w:trPr>
        <w:tc>
          <w:tcPr>
            <w:cnfStyle w:val="100010000000"/>
            <w:tcW w:w="24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0F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Dimensión de la Carga</w:t>
            </w:r>
          </w:p>
        </w:tc>
        <w:tc>
          <w:tcPr>
            <w:cnfStyle w:val="100001000000"/>
            <w:tcW w:w="320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0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Manifestación en el Territorio</w:t>
            </w:r>
          </w:p>
        </w:tc>
        <w:tc>
          <w:tcPr>
            <w:cnfStyle w:val="100010000000"/>
            <w:tcW w:w="364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1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Mitigación del Proyecto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4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2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1. Pobreza Extrema y Marginación</w:t>
            </w:r>
          </w:p>
        </w:tc>
        <w:tc>
          <w:tcPr>
            <w:cnfStyle w:val="000001000000"/>
            <w:tcW w:w="320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3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Aislamiento físico y económico de las comunidades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  <w:tc>
          <w:tcPr>
            <w:cnfStyle w:val="000010000000"/>
            <w:tcW w:w="364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4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Centros locales de conectividad y desarrollo comunitario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4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5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2. Rezago Social Histórico</w:t>
            </w:r>
          </w:p>
        </w:tc>
        <w:tc>
          <w:tcPr>
            <w:cnfStyle w:val="000001000000"/>
            <w:tcW w:w="320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6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Falta de acceso equitativo a servicios básicos y movilidad social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  <w:tc>
          <w:tcPr>
            <w:cnfStyle w:val="000010000000"/>
            <w:tcW w:w="364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7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Espacios de capacitación y trámites gubernamentales descentralizados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4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3. Brecha Digital Crítica</w:t>
            </w:r>
          </w:p>
        </w:tc>
        <w:tc>
          <w:tcPr>
            <w:cnfStyle w:val="000001000000"/>
            <w:tcW w:w="320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9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 xml:space="preserve">Al sector indígena corresponde apenas un </w:t>
            </w: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0.07% de conectividad efectiva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 xml:space="preserve"> en hogares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  <w:tc>
          <w:tcPr>
            <w:cnfStyle w:val="000010000000"/>
            <w:tcW w:w="364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A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 xml:space="preserve">Infraestructura comunitaria pública bajo arquitectura </w:t>
            </w:r>
            <w:r>
              <w:rPr>
                <w:rFonts w:ascii="Arial" w:cs="Arial" w:hAnsi="Arial"/>
                <w:i/>
                <w:color w:val="000000"/>
                <w:sz w:val="22"/>
                <w:szCs w:val="22"/>
                <w:rtl w:val="off"/>
                <w:lang w:val="en-US"/>
              </w:rPr>
              <w:t>Offline-First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</w:tr>
      <w:tr>
        <w:trPr>
          <w:wBefore w:w="0" w:type="dxa"/>
          <w:jc w:val="left"/>
        </w:trPr>
        <w:tc>
          <w:tcPr>
            <w:cnfStyle w:val="000010000000"/>
            <w:tcW w:w="248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B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b/>
                <w:color w:val="000000"/>
                <w:sz w:val="22"/>
                <w:szCs w:val="22"/>
                <w:rtl w:val="off"/>
                <w:lang w:val="en-US"/>
              </w:rPr>
              <w:t>4. Emergencia Lingüística</w:t>
            </w:r>
          </w:p>
        </w:tc>
        <w:tc>
          <w:tcPr>
            <w:cnfStyle w:val="000001000000"/>
            <w:tcW w:w="320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C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Riesgo inminente de desaparición de lenguas y saberes ancestrales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  <w:tc>
          <w:tcPr>
            <w:cnfStyle w:val="000010000000"/>
            <w:tcW w:w="364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vAlign w:val="top"/>
          </w:tcPr>
          <w:p w14:paraId="0000001D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360" w:lineRule="auto"/>
              <w:ind w:left="0" w:right="0" w:firstLine="0"/>
              <w:jc w:val="both"/>
              <w:rPr>
                <w:rFonts w:ascii="Arial" w:cs="Arial" w:hAnsi="Arial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Creación de plataformas y contenidos digitales bilingües y culturalmente pertinentes</w:t>
            </w:r>
            <w:r>
              <w:rPr>
                <w:rFonts w:ascii="Arial" w:cs="Arial" w:hAnsi="Arial"/>
                <w:color w:val="000000"/>
                <w:sz w:val="22"/>
                <w:szCs w:val="22"/>
                <w:rtl w:val="off"/>
                <w:lang w:val="en-US"/>
              </w:rPr>
              <w:t>.</w:t>
            </w:r>
          </w:p>
        </w:tc>
      </w:tr>
    </w:tbl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rtl w:val="off"/>
          <w:lang w:val="en-US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Fundamentación Legal de la Intervención.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Este ecosistema no es una política coyuntural; responde a mandatos legales irrefutables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:</w:t>
      </w:r>
    </w:p>
    <w:p w14:paraId="00000021">
      <w:pPr>
        <w:framePr w:w="0" w:h="0" w:vAnchor="margin" w:hAnchor="text" w:x="0" w:y="0"/>
        <w:numPr>
          <w:ilvl w:val="0"/>
          <w:numId w:val="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Convenio 169 de la OIT: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Obligación de respetar las prioridades de desarrollo de los pueblos y su derecho a administrar sus propias instituciones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2">
      <w:pPr>
        <w:framePr w:w="0" w:h="0" w:vAnchor="margin" w:hAnchor="text" w:x="0" w:y="0"/>
        <w:numPr>
          <w:ilvl w:val="0"/>
          <w:numId w:val="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Constitución Política de los EE.UU.MM. (Art. 2º):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Mandato de garantizar el acceso efectivo a las Tecnologías de la Información y Comunicación (TIC)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3">
      <w:pPr>
        <w:framePr w:w="0" w:h="0" w:vAnchor="margin" w:hAnchor="text" w:x="0" w:y="0"/>
        <w:numPr>
          <w:ilvl w:val="0"/>
          <w:numId w:val="4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Constitución Política del Estado de Puebla (Art. 13):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Confiere personalidad jurídica a las comunidades como </w:t>
      </w: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Sujetos de Derecho Público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, dándoles la facultad legal de co-gestionar el proyecto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3. CONCEPTOS RECTORES DEL ECO-SISTEMA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La Faena Digital: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Mecanismo donde la conectividad y el equipamiento dejan de ser una dádiva estatal y pasan a ser un objeto de trabajo colectivo, cuidado mutuo y vigilancia activa por parte de la comunidad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 La agenda se dicta desde el territorio hacia el escritorio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Autonomía Digital y Bioética Social: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Blindaje absoluto contra el extractivismo de datos y la mercantilización de la identidad indígena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 Los conocimientos, imágenes y lenguas resguardados constituyen memoria viva y herencia biocultural, no mercancías transaccionales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4. ARQUITECTURA DEL MODELO DE INTERVENCIÓN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El flujo operativo se articula mediante </w:t>
      </w: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seis nodos interdependientes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que garantizan la resiliencia y continuidad del ecosistema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: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[Asamblea Digital] --------&gt; [Taller Comunitario (CONOCER)] ^ | | v [Trueque Tecnológico] [Comité de Proyectos] ^ | | v [Brigada Tecnológica] &lt;------- [La Voz de la Comunidad] </w:t>
      </w:r>
    </w:p>
    <w:p w14:paraId="0000002C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1. La Asamblea Digital (Nodo Político y Ético):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Autoridad suprema conformada por autoridades tradicionales y ciudadanos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. Dicta reglamentos, horarios acordes a ciclos agrícolas y opera como el </w:t>
      </w:r>
      <w:r>
        <w:rPr>
          <w:rFonts w:ascii="Arial" w:cs="Arial" w:hAnsi="Arial"/>
          <w:i/>
          <w:color w:val="000000"/>
          <w:sz w:val="24"/>
          <w:szCs w:val="24"/>
          <w:rtl w:val="off"/>
          <w:lang w:val="en-US"/>
        </w:rPr>
        <w:t>firewall social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contra la extracción de datos sensibles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D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2. El Taller Comunitario (Nodo de Movilidad Social):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Programas académicos formales alineados a Estándares de Competencia del CONOCER con validez SEP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 Combate la migración juvenil ofreciendo herramientas de empleabilidad local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E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3. La Voz de la Comunidad (Nodo de Soberanía Documental):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Célula de registro donde la narrativa oral, la medicina tradicional y los acuerdos de asamblea se traducen a formatos digitales multimedia bilingües, alimentando el Ecosistema de Intercambio Digital del Estado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2F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4. El Comité de Proyectos (Incubadora de Soluciones):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Transforma a los egresados en productores de tecnología situada: digitalización de padrones de agua potable, catálogos para cooperativas de artesanas y sistemas de inventario agrícola sin intermediarios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0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5. La Brigada Tecnológica (Escudo de Inversión):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Grupo local de acción rápida capacitado para mantenimiento preventivo y correctivo de hardware y software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 Neutraliza la dependencia de proveedores técnicos externos y optimiza el CAPEX estatal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1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6. El Trueque Tecnológico (Sustentabilidad Financiera):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Mecanismo de economía circular inspirado en el intercambio ancestral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 Los servicios digitales brindados a particulares se retribuyen en especie (insumos, pago de luz local, horas de faena), haciendo al MADI autosustentable en su OPEX operativo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2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5. RUTA DE IMPLEMENTACIÓN ESTRATÉGICA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highlight w:val="yellow"/>
          <w:rtl w:val="off"/>
          <w:lang w:val="en-US"/>
        </w:rPr>
        <w:t>Nota: Esta ruta constituye el Marco Operativo Definitivo, sujeto a suficiencia presupuestal y autorizaciones administrativas</w:t>
      </w:r>
      <w:r>
        <w:rPr>
          <w:rFonts w:ascii="Arial" w:cs="Arial" w:hAnsi="Arial"/>
          <w:color w:val="000000"/>
          <w:sz w:val="24"/>
          <w:szCs w:val="24"/>
          <w:highlight w:val="yellow"/>
          <w:rtl w:val="off"/>
          <w:lang w:val="en-US"/>
        </w:rPr>
        <w:t>.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37">
      <w:pPr>
        <w:framePr w:w="0" w:h="0" w:vAnchor="margin" w:hAnchor="text" w:x="0" w:y="0"/>
        <w:numPr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FASE 0: Diagnóstico Técnico y Activación del Tequio Institucional (CONCLUIDA)</w:t>
      </w:r>
    </w:p>
    <w:p w14:paraId="00000038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Levantamiento técnico de los MADI y vinculación transversal con 44 dependencias estatales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9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Validación de la arquitectura de red </w:t>
      </w:r>
      <w:r>
        <w:rPr>
          <w:rFonts w:ascii="Arial" w:cs="Arial" w:hAnsi="Arial"/>
          <w:i/>
          <w:color w:val="000000"/>
          <w:sz w:val="24"/>
          <w:szCs w:val="24"/>
          <w:rtl w:val="off"/>
          <w:lang w:val="en-US"/>
        </w:rPr>
        <w:t>Offline-First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(operatividad asegurada con o sin internet permanente)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A">
      <w:pPr>
        <w:framePr w:w="0" w:h="0" w:vAnchor="margin" w:hAnchor="text" w:x="0" w:y="0"/>
        <w:numPr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FASE 1: Institucionalización de la Gobernanza</w:t>
      </w:r>
    </w:p>
    <w:p w14:paraId="0000003B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Convocatoria a autoridades tradicionales y formalización jurídica de la Asamblea Digital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C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Firma de lineamientos de corresponsabilidad y aprobación del reglamento interno comunitario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D">
      <w:pPr>
        <w:framePr w:w="0" w:h="0" w:vAnchor="margin" w:hAnchor="text" w:x="0" w:y="0"/>
        <w:numPr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FASE 2: Transferencia de Capacidades y Resiliencia Técnica</w:t>
      </w:r>
    </w:p>
    <w:p w14:paraId="0000003E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Puesta en marcha del Taller Comunitario CONOCER y adiestramiento de la Brigada Tecnológica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3F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Transición del IPPI de ente ejecutor a supervisor estrictamente técnico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40">
      <w:pPr>
        <w:framePr w:w="0" w:h="0" w:vAnchor="margin" w:hAnchor="text" w:x="0" w:y="0"/>
        <w:numPr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FASE 3: Consolidación del Ecosistema y Soberanía Financiera</w:t>
      </w:r>
    </w:p>
    <w:p w14:paraId="00000041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Activación de la producción bilingüe en "La Voz de la Comunidad"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42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Despliegue formal del Trueque Tecnológico para la autosustentabilidad operativa diaria y blindaje ante relevos de administración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43">
      <w:pPr>
        <w:framePr w:w="0" w:h="0" w:vAnchor="margin" w:hAnchor="text" w:x="0" w:y="0"/>
        <w:numPr>
          <w:ilvl w:val="1"/>
          <w:numId w:val="5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b/>
          <w:bCs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bCs/>
          <w:color w:val="000000"/>
          <w:sz w:val="24"/>
          <w:szCs w:val="24"/>
          <w:rtl w:val="off"/>
          <w:lang w:val="en-US"/>
        </w:rPr>
        <w:t>CONTROL INSTITUCIONAL Y VALIDACIÓN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El presente proyecto se dictamina en estado </w:t>
      </w: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"Llave en Mano / Listo para Implementación"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, representando la conclusión de la ingeniería estratégica del modelo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46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Elaboró: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Miguel Trinidad Gómez Hernández | </w:t>
      </w:r>
      <w:r>
        <w:rPr>
          <w:rFonts w:ascii="Arial" w:cs="Arial" w:hAnsi="Arial"/>
          <w:i/>
          <w:color w:val="000000"/>
          <w:sz w:val="24"/>
          <w:szCs w:val="24"/>
          <w:rtl w:val="off"/>
          <w:lang w:val="en-US"/>
        </w:rPr>
        <w:t>Analista de la Subdirección de Desarrollo de Tecnologías de la Información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47">
      <w:pPr>
        <w:framePr w:w="0" w:h="0" w:vAnchor="margin" w:hAnchor="text" w:x="0" w:y="0"/>
        <w:numPr>
          <w:ilvl w:val="0"/>
          <w:numId w:val="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hanging="36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Autorizó: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 xml:space="preserve"> Moisés Ismael Rosas Cabrera | </w:t>
      </w:r>
      <w:r>
        <w:rPr>
          <w:rFonts w:ascii="Arial" w:cs="Arial" w:hAnsi="Arial"/>
          <w:i/>
          <w:color w:val="000000"/>
          <w:sz w:val="24"/>
          <w:szCs w:val="24"/>
          <w:rtl w:val="off"/>
          <w:lang w:val="en-US"/>
        </w:rPr>
        <w:t>Encargado de Despacho de la Subdirección de Desarrollo de Tecnologías de la Información</w:t>
      </w:r>
      <w:r>
        <w:rPr>
          <w:rFonts w:ascii="Arial" w:cs="Arial" w:hAnsi="Arial"/>
          <w:color w:val="000000"/>
          <w:sz w:val="24"/>
          <w:szCs w:val="24"/>
          <w:rtl w:val="off"/>
          <w:lang w:val="en-US"/>
        </w:rPr>
        <w:t>.</w:t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b/>
          <w:color w:val="000000"/>
          <w:sz w:val="24"/>
          <w:szCs w:val="24"/>
          <w:rtl w:val="off"/>
          <w:lang w:val="en-US"/>
        </w:rPr>
        <w:t>INSTITUTO POBLANO DE LOS PUEBLOS INDÍGENAS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Arial" w:cs="Arial" w:hAnsi="Arial"/>
          <w:color w:val="000000"/>
          <w:sz w:val="24"/>
          <w:szCs w:val="24"/>
          <w:lang w:val="en-US"/>
        </w:rPr>
      </w:pPr>
      <w:r>
        <w:rPr>
          <w:rFonts w:ascii="Arial" w:cs="Arial" w:hAnsi="Arial"/>
          <w:i/>
          <w:color w:val="000000"/>
          <w:sz w:val="24"/>
          <w:szCs w:val="24"/>
          <w:rtl w:val="off"/>
          <w:lang w:val="en-US"/>
        </w:rPr>
        <w:t>Estado Libre y Soberano de Puebla</w:t>
      </w:r>
    </w:p>
    <w:p w14:paraId="0000004A">
      <w:pPr>
        <w:spacing w:line="360"/>
        <w:jc w:val="both"/>
        <w:rPr>
          <w:rFonts w:ascii="Arial" w:cs="Arial" w:hAnsi="Arial"/>
          <w:sz w:val="24"/>
          <w:szCs w:val="24"/>
        </w:rPr>
      </w:pP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1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2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3."/>
        <w:rPr/>
      </w:lvl>
    </w:lvlOverride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s-MX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Jose Aguilar Peña</dc:creator>
  <cp:lastModifiedBy>Maria Jose Aguilar Peña</cp:lastModifiedBy>
</cp:coreProperties>
</file>