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27110" w14:textId="77777777" w:rsidR="00AE1B14" w:rsidRPr="00AE1B14" w:rsidRDefault="00AE1B14" w:rsidP="00AE1B14">
      <w:pPr>
        <w:spacing w:after="0" w:line="0" w:lineRule="atLeast"/>
        <w:jc w:val="both"/>
        <w:rPr>
          <w:rFonts w:ascii="Gilroy" w:hAnsi="Gilroy"/>
        </w:rPr>
      </w:pPr>
    </w:p>
    <w:p w14:paraId="25584E87" w14:textId="77777777" w:rsidR="00AE1B14" w:rsidRPr="00AE1B14" w:rsidRDefault="00AE1B14" w:rsidP="00AE1B14">
      <w:pPr>
        <w:spacing w:after="0" w:line="0" w:lineRule="atLeast"/>
        <w:jc w:val="both"/>
        <w:rPr>
          <w:rFonts w:ascii="Gilroy" w:hAnsi="Gilroy"/>
        </w:rPr>
      </w:pPr>
      <w:r w:rsidRPr="00AE1B14">
        <w:rPr>
          <w:rFonts w:ascii="Gilroy" w:hAnsi="Gilroy"/>
        </w:rPr>
        <w:t xml:space="preserve"> </w:t>
      </w:r>
      <w:r w:rsidRPr="00AE1B14">
        <w:rPr>
          <w:rFonts w:ascii="Gilroy" w:hAnsi="Gilroy"/>
          <w:b/>
          <w:bCs/>
        </w:rPr>
        <w:t xml:space="preserve">NODO DE INNOVACIÓN TECNOLÓGICA COMUNITARIA (NITC) </w:t>
      </w:r>
    </w:p>
    <w:p w14:paraId="47C9511B" w14:textId="77777777" w:rsidR="00AE1B14" w:rsidRDefault="00AE1B14" w:rsidP="00AE1B14">
      <w:pPr>
        <w:spacing w:after="0" w:line="0" w:lineRule="atLeast"/>
        <w:jc w:val="both"/>
        <w:rPr>
          <w:rFonts w:ascii="Gilroy" w:hAnsi="Gilroy"/>
          <w:b/>
          <w:bCs/>
        </w:rPr>
      </w:pPr>
      <w:r w:rsidRPr="00AE1B14">
        <w:rPr>
          <w:rFonts w:ascii="Gilroy" w:hAnsi="Gilroy"/>
          <w:b/>
          <w:bCs/>
        </w:rPr>
        <w:t xml:space="preserve">Espacio de Integración y Articulación Estratégica para el Desarrollo Pluricultural de los Pueblos Originarios </w:t>
      </w:r>
    </w:p>
    <w:p w14:paraId="3840219F" w14:textId="77777777" w:rsidR="00AE1B14" w:rsidRPr="00AE1B14" w:rsidRDefault="00AE1B14" w:rsidP="00AE1B14">
      <w:pPr>
        <w:spacing w:after="0" w:line="0" w:lineRule="atLeast"/>
        <w:jc w:val="both"/>
        <w:rPr>
          <w:rFonts w:ascii="Gilroy" w:hAnsi="Gilroy"/>
        </w:rPr>
      </w:pPr>
    </w:p>
    <w:p w14:paraId="09E7529D" w14:textId="0A590916" w:rsidR="00AE1B14" w:rsidRDefault="00AE1B14" w:rsidP="00AE1B14">
      <w:pPr>
        <w:spacing w:after="0" w:line="0" w:lineRule="atLeast"/>
        <w:jc w:val="both"/>
        <w:rPr>
          <w:rFonts w:ascii="Gilroy" w:hAnsi="Gilroy"/>
          <w:b/>
          <w:bCs/>
        </w:rPr>
      </w:pPr>
      <w:r w:rsidRPr="00AE1B14">
        <w:rPr>
          <w:rFonts w:ascii="Gilroy" w:hAnsi="Gilroy"/>
          <w:b/>
          <w:bCs/>
        </w:rPr>
        <w:t xml:space="preserve">Instituto Poblano de los Pueblos Indígenas (IPPI) </w:t>
      </w:r>
    </w:p>
    <w:p w14:paraId="2604E9B0" w14:textId="77777777" w:rsidR="00AE1B14" w:rsidRPr="00AE1B14" w:rsidRDefault="00AE1B14" w:rsidP="00AE1B14">
      <w:pPr>
        <w:spacing w:after="0" w:line="0" w:lineRule="atLeast"/>
        <w:jc w:val="both"/>
        <w:rPr>
          <w:rFonts w:ascii="Gilroy" w:hAnsi="Gilroy"/>
          <w:b/>
          <w:bCs/>
        </w:rPr>
      </w:pPr>
    </w:p>
    <w:p w14:paraId="61920A0F" w14:textId="104D0522" w:rsidR="00AE1B14" w:rsidRDefault="00AE1B14" w:rsidP="00AE1B14">
      <w:pPr>
        <w:spacing w:after="0" w:line="0" w:lineRule="atLeast"/>
        <w:jc w:val="both"/>
        <w:rPr>
          <w:rFonts w:ascii="Gilroy" w:hAnsi="Gilroy"/>
          <w:b/>
          <w:bCs/>
        </w:rPr>
      </w:pPr>
      <w:r w:rsidRPr="00AE1B14">
        <w:rPr>
          <w:rFonts w:ascii="Gilroy" w:hAnsi="Gilroy"/>
          <w:b/>
          <w:bCs/>
        </w:rPr>
        <w:t xml:space="preserve">MARCO FILOSÓFICO, ANTECEDENTES Y VISIÓN ESTRATÉGICA </w:t>
      </w:r>
    </w:p>
    <w:p w14:paraId="5A571C43" w14:textId="77777777" w:rsidR="00AE1B14" w:rsidRPr="00AE1B14" w:rsidRDefault="00AE1B14" w:rsidP="00AE1B14">
      <w:pPr>
        <w:spacing w:after="0" w:line="0" w:lineRule="atLeast"/>
        <w:jc w:val="both"/>
        <w:rPr>
          <w:rFonts w:ascii="Gilroy" w:hAnsi="Gilroy"/>
        </w:rPr>
      </w:pPr>
      <w:r w:rsidRPr="00AE1B14">
        <w:rPr>
          <w:rFonts w:ascii="Gilroy" w:hAnsi="Gilroy"/>
          <w:b/>
          <w:bCs/>
        </w:rPr>
        <w:t xml:space="preserve">1.1 Introducción y Diagnóstico del Entorno Tecnológico y Comunitario </w:t>
      </w:r>
    </w:p>
    <w:p w14:paraId="5AE41845" w14:textId="77777777" w:rsidR="00AE1B14" w:rsidRPr="00AE1B14" w:rsidRDefault="00AE1B14" w:rsidP="00AE1B14">
      <w:pPr>
        <w:spacing w:after="0" w:line="0" w:lineRule="atLeast"/>
        <w:jc w:val="both"/>
        <w:rPr>
          <w:rFonts w:ascii="Gilroy" w:hAnsi="Gilroy"/>
        </w:rPr>
      </w:pPr>
      <w:r w:rsidRPr="00AE1B14">
        <w:rPr>
          <w:rFonts w:ascii="Gilroy" w:hAnsi="Gilroy"/>
        </w:rPr>
        <w:t xml:space="preserve">El Estado de Puebla se consolida como la cuarta entidad federativa con mayor población indígena en la República Mexicana, albergando a más de 1,043,116 personas pertenecientes a pueblos originarios y afromexicanos. Sin embargo, históricamente estas comunidades han enfrentado una dimensión profunda de desigualdad estructural: la exclusión digital territorial, la marginación por dependencia técnica y la vulneración de sus entornos a raíz de la acumulación de residuos electrónicos. </w:t>
      </w:r>
    </w:p>
    <w:p w14:paraId="7B83F86A" w14:textId="77777777" w:rsidR="00AE1B14" w:rsidRPr="00AE1B14" w:rsidRDefault="00AE1B14" w:rsidP="00AE1B14">
      <w:pPr>
        <w:spacing w:after="0" w:line="0" w:lineRule="atLeast"/>
        <w:jc w:val="both"/>
        <w:rPr>
          <w:rFonts w:ascii="Gilroy" w:hAnsi="Gilroy"/>
        </w:rPr>
      </w:pPr>
      <w:r w:rsidRPr="00AE1B14">
        <w:rPr>
          <w:rFonts w:ascii="Gilroy" w:hAnsi="Gilroy"/>
        </w:rPr>
        <w:t xml:space="preserve">Frente a este escenario que lacera el tejido social y ecológico, el principio rector de nuestra intervención institucional es el </w:t>
      </w:r>
      <w:proofErr w:type="spellStart"/>
      <w:r w:rsidRPr="00AE1B14">
        <w:rPr>
          <w:rFonts w:ascii="Gilroy" w:hAnsi="Gilroy"/>
          <w:i/>
          <w:iCs/>
        </w:rPr>
        <w:t>Yeknemilis</w:t>
      </w:r>
      <w:proofErr w:type="spellEnd"/>
      <w:r w:rsidRPr="00AE1B14">
        <w:rPr>
          <w:rFonts w:ascii="Gilroy" w:hAnsi="Gilroy"/>
          <w:i/>
          <w:iCs/>
        </w:rPr>
        <w:t xml:space="preserve"> </w:t>
      </w:r>
      <w:r w:rsidRPr="00AE1B14">
        <w:rPr>
          <w:rFonts w:ascii="Gilroy" w:hAnsi="Gilroy"/>
        </w:rPr>
        <w:t xml:space="preserve">(El Buen Vivir en la Era de la Gobernanza Tecnológica Pluricultural). Este concepto no representa una visión meramente contemplativa, sino la guía fundamental para restaurar la armonía comunitaria, asegurando que el conocimiento, la innovación y el dominio de la tecnología sirvan, respeten y fortalezcan la vida en los territorios. </w:t>
      </w:r>
    </w:p>
    <w:p w14:paraId="10DDE330" w14:textId="77777777" w:rsidR="00AE1B14" w:rsidRDefault="00AE1B14" w:rsidP="00AE1B14">
      <w:pPr>
        <w:spacing w:after="0" w:line="0" w:lineRule="atLeast"/>
        <w:jc w:val="both"/>
        <w:rPr>
          <w:rFonts w:ascii="Gilroy" w:hAnsi="Gilroy"/>
        </w:rPr>
      </w:pPr>
      <w:r w:rsidRPr="00AE1B14">
        <w:rPr>
          <w:rFonts w:ascii="Gilroy" w:hAnsi="Gilroy"/>
        </w:rPr>
        <w:t xml:space="preserve">Para superar la inercia de las políticas públicas aisladas, el Instituto Poblano de los Pueblos Indígenas (IPPI) ha impulsado diversos proyectos estratégicos enfocados en la conectividad, la alfabetización, la recuperación material y la soberanía de los datos. No obstante, la efectividad institucional exige dejar atrás la dispersión de esfuerzos. Es por ello que surge el </w:t>
      </w:r>
      <w:r w:rsidRPr="00AE1B14">
        <w:rPr>
          <w:rFonts w:ascii="Gilroy" w:hAnsi="Gilroy"/>
          <w:b/>
          <w:bCs/>
        </w:rPr>
        <w:t>Nodo de Innovación Tecnológica Comunitaria (NITC)</w:t>
      </w:r>
      <w:r w:rsidRPr="00AE1B14">
        <w:rPr>
          <w:rFonts w:ascii="Gilroy" w:hAnsi="Gilroy"/>
        </w:rPr>
        <w:t xml:space="preserve">: concebido no como una plataforma digital, sino como un </w:t>
      </w:r>
      <w:r w:rsidRPr="00AE1B14">
        <w:rPr>
          <w:rFonts w:ascii="Gilroy" w:hAnsi="Gilroy"/>
          <w:b/>
          <w:bCs/>
        </w:rPr>
        <w:t xml:space="preserve">espacio físico y área de </w:t>
      </w:r>
      <w:proofErr w:type="spellStart"/>
      <w:r w:rsidRPr="00AE1B14">
        <w:rPr>
          <w:rFonts w:ascii="Gilroy" w:hAnsi="Gilroy"/>
          <w:b/>
          <w:bCs/>
        </w:rPr>
        <w:t>co-gestión</w:t>
      </w:r>
      <w:proofErr w:type="spellEnd"/>
      <w:r w:rsidRPr="00AE1B14">
        <w:rPr>
          <w:rFonts w:ascii="Gilroy" w:hAnsi="Gilroy"/>
          <w:b/>
          <w:bCs/>
        </w:rPr>
        <w:t xml:space="preserve"> comunitaria </w:t>
      </w:r>
      <w:r w:rsidRPr="00AE1B14">
        <w:rPr>
          <w:rFonts w:ascii="Gilroy" w:hAnsi="Gilroy"/>
        </w:rPr>
        <w:t xml:space="preserve">diseñado para albergar, articular y potenciar de manera sinérgica el contenido, las herramientas y los beneficios de los proyectos previamente creados por el propio instituto, convirtiéndolos en un ecosistema unificado al servicio directo de los 76 municipios con presencia indígena y afromexicana en el estado. </w:t>
      </w:r>
    </w:p>
    <w:p w14:paraId="191428BF" w14:textId="77777777" w:rsidR="00AE1B14" w:rsidRPr="00AE1B14" w:rsidRDefault="00AE1B14" w:rsidP="00AE1B14">
      <w:pPr>
        <w:spacing w:after="0" w:line="0" w:lineRule="atLeast"/>
        <w:jc w:val="both"/>
        <w:rPr>
          <w:rFonts w:ascii="Gilroy" w:hAnsi="Gilroy"/>
        </w:rPr>
      </w:pPr>
    </w:p>
    <w:p w14:paraId="2B615279" w14:textId="77777777" w:rsidR="00AE1B14" w:rsidRPr="00AE1B14" w:rsidRDefault="00AE1B14" w:rsidP="00AE1B14">
      <w:pPr>
        <w:spacing w:after="0" w:line="0" w:lineRule="atLeast"/>
        <w:jc w:val="both"/>
        <w:rPr>
          <w:rFonts w:ascii="Gilroy" w:hAnsi="Gilroy"/>
        </w:rPr>
      </w:pPr>
      <w:r w:rsidRPr="00AE1B14">
        <w:rPr>
          <w:rFonts w:ascii="Gilroy" w:hAnsi="Gilroy"/>
          <w:b/>
          <w:bCs/>
        </w:rPr>
        <w:t xml:space="preserve">1.2 Fundamento Jurídico e Identidades Originarias </w:t>
      </w:r>
    </w:p>
    <w:p w14:paraId="4FA5C1F9" w14:textId="77777777" w:rsidR="00AE1B14" w:rsidRPr="00AE1B14" w:rsidRDefault="00AE1B14" w:rsidP="00AE1B14">
      <w:pPr>
        <w:spacing w:after="0" w:line="0" w:lineRule="atLeast"/>
        <w:jc w:val="both"/>
        <w:rPr>
          <w:rFonts w:ascii="Gilroy" w:hAnsi="Gilroy"/>
        </w:rPr>
      </w:pPr>
      <w:r w:rsidRPr="00AE1B14">
        <w:rPr>
          <w:rFonts w:ascii="Gilroy" w:hAnsi="Gilroy"/>
        </w:rPr>
        <w:t xml:space="preserve">El NITC se sustenta firmemente en el marco de los derechos humanos colectivos y el bloque de constitucionalidad vigente: </w:t>
      </w:r>
    </w:p>
    <w:p w14:paraId="250F5B61" w14:textId="77777777" w:rsidR="00AE1B14" w:rsidRPr="00AE1B14" w:rsidRDefault="00AE1B14">
      <w:pPr>
        <w:numPr>
          <w:ilvl w:val="0"/>
          <w:numId w:val="1"/>
        </w:numPr>
        <w:spacing w:after="0" w:line="0" w:lineRule="atLeast"/>
        <w:jc w:val="both"/>
        <w:rPr>
          <w:rFonts w:ascii="Gilroy" w:hAnsi="Gilroy"/>
        </w:rPr>
      </w:pPr>
      <w:r w:rsidRPr="00AE1B14">
        <w:rPr>
          <w:rFonts w:ascii="Gilroy" w:hAnsi="Gilroy"/>
          <w:b/>
          <w:bCs/>
        </w:rPr>
        <w:t xml:space="preserve">Constitución Política de los Estados Unidos Mexicanos (Artículo 2°): </w:t>
      </w:r>
      <w:r w:rsidRPr="00AE1B14">
        <w:rPr>
          <w:rFonts w:ascii="Gilroy" w:hAnsi="Gilroy"/>
        </w:rPr>
        <w:t xml:space="preserve">Establece la composición pluricultural de la nación y la obligación del Estado de garantizar el acceso de los pueblos a las comunicaciones, la información y el conocimiento. </w:t>
      </w:r>
    </w:p>
    <w:p w14:paraId="59315D9F" w14:textId="77777777" w:rsidR="00AE1B14" w:rsidRPr="00AE1B14" w:rsidRDefault="00AE1B14">
      <w:pPr>
        <w:numPr>
          <w:ilvl w:val="0"/>
          <w:numId w:val="1"/>
        </w:numPr>
        <w:spacing w:after="0" w:line="0" w:lineRule="atLeast"/>
        <w:jc w:val="both"/>
        <w:rPr>
          <w:rFonts w:ascii="Gilroy" w:hAnsi="Gilroy"/>
        </w:rPr>
      </w:pPr>
      <w:r w:rsidRPr="00AE1B14">
        <w:rPr>
          <w:rFonts w:ascii="Gilroy" w:hAnsi="Gilroy"/>
          <w:b/>
          <w:bCs/>
        </w:rPr>
        <w:t xml:space="preserve">Constitución Política del Estado Libre y Soberano de Puebla (Artículo 13): </w:t>
      </w:r>
      <w:r w:rsidRPr="00AE1B14">
        <w:rPr>
          <w:rFonts w:ascii="Gilroy" w:hAnsi="Gilroy"/>
        </w:rPr>
        <w:t xml:space="preserve">Reconoce de manera histórica a las comunidades originarias y afromexicanas como Sujetos de Derecho Público, dotándolas de personalidad jurídica, patrimonio propio y capacidad plena de </w:t>
      </w:r>
      <w:proofErr w:type="spellStart"/>
      <w:r w:rsidRPr="00AE1B14">
        <w:rPr>
          <w:rFonts w:ascii="Gilroy" w:hAnsi="Gilroy"/>
        </w:rPr>
        <w:t>co-gestión</w:t>
      </w:r>
      <w:proofErr w:type="spellEnd"/>
      <w:r w:rsidRPr="00AE1B14">
        <w:rPr>
          <w:rFonts w:ascii="Gilroy" w:hAnsi="Gilroy"/>
        </w:rPr>
        <w:t xml:space="preserve"> sobre su desarrollo. </w:t>
      </w:r>
    </w:p>
    <w:p w14:paraId="55E17E3E" w14:textId="77777777" w:rsidR="00AE1B14" w:rsidRPr="00AE1B14" w:rsidRDefault="00AE1B14">
      <w:pPr>
        <w:numPr>
          <w:ilvl w:val="0"/>
          <w:numId w:val="1"/>
        </w:numPr>
        <w:spacing w:after="0" w:line="0" w:lineRule="atLeast"/>
        <w:jc w:val="both"/>
        <w:rPr>
          <w:rFonts w:ascii="Gilroy" w:hAnsi="Gilroy"/>
        </w:rPr>
      </w:pPr>
      <w:r w:rsidRPr="00AE1B14">
        <w:rPr>
          <w:rFonts w:ascii="Gilroy" w:hAnsi="Gilroy"/>
          <w:b/>
          <w:bCs/>
        </w:rPr>
        <w:t xml:space="preserve">Convenio 169 de la OIT: </w:t>
      </w:r>
      <w:r w:rsidRPr="00AE1B14">
        <w:rPr>
          <w:rFonts w:ascii="Gilroy" w:hAnsi="Gilroy"/>
        </w:rPr>
        <w:t xml:space="preserve">Garantiza el derecho fundamental a la consulta previa, libre e informada, así como la definición autónoma de sus prioridades de desarrollo. </w:t>
      </w:r>
    </w:p>
    <w:p w14:paraId="46B4F66D" w14:textId="77777777" w:rsidR="00AE1B14" w:rsidRPr="00AE1B14" w:rsidRDefault="00AE1B14" w:rsidP="00AE1B14">
      <w:pPr>
        <w:spacing w:after="0" w:line="0" w:lineRule="atLeast"/>
        <w:jc w:val="both"/>
        <w:rPr>
          <w:rFonts w:ascii="Gilroy" w:hAnsi="Gilroy"/>
        </w:rPr>
      </w:pPr>
    </w:p>
    <w:p w14:paraId="275E8EA3" w14:textId="77777777" w:rsidR="00AE1B14" w:rsidRPr="00AE1B14" w:rsidRDefault="00AE1B14" w:rsidP="00AE1B14">
      <w:pPr>
        <w:spacing w:after="0" w:line="0" w:lineRule="atLeast"/>
        <w:jc w:val="both"/>
        <w:rPr>
          <w:rFonts w:ascii="Gilroy" w:hAnsi="Gilroy"/>
        </w:rPr>
      </w:pPr>
      <w:r w:rsidRPr="00AE1B14">
        <w:rPr>
          <w:rFonts w:ascii="Gilroy" w:hAnsi="Gilroy"/>
        </w:rPr>
        <w:t xml:space="preserve">Bajo esta óptica, el NITC respeta, visibiliza y potencia la estructura organizativa de las 7 identidades originarias que enriquecen al estado de Puebla: Nahua, Totonaco, Mixteco, Tepehua, Otomí, </w:t>
      </w:r>
      <w:proofErr w:type="spellStart"/>
      <w:r w:rsidRPr="00AE1B14">
        <w:rPr>
          <w:rFonts w:ascii="Gilroy" w:hAnsi="Gilroy"/>
        </w:rPr>
        <w:t>Popoloca</w:t>
      </w:r>
      <w:proofErr w:type="spellEnd"/>
      <w:r w:rsidRPr="00AE1B14">
        <w:rPr>
          <w:rFonts w:ascii="Gilroy" w:hAnsi="Gilroy"/>
        </w:rPr>
        <w:t xml:space="preserve"> / </w:t>
      </w:r>
      <w:proofErr w:type="spellStart"/>
      <w:r w:rsidRPr="00AE1B14">
        <w:rPr>
          <w:rFonts w:ascii="Gilroy" w:hAnsi="Gilroy"/>
        </w:rPr>
        <w:t>Ngiwa</w:t>
      </w:r>
      <w:proofErr w:type="spellEnd"/>
      <w:r w:rsidRPr="00AE1B14">
        <w:rPr>
          <w:rFonts w:ascii="Gilroy" w:hAnsi="Gilroy"/>
        </w:rPr>
        <w:t xml:space="preserve"> y Mazateco. Tel. 222 279 9605 </w:t>
      </w:r>
    </w:p>
    <w:p w14:paraId="7192D14A" w14:textId="77777777" w:rsidR="00AE1B14" w:rsidRPr="00AE1B14" w:rsidRDefault="00AE1B14" w:rsidP="00AE1B14">
      <w:pPr>
        <w:spacing w:after="0" w:line="0" w:lineRule="atLeast"/>
        <w:jc w:val="both"/>
        <w:rPr>
          <w:rFonts w:ascii="Gilroy" w:hAnsi="Gilroy"/>
        </w:rPr>
      </w:pPr>
    </w:p>
    <w:p w14:paraId="08E87D3B" w14:textId="77777777" w:rsidR="00AE1B14" w:rsidRDefault="00AE1B14" w:rsidP="00AE1B14">
      <w:pPr>
        <w:spacing w:after="0" w:line="0" w:lineRule="atLeast"/>
        <w:jc w:val="both"/>
        <w:rPr>
          <w:rFonts w:ascii="Gilroy" w:hAnsi="Gilroy"/>
          <w:b/>
          <w:bCs/>
        </w:rPr>
      </w:pPr>
    </w:p>
    <w:p w14:paraId="0D152381" w14:textId="77777777" w:rsidR="00AE1B14" w:rsidRDefault="00AE1B14" w:rsidP="00AE1B14">
      <w:pPr>
        <w:spacing w:after="0" w:line="0" w:lineRule="atLeast"/>
        <w:jc w:val="both"/>
        <w:rPr>
          <w:rFonts w:ascii="Gilroy" w:hAnsi="Gilroy"/>
          <w:b/>
          <w:bCs/>
        </w:rPr>
      </w:pPr>
    </w:p>
    <w:p w14:paraId="2873E810" w14:textId="2513F7E0" w:rsidR="00AE1B14" w:rsidRPr="00AE1B14" w:rsidRDefault="00AE1B14" w:rsidP="00AE1B14">
      <w:pPr>
        <w:spacing w:after="0" w:line="0" w:lineRule="atLeast"/>
        <w:jc w:val="both"/>
        <w:rPr>
          <w:rFonts w:ascii="Gilroy" w:hAnsi="Gilroy"/>
        </w:rPr>
      </w:pPr>
      <w:r w:rsidRPr="00AE1B14">
        <w:rPr>
          <w:rFonts w:ascii="Gilroy" w:hAnsi="Gilroy"/>
          <w:b/>
          <w:bCs/>
        </w:rPr>
        <w:t xml:space="preserve">II. ARQUITECTURA E INTEGRACIÓN DE PROYECTOS DEL IPPI EN EL NITC </w:t>
      </w:r>
    </w:p>
    <w:p w14:paraId="019A821C" w14:textId="77777777" w:rsidR="00AE1B14" w:rsidRPr="00AE1B14" w:rsidRDefault="00AE1B14" w:rsidP="00AE1B14">
      <w:pPr>
        <w:spacing w:after="0" w:line="0" w:lineRule="atLeast"/>
        <w:jc w:val="both"/>
        <w:rPr>
          <w:rFonts w:ascii="Gilroy" w:hAnsi="Gilroy"/>
        </w:rPr>
      </w:pPr>
      <w:r w:rsidRPr="00AE1B14">
        <w:rPr>
          <w:rFonts w:ascii="Gilroy" w:hAnsi="Gilroy"/>
        </w:rPr>
        <w:t xml:space="preserve">Para garantizar su funcionamiento integral y sistémico, el Nodo de Innovación Tecnológica Comunitaria (NITC) internaliza, vincula y coordina ocho grandes proyectos institucionales previamente desarrollados por el IPPI dentro de su infraestructura física. Cada uno aporta un componente especializado: </w:t>
      </w:r>
    </w:p>
    <w:p w14:paraId="06739118"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2.1 Componente 1: Laboratorios </w:t>
      </w:r>
      <w:proofErr w:type="spellStart"/>
      <w:r w:rsidRPr="00AE1B14">
        <w:rPr>
          <w:rFonts w:ascii="Gilroy" w:hAnsi="Gilroy"/>
          <w:b/>
          <w:bCs/>
        </w:rPr>
        <w:t>Tekitl</w:t>
      </w:r>
      <w:proofErr w:type="spellEnd"/>
      <w:r w:rsidRPr="00AE1B14">
        <w:rPr>
          <w:rFonts w:ascii="Gilroy" w:hAnsi="Gilroy"/>
          <w:b/>
          <w:bCs/>
        </w:rPr>
        <w:t xml:space="preserve"> (</w:t>
      </w:r>
      <w:proofErr w:type="spellStart"/>
      <w:r w:rsidRPr="00AE1B14">
        <w:rPr>
          <w:rFonts w:ascii="Gilroy" w:hAnsi="Gilroy"/>
          <w:b/>
          <w:bCs/>
        </w:rPr>
        <w:t>Tekitl-Lab</w:t>
      </w:r>
      <w:proofErr w:type="spellEnd"/>
      <w:r w:rsidRPr="00AE1B14">
        <w:rPr>
          <w:rFonts w:ascii="Gilroy" w:hAnsi="Gilroy"/>
          <w:b/>
          <w:bCs/>
        </w:rPr>
        <w:t xml:space="preserve">) </w:t>
      </w:r>
      <w:r w:rsidRPr="00AE1B14">
        <w:rPr>
          <w:rFonts w:ascii="Gilroy" w:hAnsi="Gilroy"/>
        </w:rPr>
        <w:t xml:space="preserve">Programa dinámico de capacitación técnica enfocado en la comprensión estructural y el reciclaje del hardware. Transforma la chatarra electrónica (de la cual municipios como Cuetzalan y Zacapoaxtla generan volúmenes críticos superiores a 90 toneladas anuales por localidad) en insumos estratégicos para la autonomía. </w:t>
      </w:r>
    </w:p>
    <w:p w14:paraId="46C2365C" w14:textId="541D6333"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Dota al espacio físico del nodo de la capacidad práctica para la fabricación </w:t>
      </w:r>
      <w:proofErr w:type="spellStart"/>
      <w:r w:rsidRPr="00AE1B14">
        <w:rPr>
          <w:rFonts w:ascii="Gilroy" w:hAnsi="Gilroy"/>
        </w:rPr>
        <w:t>autogestiva</w:t>
      </w:r>
      <w:proofErr w:type="spellEnd"/>
      <w:r w:rsidRPr="00AE1B14">
        <w:rPr>
          <w:rFonts w:ascii="Gilroy" w:hAnsi="Gilroy"/>
        </w:rPr>
        <w:t xml:space="preserve"> de herramientas y dispositivos sencillos (parrillas térmicas, cargadores portátiles, lámparas USB, mini taladros, bombas de agua, bocinas y sistemas de automatización) bajo los estándares de certificación del CONOCER y la filosofía del trabajo colaborativo. </w:t>
      </w:r>
    </w:p>
    <w:p w14:paraId="4A00EDC4" w14:textId="77777777" w:rsidR="00AE1B14" w:rsidRPr="00AE1B14" w:rsidRDefault="00AE1B14" w:rsidP="00AE1B14">
      <w:pPr>
        <w:pStyle w:val="Prrafodelista"/>
        <w:spacing w:after="0" w:line="0" w:lineRule="atLeast"/>
        <w:jc w:val="both"/>
        <w:rPr>
          <w:rFonts w:ascii="Gilroy" w:hAnsi="Gilroy"/>
        </w:rPr>
      </w:pPr>
    </w:p>
    <w:p w14:paraId="62493B52"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2.2 Componente 2: Plataforma de Autonomía Digital (PADI) </w:t>
      </w:r>
      <w:r w:rsidRPr="00AE1B14">
        <w:rPr>
          <w:rFonts w:ascii="Gilroy" w:hAnsi="Gilroy"/>
        </w:rPr>
        <w:t xml:space="preserve">Ecosistema unificado de datos abiertos, gobernanza horizontal y servicios bilingües que evoluciona el histórico Sistema de Información y Estadística sobre los Pueblos y Comunidades Indígenas (SIEPI). </w:t>
      </w:r>
    </w:p>
    <w:p w14:paraId="5F044E4D" w14:textId="50740F29" w:rsidR="00AE1B14" w:rsidRDefault="00AE1B14" w:rsidP="00AE1B14">
      <w:pPr>
        <w:pStyle w:val="Prrafodelista"/>
        <w:spacing w:after="0" w:line="0" w:lineRule="atLeast"/>
        <w:jc w:val="both"/>
        <w:rPr>
          <w:rFonts w:ascii="Gilroy" w:hAnsi="Gilroy"/>
        </w:rPr>
      </w:pPr>
      <w:r w:rsidRPr="00AE1B14">
        <w:rPr>
          <w:rFonts w:ascii="Gilroy" w:hAnsi="Gilroy"/>
          <w:b/>
          <w:bCs/>
        </w:rPr>
        <w:t>Aportación al NITC</w:t>
      </w:r>
      <w:r w:rsidRPr="00AE1B14">
        <w:rPr>
          <w:rFonts w:ascii="Gilroy" w:hAnsi="Gilroy"/>
          <w:i/>
          <w:iCs/>
        </w:rPr>
        <w:t xml:space="preserve">: </w:t>
      </w:r>
      <w:r w:rsidRPr="00AE1B14">
        <w:rPr>
          <w:rFonts w:ascii="Gilroy" w:hAnsi="Gilroy"/>
        </w:rPr>
        <w:t xml:space="preserve">Constituye la herramienta informática de gestión y consulta centralizada operada desde el espacio físico. A través de un diseño de bajo consumo de datos (optimizado para zonas de baja conectividad residencial como </w:t>
      </w:r>
      <w:proofErr w:type="spellStart"/>
      <w:r w:rsidRPr="00AE1B14">
        <w:rPr>
          <w:rFonts w:ascii="Gilroy" w:hAnsi="Gilroy"/>
        </w:rPr>
        <w:t>Camocuautla</w:t>
      </w:r>
      <w:proofErr w:type="spellEnd"/>
      <w:r w:rsidRPr="00AE1B14">
        <w:rPr>
          <w:rFonts w:ascii="Gilroy" w:hAnsi="Gilroy"/>
        </w:rPr>
        <w:t xml:space="preserve"> o </w:t>
      </w:r>
      <w:proofErr w:type="spellStart"/>
      <w:r w:rsidRPr="00AE1B14">
        <w:rPr>
          <w:rFonts w:ascii="Gilroy" w:hAnsi="Gilroy"/>
        </w:rPr>
        <w:t>Atlequizayan</w:t>
      </w:r>
      <w:proofErr w:type="spellEnd"/>
      <w:r w:rsidRPr="00AE1B14">
        <w:rPr>
          <w:rFonts w:ascii="Gilroy" w:hAnsi="Gilroy"/>
        </w:rPr>
        <w:t>), articula los Ejes Temáticos de Gobernanza, Acción Social, y Cultura y Recursos, integrando cartografía abierta basada en</w:t>
      </w:r>
      <w:r w:rsidR="006A21D9">
        <w:rPr>
          <w:rFonts w:ascii="Gilroy" w:hAnsi="Gilroy"/>
        </w:rPr>
        <w:t xml:space="preserve"> material impreso </w:t>
      </w:r>
      <w:r w:rsidR="006A21D9" w:rsidRPr="00AE1B14">
        <w:rPr>
          <w:rFonts w:ascii="Gilroy" w:hAnsi="Gilroy"/>
        </w:rPr>
        <w:t>y</w:t>
      </w:r>
      <w:r w:rsidRPr="00AE1B14">
        <w:rPr>
          <w:rFonts w:ascii="Gilroy" w:hAnsi="Gilroy"/>
        </w:rPr>
        <w:t xml:space="preserve"> un modelo de código abierto bajo estricta custodia pública del Estado. </w:t>
      </w:r>
    </w:p>
    <w:p w14:paraId="73FC28D1" w14:textId="77777777" w:rsidR="00AE1B14" w:rsidRPr="00AE1B14" w:rsidRDefault="00AE1B14" w:rsidP="00AE1B14">
      <w:pPr>
        <w:pStyle w:val="Prrafodelista"/>
        <w:spacing w:after="0" w:line="0" w:lineRule="atLeast"/>
        <w:jc w:val="both"/>
        <w:rPr>
          <w:rFonts w:ascii="Gilroy" w:hAnsi="Gilroy"/>
        </w:rPr>
      </w:pPr>
    </w:p>
    <w:p w14:paraId="64C35845" w14:textId="0F7668F8"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2.3 Componente 3: Proyecto de Intercambio Digital (Plataforma de Interoperabilidad) </w:t>
      </w:r>
      <w:r w:rsidRPr="00AE1B14">
        <w:rPr>
          <w:rFonts w:ascii="Gilroy" w:hAnsi="Gilroy"/>
        </w:rPr>
        <w:t xml:space="preserve">Acción de Estado diseñada para erradicar la desarticulación gubernamental, conectando de forma transversal la información de las dependencias estatales. </w:t>
      </w:r>
    </w:p>
    <w:p w14:paraId="42BFB44B" w14:textId="7E1D06EC"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Funciona como </w:t>
      </w:r>
      <w:r w:rsidR="008F10DB" w:rsidRPr="008F10DB">
        <w:t>infraestructura de</w:t>
      </w:r>
      <w:r w:rsidR="008F10DB" w:rsidRPr="008F10DB">
        <w:t xml:space="preserve"> </w:t>
      </w:r>
      <w:r w:rsidR="008F10DB" w:rsidRPr="008F10DB">
        <w:t>software o plataforma digital intermedia</w:t>
      </w:r>
      <w:r w:rsidR="008F10DB">
        <w:t xml:space="preserve"> </w:t>
      </w:r>
      <w:r w:rsidRPr="00AE1B14">
        <w:rPr>
          <w:rFonts w:ascii="Gilroy" w:hAnsi="Gilroy"/>
        </w:rPr>
        <w:t xml:space="preserve">de Interoperabilidad que une al Poder Ejecutivo (44 dependencias), Poder Judicial (Padrón de Intérpretes y Traductores), Poder Legislativo (repositorio de consultas y derechos), municipios y entidades federales, optimizando el gasto público y garantizando el acceso a trámites y programas sociales sin duplicidades desde las instalaciones del nodo. </w:t>
      </w:r>
    </w:p>
    <w:p w14:paraId="6441995A" w14:textId="77777777" w:rsidR="00AE1B14" w:rsidRPr="00AE1B14" w:rsidRDefault="00AE1B14" w:rsidP="00AE1B14">
      <w:pPr>
        <w:pStyle w:val="Prrafodelista"/>
        <w:spacing w:after="0" w:line="0" w:lineRule="atLeast"/>
        <w:jc w:val="both"/>
        <w:rPr>
          <w:rFonts w:ascii="Gilroy" w:hAnsi="Gilroy"/>
        </w:rPr>
      </w:pPr>
    </w:p>
    <w:p w14:paraId="47048F19"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2.4 Componente 4: Módulos de Apropiación Digital con Identidad </w:t>
      </w:r>
      <w:r w:rsidRPr="00AE1B14">
        <w:rPr>
          <w:rFonts w:ascii="Gilroy" w:hAnsi="Gilroy"/>
        </w:rPr>
        <w:t xml:space="preserve">Iniciativa orientada a dotar de infraestructura de producción multimedia y capacitación a las comunidades y ayuntamientos. </w:t>
      </w:r>
    </w:p>
    <w:p w14:paraId="2D1AE754" w14:textId="7B3099A6" w:rsidR="00AE1B14" w:rsidRPr="00AE1B14" w:rsidRDefault="00AE1B14" w:rsidP="00AE1B14">
      <w:pPr>
        <w:pStyle w:val="Prrafodelista"/>
        <w:spacing w:after="0" w:line="0" w:lineRule="atLeast"/>
        <w:jc w:val="both"/>
        <w:rPr>
          <w:rFonts w:ascii="Gilroy" w:hAnsi="Gilroy"/>
        </w:rPr>
      </w:pPr>
      <w:r w:rsidRPr="00AE1B14">
        <w:rPr>
          <w:rFonts w:ascii="Gilroy" w:hAnsi="Gilroy"/>
          <w:b/>
          <w:bCs/>
        </w:rPr>
        <w:t>Aportación al NITC</w:t>
      </w:r>
      <w:r w:rsidRPr="00AE1B14">
        <w:rPr>
          <w:rFonts w:ascii="Gilroy" w:hAnsi="Gilroy"/>
          <w:i/>
          <w:iCs/>
        </w:rPr>
        <w:t xml:space="preserve">: </w:t>
      </w:r>
      <w:r w:rsidRPr="00AE1B14">
        <w:rPr>
          <w:rFonts w:ascii="Gilroy" w:hAnsi="Gilroy"/>
        </w:rPr>
        <w:t>Integra los componentes de equipamiento especializado (cámaras de vídeo, pantallas verdes, consolas de audio, micrófonos, cajas de luz para fotografía de productos y software de edición) ubicados físicamente en el nodo para que las comunidades documenten su patrimonio inmaterial, impulsen el</w:t>
      </w:r>
      <w:r w:rsidR="008F10DB">
        <w:rPr>
          <w:rFonts w:ascii="Gilroy" w:hAnsi="Gilroy"/>
        </w:rPr>
        <w:t xml:space="preserve"> </w:t>
      </w:r>
      <w:r w:rsidR="008F10DB">
        <w:t>comercio electrónico</w:t>
      </w:r>
      <w:r w:rsidRPr="00AE1B14">
        <w:rPr>
          <w:rFonts w:ascii="Gilroy" w:hAnsi="Gilroy"/>
        </w:rPr>
        <w:t xml:space="preserve"> </w:t>
      </w:r>
      <w:r w:rsidR="008F10DB">
        <w:rPr>
          <w:rFonts w:ascii="Gilroy" w:hAnsi="Gilroy"/>
        </w:rPr>
        <w:t>(</w:t>
      </w:r>
      <w:r w:rsidRPr="00AE1B14">
        <w:rPr>
          <w:rFonts w:ascii="Gilroy" w:hAnsi="Gilroy"/>
        </w:rPr>
        <w:t>e-</w:t>
      </w:r>
      <w:proofErr w:type="spellStart"/>
      <w:r w:rsidRPr="00AE1B14">
        <w:rPr>
          <w:rFonts w:ascii="Gilroy" w:hAnsi="Gilroy"/>
        </w:rPr>
        <w:t>commerce</w:t>
      </w:r>
      <w:proofErr w:type="spellEnd"/>
      <w:r w:rsidR="008F10DB">
        <w:rPr>
          <w:rFonts w:ascii="Gilroy" w:hAnsi="Gilroy"/>
        </w:rPr>
        <w:t>)</w:t>
      </w:r>
      <w:r w:rsidRPr="00AE1B14">
        <w:rPr>
          <w:rFonts w:ascii="Gilroy" w:hAnsi="Gilroy"/>
        </w:rPr>
        <w:t xml:space="preserve"> de artesanías locales y generen contenidos educativos y de salud en lenguas originarias. Tel. 222 279 9605 </w:t>
      </w:r>
    </w:p>
    <w:p w14:paraId="7C293CB5" w14:textId="77777777" w:rsidR="00AE1B14" w:rsidRPr="00AE1B14" w:rsidRDefault="00AE1B14" w:rsidP="00AE1B14">
      <w:pPr>
        <w:spacing w:after="0" w:line="0" w:lineRule="atLeast"/>
        <w:jc w:val="both"/>
        <w:rPr>
          <w:rFonts w:ascii="Gilroy" w:hAnsi="Gilroy"/>
        </w:rPr>
      </w:pPr>
    </w:p>
    <w:p w14:paraId="550AD8A0" w14:textId="77777777" w:rsidR="00AE1B14" w:rsidRPr="00AE1B14" w:rsidRDefault="00AE1B14" w:rsidP="00AE1B14">
      <w:pPr>
        <w:spacing w:after="0" w:line="0" w:lineRule="atLeast"/>
        <w:jc w:val="both"/>
        <w:rPr>
          <w:rFonts w:ascii="Gilroy" w:hAnsi="Gilroy"/>
        </w:rPr>
      </w:pPr>
    </w:p>
    <w:p w14:paraId="4B17809E" w14:textId="77777777"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lastRenderedPageBreak/>
        <w:t xml:space="preserve">2.5 Componente 5: Yolotl Altépetl ("El Corazón del Territorio") - Sistema Intercultural de Alerta Temprana </w:t>
      </w:r>
    </w:p>
    <w:p w14:paraId="1A07D4F7" w14:textId="4031A1C3"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Módulo físico y operativo de gestión de riesgos e incidencias territoriales enfocado en la prevención de desastres como deslaves e incendios en la Sierra de Puebla. Funciona a través de una red de tecnología </w:t>
      </w:r>
      <w:proofErr w:type="spellStart"/>
      <w:r w:rsidRPr="00AE1B14">
        <w:rPr>
          <w:rFonts w:ascii="Gilroy" w:hAnsi="Gilroy"/>
        </w:rPr>
        <w:t>IoT</w:t>
      </w:r>
      <w:proofErr w:type="spellEnd"/>
      <w:r w:rsidRPr="00AE1B14">
        <w:rPr>
          <w:rFonts w:ascii="Gilroy" w:hAnsi="Gilroy"/>
        </w:rPr>
        <w:t xml:space="preserve"> (sensores de humedad, inclinación, humo y picos térmicos), monitoreo con drones térmicos y una aplicación móvil que opera de manera offline en zonas de difícil acceso. Este proyecto integra la participación comunitaria a través de los </w:t>
      </w:r>
      <w:proofErr w:type="spellStart"/>
      <w:r w:rsidRPr="00AE1B14">
        <w:rPr>
          <w:rFonts w:ascii="Gilroy" w:hAnsi="Gilroy"/>
          <w:i/>
          <w:iCs/>
        </w:rPr>
        <w:t>Tlayacanani</w:t>
      </w:r>
      <w:proofErr w:type="spellEnd"/>
      <w:r w:rsidRPr="00AE1B14">
        <w:rPr>
          <w:rFonts w:ascii="Gilroy" w:hAnsi="Gilroy"/>
          <w:i/>
          <w:iCs/>
        </w:rPr>
        <w:t xml:space="preserve"> </w:t>
      </w:r>
      <w:r w:rsidRPr="00AE1B14">
        <w:rPr>
          <w:rFonts w:ascii="Gilroy" w:hAnsi="Gilroy"/>
        </w:rPr>
        <w:t xml:space="preserve">(promotores tecnológicos bilingües), quienes traducen y comunican las alertas en sus lenguas originarias respetando la estructura de las asambleas locales. </w:t>
      </w:r>
    </w:p>
    <w:p w14:paraId="33F0AE78" w14:textId="77777777" w:rsidR="00AE1B14" w:rsidRPr="00AE1B14" w:rsidRDefault="00AE1B14" w:rsidP="00AE1B14">
      <w:pPr>
        <w:pStyle w:val="Prrafodelista"/>
        <w:spacing w:after="0" w:line="0" w:lineRule="atLeast"/>
        <w:jc w:val="both"/>
        <w:rPr>
          <w:rFonts w:ascii="Gilroy" w:hAnsi="Gilroy"/>
        </w:rPr>
      </w:pPr>
    </w:p>
    <w:p w14:paraId="0CCF824F" w14:textId="57C27F9F"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t>2.6 Componente 6: Fábrica de Contenidos</w:t>
      </w:r>
      <w:r>
        <w:rPr>
          <w:rFonts w:ascii="Gilroy" w:hAnsi="Gilroy"/>
          <w:b/>
          <w:bCs/>
        </w:rPr>
        <w:t>.</w:t>
      </w:r>
    </w:p>
    <w:p w14:paraId="6960BE3A" w14:textId="34BE8A61"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Espacio físico especializado dentro del nodo enfocado en la generación y creación de contenidos audiovisuales y digitales para respaldar los proyectos presentados por los habitantes de las comunidades. El Instituto Poblano de los Pueblos Indígenas proporciona las herramientas tecnológicas necesarias, así como guía y asesoría integral para que los participantes puedan estructurar formalmente sus propuestas y aprender el uso adecuado y manejo técnico del equipo requerido. </w:t>
      </w:r>
    </w:p>
    <w:p w14:paraId="7E84F351" w14:textId="77777777" w:rsidR="00AE1B14" w:rsidRDefault="00AE1B14" w:rsidP="00AE1B14">
      <w:pPr>
        <w:pStyle w:val="Prrafodelista"/>
        <w:spacing w:after="0" w:line="0" w:lineRule="atLeast"/>
        <w:jc w:val="both"/>
        <w:rPr>
          <w:rFonts w:ascii="Gilroy" w:hAnsi="Gilroy"/>
          <w:b/>
          <w:bCs/>
        </w:rPr>
      </w:pPr>
    </w:p>
    <w:p w14:paraId="48E333B1" w14:textId="4F42ECC2"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t>2.7 Componente 7: Casa de Proyectos</w:t>
      </w:r>
      <w:r>
        <w:rPr>
          <w:rFonts w:ascii="Gilroy" w:hAnsi="Gilroy"/>
          <w:b/>
          <w:bCs/>
        </w:rPr>
        <w:t>.</w:t>
      </w:r>
      <w:r w:rsidRPr="00AE1B14">
        <w:rPr>
          <w:rFonts w:ascii="Gilroy" w:hAnsi="Gilroy"/>
          <w:b/>
          <w:bCs/>
        </w:rPr>
        <w:t xml:space="preserve"> </w:t>
      </w:r>
    </w:p>
    <w:p w14:paraId="4DACD672" w14:textId="56745B66"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Área física concebida para la recepción, integración y canalización de las iniciativas surgidas desde las propias comunidades. Su objetivo es captar y dar seguimiento a propuestas orientadas al desarrollo local en diversos ámbitos, tales como la defensa y difusión de los derechos indígenas, el resguardo del patrimonio cultural y natural, el fortalecimiento de la producción agrícola, entre otros ejes prioritarios para el bienestar comunitario. </w:t>
      </w:r>
    </w:p>
    <w:p w14:paraId="6C7EA1F0" w14:textId="77777777" w:rsidR="00AE1B14" w:rsidRPr="00AE1B14" w:rsidRDefault="00AE1B14" w:rsidP="00AE1B14">
      <w:pPr>
        <w:pStyle w:val="Prrafodelista"/>
        <w:spacing w:after="0" w:line="0" w:lineRule="atLeast"/>
        <w:jc w:val="both"/>
        <w:rPr>
          <w:rFonts w:ascii="Gilroy" w:hAnsi="Gilroy"/>
        </w:rPr>
      </w:pPr>
    </w:p>
    <w:p w14:paraId="7240A91E" w14:textId="77777777"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t>2.8 Componente 8: Promotores Tecnológicos de los Pueblos Indígenas</w:t>
      </w:r>
      <w:r>
        <w:rPr>
          <w:rFonts w:ascii="Gilroy" w:hAnsi="Gilroy"/>
          <w:b/>
          <w:bCs/>
        </w:rPr>
        <w:t>.</w:t>
      </w:r>
    </w:p>
    <w:p w14:paraId="739D2111" w14:textId="60A698CC" w:rsidR="00AE1B14" w:rsidRP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Componente formativo y metodológico operado en el nodo enfocado en la creación de contenido intercultural bajo el enfoque de "La anatomía del </w:t>
      </w:r>
      <w:proofErr w:type="spellStart"/>
      <w:r w:rsidRPr="00AE1B14">
        <w:rPr>
          <w:rFonts w:ascii="Gilroy" w:hAnsi="Gilroy"/>
        </w:rPr>
        <w:t>click</w:t>
      </w:r>
      <w:proofErr w:type="spellEnd"/>
      <w:r w:rsidRPr="00AE1B14">
        <w:rPr>
          <w:rFonts w:ascii="Gilroy" w:hAnsi="Gilroy"/>
        </w:rPr>
        <w:t xml:space="preserve">". Su propósito es actuar como un puente entre la tradición y la modernidad, dotando a los participantes de herramientas digitales para garantizar que el conocimiento y los procesos de la comunidad no se pierdan y sean autosustentables. El programa abarca la capacitación práctica en el uso de equipos de grabación como cámaras, esquemas de iluminación de tres puntos y sistemas de audio especializados, el aprovechamiento de tecnologías como pantallas verdes y la estructuración de mensajes mediante ejercicios de </w:t>
      </w:r>
      <w:proofErr w:type="spellStart"/>
      <w:r w:rsidRPr="00AE1B14">
        <w:rPr>
          <w:rFonts w:ascii="Gilroy" w:hAnsi="Gilroy"/>
        </w:rPr>
        <w:t>mini-pitch</w:t>
      </w:r>
      <w:proofErr w:type="spellEnd"/>
      <w:r w:rsidRPr="00AE1B14">
        <w:rPr>
          <w:rFonts w:ascii="Gilroy" w:hAnsi="Gilroy"/>
        </w:rPr>
        <w:t xml:space="preserve"> con roles comunitarios definidos. Tel. 222 279 9605 </w:t>
      </w:r>
    </w:p>
    <w:p w14:paraId="6E0A78D1" w14:textId="77777777" w:rsidR="00AE1B14" w:rsidRPr="00AE1B14" w:rsidRDefault="00AE1B14" w:rsidP="00AE1B14">
      <w:pPr>
        <w:spacing w:after="0" w:line="0" w:lineRule="atLeast"/>
        <w:jc w:val="both"/>
        <w:rPr>
          <w:rFonts w:ascii="Gilroy" w:hAnsi="Gilroy"/>
        </w:rPr>
      </w:pPr>
    </w:p>
    <w:p w14:paraId="2E6FD197" w14:textId="77777777" w:rsidR="00E3062B" w:rsidRDefault="00E3062B">
      <w:pPr>
        <w:spacing w:after="0" w:line="0" w:lineRule="atLeast"/>
        <w:jc w:val="both"/>
        <w:rPr>
          <w:rFonts w:ascii="Gilroy" w:hAnsi="Gilroy"/>
        </w:rPr>
      </w:pPr>
    </w:p>
    <w:p w14:paraId="12C85A23" w14:textId="77777777" w:rsidR="00E3062B" w:rsidRDefault="00E3062B">
      <w:pPr>
        <w:spacing w:after="0" w:line="0" w:lineRule="atLeast"/>
        <w:jc w:val="both"/>
        <w:rPr>
          <w:rFonts w:ascii="Gilroy" w:hAnsi="Gilroy"/>
        </w:rPr>
      </w:pPr>
    </w:p>
    <w:p w14:paraId="0DE73833" w14:textId="77777777" w:rsidR="00AE1B14" w:rsidRDefault="00AE1B14">
      <w:pPr>
        <w:spacing w:after="0" w:line="0" w:lineRule="atLeast"/>
        <w:jc w:val="both"/>
        <w:rPr>
          <w:rFonts w:ascii="Gilroy" w:hAnsi="Gilroy"/>
        </w:rPr>
      </w:pPr>
    </w:p>
    <w:p w14:paraId="6091636F" w14:textId="77777777" w:rsidR="00AE1B14" w:rsidRDefault="00AE1B14">
      <w:pPr>
        <w:spacing w:after="0" w:line="0" w:lineRule="atLeast"/>
        <w:jc w:val="both"/>
        <w:rPr>
          <w:rFonts w:ascii="Gilroy" w:hAnsi="Gilroy"/>
        </w:rPr>
      </w:pPr>
    </w:p>
    <w:p w14:paraId="5DD2FCDF" w14:textId="77777777" w:rsidR="00AE1B14" w:rsidRDefault="00AE1B14">
      <w:pPr>
        <w:spacing w:after="0" w:line="0" w:lineRule="atLeast"/>
        <w:jc w:val="both"/>
        <w:rPr>
          <w:rFonts w:ascii="Gilroy" w:hAnsi="Gilroy"/>
        </w:rPr>
      </w:pPr>
    </w:p>
    <w:p w14:paraId="4EECE8A8" w14:textId="77777777" w:rsidR="00AE1B14" w:rsidRDefault="00AE1B14">
      <w:pPr>
        <w:spacing w:after="0" w:line="0" w:lineRule="atLeast"/>
        <w:jc w:val="both"/>
        <w:rPr>
          <w:rFonts w:ascii="Gilroy" w:hAnsi="Gilroy"/>
        </w:rPr>
      </w:pPr>
    </w:p>
    <w:p w14:paraId="13A86FA3" w14:textId="77777777" w:rsidR="00AE1B14" w:rsidRDefault="00AE1B14">
      <w:pPr>
        <w:spacing w:after="0" w:line="0" w:lineRule="atLeast"/>
        <w:jc w:val="both"/>
        <w:rPr>
          <w:rFonts w:ascii="Gilroy" w:hAnsi="Gilroy"/>
        </w:rPr>
      </w:pPr>
    </w:p>
    <w:p w14:paraId="6D9099A5" w14:textId="77777777" w:rsidR="00E672B5" w:rsidRDefault="00E672B5" w:rsidP="00E672B5">
      <w:pPr>
        <w:spacing w:after="0" w:line="0" w:lineRule="atLeast"/>
        <w:jc w:val="both"/>
        <w:rPr>
          <w:rFonts w:ascii="Gilroy" w:hAnsi="Gilroy"/>
          <w:b/>
          <w:bCs/>
        </w:rPr>
      </w:pPr>
    </w:p>
    <w:p w14:paraId="7F4A96E9" w14:textId="77777777" w:rsidR="00E672B5" w:rsidRDefault="00E672B5" w:rsidP="00E672B5">
      <w:pPr>
        <w:spacing w:after="0" w:line="0" w:lineRule="atLeast"/>
        <w:jc w:val="both"/>
        <w:rPr>
          <w:rFonts w:ascii="Gilroy" w:hAnsi="Gilroy"/>
          <w:b/>
          <w:bCs/>
        </w:rPr>
      </w:pPr>
    </w:p>
    <w:p w14:paraId="0337CED3" w14:textId="77777777" w:rsidR="00E672B5" w:rsidRDefault="00E672B5" w:rsidP="00E672B5">
      <w:pPr>
        <w:spacing w:after="0" w:line="0" w:lineRule="atLeast"/>
        <w:jc w:val="both"/>
        <w:rPr>
          <w:rFonts w:ascii="Gilroy" w:hAnsi="Gilroy"/>
          <w:b/>
          <w:bCs/>
        </w:rPr>
      </w:pPr>
    </w:p>
    <w:p w14:paraId="78FC5A25" w14:textId="77777777" w:rsidR="00E672B5" w:rsidRDefault="00E672B5" w:rsidP="00E672B5">
      <w:pPr>
        <w:spacing w:after="0" w:line="0" w:lineRule="atLeast"/>
        <w:jc w:val="both"/>
        <w:rPr>
          <w:rFonts w:ascii="Gilroy" w:hAnsi="Gilroy"/>
          <w:b/>
          <w:bCs/>
        </w:rPr>
      </w:pPr>
    </w:p>
    <w:p w14:paraId="07E2BC75" w14:textId="0F061FBD" w:rsidR="00E672B5" w:rsidRPr="00E672B5" w:rsidRDefault="00E672B5" w:rsidP="00E672B5">
      <w:pPr>
        <w:spacing w:after="0" w:line="0" w:lineRule="atLeast"/>
        <w:jc w:val="both"/>
        <w:rPr>
          <w:rFonts w:ascii="Gilroy" w:hAnsi="Gilroy"/>
        </w:rPr>
      </w:pPr>
      <w:r w:rsidRPr="00E672B5">
        <w:rPr>
          <w:rFonts w:ascii="Gilroy" w:hAnsi="Gilroy"/>
          <w:b/>
          <w:bCs/>
        </w:rPr>
        <w:t xml:space="preserve">III. MATRIZ DE ARTICULACIÓN OPERATIVA Y SERVICIOS DEL NITC </w:t>
      </w:r>
    </w:p>
    <w:p w14:paraId="189570EF" w14:textId="20648E93" w:rsidR="00AE1B14" w:rsidRDefault="00E672B5" w:rsidP="00E672B5">
      <w:pPr>
        <w:spacing w:after="0" w:line="0" w:lineRule="atLeast"/>
        <w:jc w:val="both"/>
        <w:rPr>
          <w:rFonts w:ascii="Gilroy" w:hAnsi="Gilroy"/>
        </w:rPr>
      </w:pPr>
      <w:r w:rsidRPr="00E672B5">
        <w:rPr>
          <w:rFonts w:ascii="Gilroy" w:hAnsi="Gilroy"/>
        </w:rPr>
        <w:t xml:space="preserve">El NITC opera como una ventanilla única y un espacio físico de </w:t>
      </w:r>
      <w:proofErr w:type="spellStart"/>
      <w:r w:rsidRPr="00E672B5">
        <w:rPr>
          <w:rFonts w:ascii="Gilroy" w:hAnsi="Gilroy"/>
        </w:rPr>
        <w:t>co-gestión</w:t>
      </w:r>
      <w:proofErr w:type="spellEnd"/>
      <w:r w:rsidRPr="00E672B5">
        <w:rPr>
          <w:rFonts w:ascii="Gilroy" w:hAnsi="Gilroy"/>
        </w:rPr>
        <w:t xml:space="preserve"> comunitaria que organiza su oferta a través de una matriz estructurada que integra los ocho componentes institucionales en relación con los ejes estratégicos del IPPI:</w:t>
      </w:r>
    </w:p>
    <w:p w14:paraId="649F4E3D" w14:textId="77777777" w:rsidR="00AE1B14" w:rsidRDefault="00AE1B14">
      <w:pPr>
        <w:spacing w:after="0" w:line="0" w:lineRule="atLeast"/>
        <w:jc w:val="both"/>
        <w:rPr>
          <w:rFonts w:ascii="Gilroy" w:hAnsi="Gilroy"/>
        </w:rPr>
      </w:pPr>
    </w:p>
    <w:p w14:paraId="0AE31690" w14:textId="77777777" w:rsidR="00AE1B14" w:rsidRDefault="00AE1B14">
      <w:pPr>
        <w:spacing w:after="0" w:line="0" w:lineRule="atLeast"/>
        <w:jc w:val="both"/>
        <w:rPr>
          <w:rFonts w:ascii="Gilroy" w:hAnsi="Gilroy"/>
        </w:rPr>
      </w:pPr>
    </w:p>
    <w:tbl>
      <w:tblPr>
        <w:tblStyle w:val="Tablaconcuadrcula"/>
        <w:tblW w:w="11199" w:type="dxa"/>
        <w:tblInd w:w="-1139" w:type="dxa"/>
        <w:tblLook w:val="04A0" w:firstRow="1" w:lastRow="0" w:firstColumn="1" w:lastColumn="0" w:noHBand="0" w:noVBand="1"/>
      </w:tblPr>
      <w:tblGrid>
        <w:gridCol w:w="2835"/>
        <w:gridCol w:w="3261"/>
        <w:gridCol w:w="5103"/>
      </w:tblGrid>
      <w:tr w:rsidR="00AE1B14" w14:paraId="1F1A4821" w14:textId="77777777" w:rsidTr="008037A8">
        <w:tc>
          <w:tcPr>
            <w:tcW w:w="2835" w:type="dxa"/>
          </w:tcPr>
          <w:p w14:paraId="5FFADF58" w14:textId="77777777" w:rsidR="00A56EED" w:rsidRDefault="00A56EED" w:rsidP="00A56EED">
            <w:pPr>
              <w:spacing w:line="0" w:lineRule="atLeast"/>
              <w:jc w:val="center"/>
              <w:rPr>
                <w:rFonts w:ascii="Gilroy" w:hAnsi="Gilroy"/>
              </w:rPr>
            </w:pPr>
          </w:p>
          <w:p w14:paraId="54719BE9" w14:textId="3ABF826A" w:rsidR="00AE1B14" w:rsidRPr="008037A8" w:rsidRDefault="00AE1B14" w:rsidP="00A56EED">
            <w:pPr>
              <w:spacing w:line="0" w:lineRule="atLeast"/>
              <w:jc w:val="center"/>
              <w:rPr>
                <w:rFonts w:ascii="Gilroy" w:hAnsi="Gilroy"/>
                <w:b/>
                <w:bCs/>
              </w:rPr>
            </w:pPr>
            <w:r w:rsidRPr="008037A8">
              <w:rPr>
                <w:rFonts w:ascii="Gilroy" w:hAnsi="Gilroy"/>
                <w:b/>
                <w:bCs/>
              </w:rPr>
              <w:t>Eje Temático del NITC</w:t>
            </w:r>
          </w:p>
        </w:tc>
        <w:tc>
          <w:tcPr>
            <w:tcW w:w="3261" w:type="dxa"/>
          </w:tcPr>
          <w:p w14:paraId="5A430D75" w14:textId="77777777" w:rsidR="008037A8" w:rsidRDefault="008037A8" w:rsidP="00AE1B14">
            <w:pPr>
              <w:spacing w:line="0" w:lineRule="atLeast"/>
              <w:rPr>
                <w:rFonts w:ascii="Gilroy" w:hAnsi="Gilroy"/>
              </w:rPr>
            </w:pPr>
          </w:p>
          <w:p w14:paraId="09CB5232" w14:textId="77777777" w:rsidR="00AE1B14" w:rsidRDefault="00AE1B14" w:rsidP="00AE1B14">
            <w:pPr>
              <w:spacing w:line="0" w:lineRule="atLeast"/>
              <w:rPr>
                <w:rFonts w:ascii="Gilroy" w:hAnsi="Gilroy"/>
                <w:b/>
                <w:bCs/>
              </w:rPr>
            </w:pPr>
            <w:r w:rsidRPr="008037A8">
              <w:rPr>
                <w:rFonts w:ascii="Gilroy" w:hAnsi="Gilroy"/>
                <w:b/>
                <w:bCs/>
              </w:rPr>
              <w:t xml:space="preserve">Proyectos Fuente Integrados </w:t>
            </w:r>
            <w:r w:rsidR="008037A8" w:rsidRPr="008037A8">
              <w:rPr>
                <w:rFonts w:ascii="Gilroy" w:hAnsi="Gilroy"/>
                <w:b/>
                <w:bCs/>
              </w:rPr>
              <w:t>(Componentes</w:t>
            </w:r>
            <w:r w:rsidRPr="008037A8">
              <w:rPr>
                <w:rFonts w:ascii="Gilroy" w:hAnsi="Gilroy"/>
                <w:b/>
                <w:bCs/>
              </w:rPr>
              <w:t xml:space="preserve"> del 1 al 8)</w:t>
            </w:r>
          </w:p>
          <w:p w14:paraId="2577185B" w14:textId="6DDD34E4" w:rsidR="008037A8" w:rsidRPr="008037A8" w:rsidRDefault="008037A8" w:rsidP="00AE1B14">
            <w:pPr>
              <w:spacing w:line="0" w:lineRule="atLeast"/>
              <w:rPr>
                <w:rFonts w:ascii="Gilroy" w:hAnsi="Gilroy"/>
                <w:b/>
                <w:bCs/>
              </w:rPr>
            </w:pPr>
          </w:p>
        </w:tc>
        <w:tc>
          <w:tcPr>
            <w:tcW w:w="5103" w:type="dxa"/>
          </w:tcPr>
          <w:p w14:paraId="44B5B152" w14:textId="77777777" w:rsidR="00A56EED" w:rsidRDefault="00A56EED" w:rsidP="00A56EED">
            <w:pPr>
              <w:spacing w:line="0" w:lineRule="atLeast"/>
              <w:jc w:val="center"/>
              <w:rPr>
                <w:rFonts w:ascii="Gilroy" w:hAnsi="Gilroy"/>
              </w:rPr>
            </w:pPr>
          </w:p>
          <w:p w14:paraId="64EE2550" w14:textId="5204505D" w:rsidR="00AE1B14" w:rsidRPr="008037A8" w:rsidRDefault="00A56EED" w:rsidP="00A56EED">
            <w:pPr>
              <w:spacing w:line="0" w:lineRule="atLeast"/>
              <w:jc w:val="center"/>
              <w:rPr>
                <w:rFonts w:ascii="Gilroy" w:hAnsi="Gilroy"/>
                <w:b/>
                <w:bCs/>
              </w:rPr>
            </w:pPr>
            <w:r w:rsidRPr="008037A8">
              <w:rPr>
                <w:rFonts w:ascii="Gilroy" w:hAnsi="Gilroy"/>
                <w:b/>
                <w:bCs/>
              </w:rPr>
              <w:t xml:space="preserve">Servicios </w:t>
            </w:r>
            <w:r w:rsidR="008037A8" w:rsidRPr="008037A8">
              <w:rPr>
                <w:rFonts w:ascii="Gilroy" w:hAnsi="Gilroy"/>
                <w:b/>
                <w:bCs/>
              </w:rPr>
              <w:t>y Acciones</w:t>
            </w:r>
            <w:r w:rsidRPr="008037A8">
              <w:rPr>
                <w:rFonts w:ascii="Gilroy" w:hAnsi="Gilroy"/>
                <w:b/>
                <w:bCs/>
              </w:rPr>
              <w:t xml:space="preserve"> operativas en Territorio.</w:t>
            </w:r>
          </w:p>
        </w:tc>
      </w:tr>
      <w:tr w:rsidR="00AE1B14" w14:paraId="43F97965" w14:textId="77777777" w:rsidTr="008037A8">
        <w:tc>
          <w:tcPr>
            <w:tcW w:w="2835" w:type="dxa"/>
          </w:tcPr>
          <w:p w14:paraId="294B7CB2" w14:textId="77777777" w:rsidR="008037A8" w:rsidRDefault="008037A8" w:rsidP="00A56EED">
            <w:pPr>
              <w:spacing w:line="0" w:lineRule="atLeast"/>
              <w:jc w:val="center"/>
              <w:rPr>
                <w:rFonts w:ascii="Gilroy" w:hAnsi="Gilroy"/>
                <w:b/>
                <w:bCs/>
              </w:rPr>
            </w:pPr>
          </w:p>
          <w:p w14:paraId="7EDA4B6E" w14:textId="77777777" w:rsidR="008037A8" w:rsidRDefault="008037A8" w:rsidP="00A56EED">
            <w:pPr>
              <w:spacing w:line="0" w:lineRule="atLeast"/>
              <w:jc w:val="center"/>
              <w:rPr>
                <w:rFonts w:ascii="Gilroy" w:hAnsi="Gilroy"/>
                <w:b/>
                <w:bCs/>
              </w:rPr>
            </w:pPr>
          </w:p>
          <w:p w14:paraId="0EDDB606" w14:textId="77777777" w:rsidR="008037A8" w:rsidRDefault="008037A8" w:rsidP="00A56EED">
            <w:pPr>
              <w:spacing w:line="0" w:lineRule="atLeast"/>
              <w:jc w:val="center"/>
              <w:rPr>
                <w:rFonts w:ascii="Gilroy" w:hAnsi="Gilroy"/>
                <w:b/>
                <w:bCs/>
              </w:rPr>
            </w:pPr>
          </w:p>
          <w:p w14:paraId="18B75FC9" w14:textId="77777777" w:rsidR="008037A8" w:rsidRDefault="008037A8" w:rsidP="00A56EED">
            <w:pPr>
              <w:spacing w:line="0" w:lineRule="atLeast"/>
              <w:jc w:val="center"/>
              <w:rPr>
                <w:rFonts w:ascii="Gilroy" w:hAnsi="Gilroy"/>
                <w:b/>
                <w:bCs/>
              </w:rPr>
            </w:pPr>
          </w:p>
          <w:p w14:paraId="4E4DDA34" w14:textId="6A9CB422" w:rsidR="00AE1B14" w:rsidRPr="008037A8" w:rsidRDefault="00A56EED" w:rsidP="00A56EED">
            <w:pPr>
              <w:spacing w:line="0" w:lineRule="atLeast"/>
              <w:jc w:val="center"/>
              <w:rPr>
                <w:rFonts w:ascii="Gilroy" w:hAnsi="Gilroy"/>
                <w:b/>
                <w:bCs/>
              </w:rPr>
            </w:pPr>
            <w:r w:rsidRPr="008037A8">
              <w:rPr>
                <w:rFonts w:ascii="Gilroy" w:hAnsi="Gilroy"/>
                <w:b/>
                <w:bCs/>
              </w:rPr>
              <w:t xml:space="preserve">Gobernanza y Autonomía. </w:t>
            </w:r>
          </w:p>
        </w:tc>
        <w:tc>
          <w:tcPr>
            <w:tcW w:w="3261" w:type="dxa"/>
          </w:tcPr>
          <w:p w14:paraId="4D6A65D8" w14:textId="77777777" w:rsidR="00AE1B14" w:rsidRDefault="008037A8">
            <w:pPr>
              <w:pStyle w:val="Prrafodelista"/>
              <w:numPr>
                <w:ilvl w:val="0"/>
                <w:numId w:val="2"/>
              </w:numPr>
              <w:spacing w:line="0" w:lineRule="atLeast"/>
              <w:rPr>
                <w:rFonts w:ascii="Gilroy" w:hAnsi="Gilroy"/>
              </w:rPr>
            </w:pPr>
            <w:r>
              <w:rPr>
                <w:rFonts w:ascii="Gilroy" w:hAnsi="Gilroy"/>
              </w:rPr>
              <w:t>Plataforma de autonomía digital.</w:t>
            </w:r>
          </w:p>
          <w:p w14:paraId="16E815DB" w14:textId="77777777" w:rsidR="00AD52FE" w:rsidRDefault="00AD52FE" w:rsidP="00AD52FE">
            <w:pPr>
              <w:pStyle w:val="Prrafodelista"/>
              <w:spacing w:line="0" w:lineRule="atLeast"/>
              <w:rPr>
                <w:rFonts w:ascii="Gilroy" w:hAnsi="Gilroy"/>
              </w:rPr>
            </w:pPr>
          </w:p>
          <w:p w14:paraId="74B8D320" w14:textId="77777777" w:rsidR="008037A8" w:rsidRDefault="008037A8" w:rsidP="008037A8">
            <w:pPr>
              <w:pStyle w:val="Prrafodelista"/>
              <w:spacing w:line="0" w:lineRule="atLeast"/>
              <w:rPr>
                <w:rFonts w:ascii="Gilroy" w:hAnsi="Gilroy"/>
              </w:rPr>
            </w:pPr>
          </w:p>
          <w:p w14:paraId="544D1751" w14:textId="77777777" w:rsidR="008037A8" w:rsidRDefault="008037A8">
            <w:pPr>
              <w:pStyle w:val="Prrafodelista"/>
              <w:numPr>
                <w:ilvl w:val="0"/>
                <w:numId w:val="2"/>
              </w:numPr>
              <w:spacing w:line="0" w:lineRule="atLeast"/>
              <w:rPr>
                <w:rFonts w:ascii="Gilroy" w:hAnsi="Gilroy"/>
              </w:rPr>
            </w:pPr>
            <w:r>
              <w:rPr>
                <w:rFonts w:ascii="Gilroy" w:hAnsi="Gilroy"/>
              </w:rPr>
              <w:t xml:space="preserve">Proyecto de Intercambio Digital </w:t>
            </w:r>
          </w:p>
          <w:p w14:paraId="3F4AA830" w14:textId="77777777" w:rsidR="00AD52FE" w:rsidRDefault="00AD52FE" w:rsidP="00AD52FE">
            <w:pPr>
              <w:pStyle w:val="Prrafodelista"/>
              <w:spacing w:line="0" w:lineRule="atLeast"/>
              <w:rPr>
                <w:rFonts w:ascii="Gilroy" w:hAnsi="Gilroy"/>
              </w:rPr>
            </w:pPr>
          </w:p>
          <w:p w14:paraId="731044C1" w14:textId="77777777" w:rsidR="008037A8" w:rsidRDefault="008037A8" w:rsidP="008037A8">
            <w:pPr>
              <w:pStyle w:val="Prrafodelista"/>
              <w:rPr>
                <w:rFonts w:ascii="Gilroy" w:hAnsi="Gilroy"/>
              </w:rPr>
            </w:pPr>
          </w:p>
          <w:p w14:paraId="0FB91E39" w14:textId="77777777" w:rsidR="00AD52FE" w:rsidRPr="008037A8" w:rsidRDefault="00AD52FE" w:rsidP="008037A8">
            <w:pPr>
              <w:pStyle w:val="Prrafodelista"/>
              <w:rPr>
                <w:rFonts w:ascii="Gilroy" w:hAnsi="Gilroy"/>
              </w:rPr>
            </w:pPr>
          </w:p>
          <w:p w14:paraId="1BBB148E" w14:textId="77777777" w:rsidR="008037A8" w:rsidRDefault="008037A8" w:rsidP="008037A8">
            <w:pPr>
              <w:pStyle w:val="Prrafodelista"/>
              <w:spacing w:line="0" w:lineRule="atLeast"/>
              <w:rPr>
                <w:rFonts w:ascii="Gilroy" w:hAnsi="Gilroy"/>
              </w:rPr>
            </w:pPr>
          </w:p>
          <w:p w14:paraId="0F04B47F" w14:textId="77777777" w:rsidR="008037A8" w:rsidRDefault="008037A8">
            <w:pPr>
              <w:pStyle w:val="Prrafodelista"/>
              <w:numPr>
                <w:ilvl w:val="0"/>
                <w:numId w:val="2"/>
              </w:numPr>
              <w:spacing w:line="0" w:lineRule="atLeast"/>
              <w:rPr>
                <w:rFonts w:ascii="Gilroy" w:hAnsi="Gilroy"/>
              </w:rPr>
            </w:pPr>
            <w:r>
              <w:rPr>
                <w:rFonts w:ascii="Gilroy" w:hAnsi="Gilroy"/>
              </w:rPr>
              <w:t>Casa de Proyectos</w:t>
            </w:r>
          </w:p>
          <w:p w14:paraId="1BB8C9EB" w14:textId="53A8D51E" w:rsidR="008037A8" w:rsidRPr="008037A8" w:rsidRDefault="008037A8" w:rsidP="008037A8">
            <w:pPr>
              <w:pStyle w:val="Prrafodelista"/>
              <w:spacing w:line="0" w:lineRule="atLeast"/>
              <w:rPr>
                <w:rFonts w:ascii="Gilroy" w:hAnsi="Gilroy"/>
              </w:rPr>
            </w:pPr>
            <w:r>
              <w:rPr>
                <w:rFonts w:ascii="Gilroy" w:hAnsi="Gilroy"/>
              </w:rPr>
              <w:t xml:space="preserve"> </w:t>
            </w:r>
          </w:p>
        </w:tc>
        <w:tc>
          <w:tcPr>
            <w:tcW w:w="5103" w:type="dxa"/>
          </w:tcPr>
          <w:p w14:paraId="370C1B3A" w14:textId="7FB428A6" w:rsidR="00AE1B14" w:rsidRDefault="00AD52FE">
            <w:pPr>
              <w:spacing w:line="0" w:lineRule="atLeast"/>
              <w:jc w:val="both"/>
              <w:rPr>
                <w:rFonts w:ascii="Gilroy" w:hAnsi="Gilroy"/>
              </w:rPr>
            </w:pPr>
            <w:r w:rsidRPr="00AD52FE">
              <w:rPr>
                <w:rFonts w:ascii="Gilroy" w:hAnsi="Gilroy"/>
              </w:rPr>
              <w:t>• Gestión y consulta centralizada de datos abiertos mediante mapas y modelos de bajo consumo de datos para zonas de baja conectividad</w:t>
            </w:r>
            <w:r>
              <w:rPr>
                <w:rFonts w:ascii="Gilroy" w:hAnsi="Gilroy"/>
              </w:rPr>
              <w:t>.</w:t>
            </w:r>
          </w:p>
          <w:p w14:paraId="32C82FE0" w14:textId="77777777" w:rsidR="00AD52FE" w:rsidRDefault="00AD52FE">
            <w:pPr>
              <w:spacing w:line="0" w:lineRule="atLeast"/>
              <w:jc w:val="both"/>
              <w:rPr>
                <w:rFonts w:ascii="Gilroy" w:hAnsi="Gilroy"/>
              </w:rPr>
            </w:pPr>
          </w:p>
          <w:p w14:paraId="647587DF" w14:textId="77777777" w:rsidR="00AD52FE" w:rsidRDefault="00AD52FE">
            <w:pPr>
              <w:spacing w:line="0" w:lineRule="atLeast"/>
              <w:jc w:val="both"/>
              <w:rPr>
                <w:rFonts w:ascii="Gilroy" w:hAnsi="Gilroy"/>
              </w:rPr>
            </w:pPr>
            <w:r w:rsidRPr="00AD52FE">
              <w:rPr>
                <w:rFonts w:ascii="Gilroy" w:hAnsi="Gilroy"/>
              </w:rPr>
              <w:t>• Conexión e interoperabilidad con 44 dependencias del Poder Ejecutivo, Poder Judicial (Padrón de Intérpretes) y Legislativo para agilizar trámites y evitar duplicidades.</w:t>
            </w:r>
          </w:p>
          <w:p w14:paraId="60D4CCC0" w14:textId="77777777" w:rsidR="00AD52FE" w:rsidRDefault="00AD52FE">
            <w:pPr>
              <w:spacing w:line="0" w:lineRule="atLeast"/>
              <w:jc w:val="both"/>
              <w:rPr>
                <w:rFonts w:ascii="Gilroy" w:hAnsi="Gilroy"/>
              </w:rPr>
            </w:pPr>
          </w:p>
          <w:p w14:paraId="1B270BB9" w14:textId="7AC14E5A" w:rsidR="00AD52FE" w:rsidRDefault="00AD52FE">
            <w:pPr>
              <w:spacing w:line="0" w:lineRule="atLeast"/>
              <w:jc w:val="both"/>
              <w:rPr>
                <w:rFonts w:ascii="Gilroy" w:hAnsi="Gilroy"/>
              </w:rPr>
            </w:pPr>
            <w:r w:rsidRPr="00AD52FE">
              <w:rPr>
                <w:rFonts w:ascii="Gilroy" w:hAnsi="Gilroy"/>
              </w:rPr>
              <w:t>• Recepción, canalización y seguimiento de iniciativas comunitarias enfocadas en la defensa de los derechos indígenas y la soberanía del territorio.</w:t>
            </w:r>
          </w:p>
        </w:tc>
      </w:tr>
      <w:tr w:rsidR="00AE1B14" w14:paraId="6BA2962B" w14:textId="77777777" w:rsidTr="008037A8">
        <w:tc>
          <w:tcPr>
            <w:tcW w:w="2835" w:type="dxa"/>
          </w:tcPr>
          <w:p w14:paraId="344ABBBB" w14:textId="77777777" w:rsidR="008037A8" w:rsidRDefault="008037A8" w:rsidP="00A56EED">
            <w:pPr>
              <w:spacing w:line="0" w:lineRule="atLeast"/>
              <w:jc w:val="center"/>
              <w:rPr>
                <w:rFonts w:ascii="Gilroy" w:hAnsi="Gilroy"/>
                <w:b/>
                <w:bCs/>
              </w:rPr>
            </w:pPr>
          </w:p>
          <w:p w14:paraId="488342FE" w14:textId="77777777" w:rsidR="008037A8" w:rsidRDefault="008037A8" w:rsidP="00A56EED">
            <w:pPr>
              <w:spacing w:line="0" w:lineRule="atLeast"/>
              <w:jc w:val="center"/>
              <w:rPr>
                <w:rFonts w:ascii="Gilroy" w:hAnsi="Gilroy"/>
                <w:b/>
                <w:bCs/>
              </w:rPr>
            </w:pPr>
          </w:p>
          <w:p w14:paraId="1EC4AD57" w14:textId="77777777" w:rsidR="008037A8" w:rsidRDefault="008037A8" w:rsidP="00A56EED">
            <w:pPr>
              <w:spacing w:line="0" w:lineRule="atLeast"/>
              <w:jc w:val="center"/>
              <w:rPr>
                <w:rFonts w:ascii="Gilroy" w:hAnsi="Gilroy"/>
                <w:b/>
                <w:bCs/>
              </w:rPr>
            </w:pPr>
          </w:p>
          <w:p w14:paraId="37D29050" w14:textId="77777777" w:rsidR="008037A8" w:rsidRDefault="008037A8" w:rsidP="00A56EED">
            <w:pPr>
              <w:spacing w:line="0" w:lineRule="atLeast"/>
              <w:jc w:val="center"/>
              <w:rPr>
                <w:rFonts w:ascii="Gilroy" w:hAnsi="Gilroy"/>
                <w:b/>
                <w:bCs/>
              </w:rPr>
            </w:pPr>
          </w:p>
          <w:p w14:paraId="54B2F294" w14:textId="7A3AAB82" w:rsidR="00AE1B14" w:rsidRPr="008037A8" w:rsidRDefault="00A56EED" w:rsidP="00A56EED">
            <w:pPr>
              <w:spacing w:line="0" w:lineRule="atLeast"/>
              <w:jc w:val="center"/>
              <w:rPr>
                <w:rFonts w:ascii="Gilroy" w:hAnsi="Gilroy"/>
                <w:b/>
                <w:bCs/>
              </w:rPr>
            </w:pPr>
            <w:r w:rsidRPr="008037A8">
              <w:rPr>
                <w:rFonts w:ascii="Gilroy" w:hAnsi="Gilroy"/>
                <w:b/>
                <w:bCs/>
              </w:rPr>
              <w:t>Acción Social y Técnica</w:t>
            </w:r>
          </w:p>
        </w:tc>
        <w:tc>
          <w:tcPr>
            <w:tcW w:w="3261" w:type="dxa"/>
          </w:tcPr>
          <w:p w14:paraId="7F3BD054" w14:textId="77777777" w:rsidR="008037A8" w:rsidRDefault="008037A8">
            <w:pPr>
              <w:pStyle w:val="Prrafodelista"/>
              <w:numPr>
                <w:ilvl w:val="0"/>
                <w:numId w:val="2"/>
              </w:numPr>
              <w:spacing w:line="0" w:lineRule="atLeast"/>
              <w:rPr>
                <w:rFonts w:ascii="Gilroy" w:hAnsi="Gilroy"/>
              </w:rPr>
            </w:pPr>
            <w:r>
              <w:rPr>
                <w:rFonts w:ascii="Gilroy" w:hAnsi="Gilroy"/>
              </w:rPr>
              <w:t xml:space="preserve">Laboratorios </w:t>
            </w:r>
            <w:proofErr w:type="spellStart"/>
            <w:r>
              <w:rPr>
                <w:rFonts w:ascii="Gilroy" w:hAnsi="Gilroy"/>
              </w:rPr>
              <w:t>Tekitl</w:t>
            </w:r>
            <w:proofErr w:type="spellEnd"/>
            <w:r>
              <w:rPr>
                <w:rFonts w:ascii="Gilroy" w:hAnsi="Gilroy"/>
              </w:rPr>
              <w:t xml:space="preserve"> </w:t>
            </w:r>
          </w:p>
          <w:p w14:paraId="2F4BDE96" w14:textId="6669ADC2" w:rsidR="00AE1B14" w:rsidRDefault="008037A8" w:rsidP="008037A8">
            <w:pPr>
              <w:pStyle w:val="Prrafodelista"/>
              <w:spacing w:line="0" w:lineRule="atLeast"/>
              <w:rPr>
                <w:rFonts w:ascii="Gilroy" w:hAnsi="Gilroy"/>
              </w:rPr>
            </w:pPr>
            <w:r>
              <w:rPr>
                <w:rFonts w:ascii="Gilroy" w:hAnsi="Gilroy"/>
              </w:rPr>
              <w:t>(</w:t>
            </w:r>
            <w:proofErr w:type="spellStart"/>
            <w:r>
              <w:rPr>
                <w:rFonts w:ascii="Gilroy" w:hAnsi="Gilroy"/>
              </w:rPr>
              <w:t>Tekitl-Labs</w:t>
            </w:r>
            <w:proofErr w:type="spellEnd"/>
            <w:r>
              <w:rPr>
                <w:rFonts w:ascii="Gilroy" w:hAnsi="Gilroy"/>
              </w:rPr>
              <w:t>)</w:t>
            </w:r>
          </w:p>
          <w:p w14:paraId="6BAD0AC2" w14:textId="77777777" w:rsidR="00AD52FE" w:rsidRDefault="00AD52FE" w:rsidP="008037A8">
            <w:pPr>
              <w:pStyle w:val="Prrafodelista"/>
              <w:spacing w:line="0" w:lineRule="atLeast"/>
              <w:rPr>
                <w:rFonts w:ascii="Gilroy" w:hAnsi="Gilroy"/>
              </w:rPr>
            </w:pPr>
          </w:p>
          <w:p w14:paraId="7B4D1478" w14:textId="77777777" w:rsidR="008037A8" w:rsidRPr="008037A8" w:rsidRDefault="008037A8" w:rsidP="008037A8">
            <w:pPr>
              <w:spacing w:line="0" w:lineRule="atLeast"/>
              <w:rPr>
                <w:rFonts w:ascii="Gilroy" w:hAnsi="Gilroy"/>
              </w:rPr>
            </w:pPr>
          </w:p>
          <w:p w14:paraId="4C47F5B8" w14:textId="77777777" w:rsidR="008037A8" w:rsidRDefault="008037A8">
            <w:pPr>
              <w:pStyle w:val="Prrafodelista"/>
              <w:numPr>
                <w:ilvl w:val="0"/>
                <w:numId w:val="2"/>
              </w:numPr>
              <w:spacing w:line="0" w:lineRule="atLeast"/>
              <w:rPr>
                <w:rFonts w:ascii="Gilroy" w:hAnsi="Gilroy"/>
              </w:rPr>
            </w:pPr>
            <w:r>
              <w:rPr>
                <w:rFonts w:ascii="Gilroy" w:hAnsi="Gilroy"/>
              </w:rPr>
              <w:t>Módulos de Apropiación Digital.</w:t>
            </w:r>
          </w:p>
          <w:p w14:paraId="74BC9D9C" w14:textId="77777777" w:rsidR="008037A8" w:rsidRDefault="008037A8" w:rsidP="008037A8">
            <w:pPr>
              <w:pStyle w:val="Prrafodelista"/>
              <w:spacing w:line="0" w:lineRule="atLeast"/>
              <w:rPr>
                <w:rFonts w:ascii="Gilroy" w:hAnsi="Gilroy"/>
              </w:rPr>
            </w:pPr>
          </w:p>
          <w:p w14:paraId="76ED64E4" w14:textId="77777777" w:rsidR="00AD52FE" w:rsidRDefault="00AD52FE" w:rsidP="00AD52FE">
            <w:pPr>
              <w:spacing w:line="0" w:lineRule="atLeast"/>
              <w:rPr>
                <w:rFonts w:ascii="Gilroy" w:hAnsi="Gilroy"/>
              </w:rPr>
            </w:pPr>
          </w:p>
          <w:p w14:paraId="2E7DCA00" w14:textId="77777777" w:rsidR="00AD52FE" w:rsidRPr="00AD52FE" w:rsidRDefault="00AD52FE" w:rsidP="00AD52FE">
            <w:pPr>
              <w:spacing w:line="0" w:lineRule="atLeast"/>
              <w:rPr>
                <w:rFonts w:ascii="Gilroy" w:hAnsi="Gilroy"/>
              </w:rPr>
            </w:pPr>
          </w:p>
          <w:p w14:paraId="372F713E" w14:textId="77777777" w:rsidR="00AD52FE" w:rsidRDefault="00AD52FE" w:rsidP="008037A8">
            <w:pPr>
              <w:pStyle w:val="Prrafodelista"/>
              <w:spacing w:line="0" w:lineRule="atLeast"/>
              <w:rPr>
                <w:rFonts w:ascii="Gilroy" w:hAnsi="Gilroy"/>
              </w:rPr>
            </w:pPr>
          </w:p>
          <w:p w14:paraId="6818AE88" w14:textId="77777777" w:rsidR="008037A8" w:rsidRDefault="008037A8">
            <w:pPr>
              <w:pStyle w:val="Prrafodelista"/>
              <w:numPr>
                <w:ilvl w:val="0"/>
                <w:numId w:val="2"/>
              </w:numPr>
              <w:spacing w:line="0" w:lineRule="atLeast"/>
              <w:rPr>
                <w:rFonts w:ascii="Gilroy" w:hAnsi="Gilroy"/>
              </w:rPr>
            </w:pPr>
            <w:r>
              <w:rPr>
                <w:rFonts w:ascii="Gilroy" w:hAnsi="Gilroy"/>
              </w:rPr>
              <w:t xml:space="preserve">Yolotl Altépetl (Alerta Temprana) </w:t>
            </w:r>
          </w:p>
          <w:p w14:paraId="15EC88DA" w14:textId="77777777" w:rsidR="008037A8" w:rsidRPr="008037A8" w:rsidRDefault="008037A8" w:rsidP="008037A8">
            <w:pPr>
              <w:pStyle w:val="Prrafodelista"/>
              <w:rPr>
                <w:rFonts w:ascii="Gilroy" w:hAnsi="Gilroy"/>
              </w:rPr>
            </w:pPr>
          </w:p>
          <w:p w14:paraId="7010FE44" w14:textId="064352E7" w:rsidR="008037A8" w:rsidRPr="008037A8" w:rsidRDefault="008037A8" w:rsidP="008037A8">
            <w:pPr>
              <w:pStyle w:val="Prrafodelista"/>
              <w:spacing w:line="0" w:lineRule="atLeast"/>
              <w:rPr>
                <w:rFonts w:ascii="Gilroy" w:hAnsi="Gilroy"/>
              </w:rPr>
            </w:pPr>
          </w:p>
        </w:tc>
        <w:tc>
          <w:tcPr>
            <w:tcW w:w="5103" w:type="dxa"/>
          </w:tcPr>
          <w:p w14:paraId="6976C1E0" w14:textId="77777777" w:rsidR="00AE1B14" w:rsidRDefault="00AD52FE">
            <w:pPr>
              <w:spacing w:line="0" w:lineRule="atLeast"/>
              <w:jc w:val="both"/>
              <w:rPr>
                <w:rFonts w:ascii="Gilroy" w:hAnsi="Gilroy"/>
              </w:rPr>
            </w:pPr>
            <w:r w:rsidRPr="00AD52FE">
              <w:rPr>
                <w:rFonts w:ascii="Gilroy" w:hAnsi="Gilroy"/>
              </w:rPr>
              <w:t>• Capacitación en reciclaje e ingeniería inversa de chatarra electrónica para la reducción de residuos en los municipios.</w:t>
            </w:r>
          </w:p>
          <w:p w14:paraId="5C7F8143" w14:textId="77777777" w:rsidR="00AD52FE" w:rsidRDefault="00AD52FE">
            <w:pPr>
              <w:spacing w:line="0" w:lineRule="atLeast"/>
              <w:jc w:val="both"/>
              <w:rPr>
                <w:rFonts w:ascii="Gilroy" w:hAnsi="Gilroy"/>
              </w:rPr>
            </w:pPr>
          </w:p>
          <w:p w14:paraId="64363973" w14:textId="797154FC" w:rsidR="00AD52FE" w:rsidRDefault="00AD52FE">
            <w:pPr>
              <w:spacing w:line="0" w:lineRule="atLeast"/>
              <w:jc w:val="both"/>
              <w:rPr>
                <w:rFonts w:ascii="Gilroy" w:hAnsi="Gilroy"/>
              </w:rPr>
            </w:pPr>
            <w:r w:rsidRPr="00AD52FE">
              <w:rPr>
                <w:rFonts w:ascii="Gilroy" w:hAnsi="Gilroy"/>
              </w:rPr>
              <w:t xml:space="preserve">• Despliegue de red de sensores (humedad, humo, picos térmicos), monitoreo con drones y alertas </w:t>
            </w:r>
            <w:r w:rsidRPr="00AD52FE">
              <w:rPr>
                <w:rFonts w:ascii="Gilroy" w:hAnsi="Gilroy"/>
                <w:i/>
                <w:iCs/>
              </w:rPr>
              <w:t>offline</w:t>
            </w:r>
            <w:r w:rsidRPr="00AD52FE">
              <w:rPr>
                <w:rFonts w:ascii="Gilroy" w:hAnsi="Gilroy"/>
              </w:rPr>
              <w:t xml:space="preserve"> traducidas por promotores bilingües (</w:t>
            </w:r>
            <w:proofErr w:type="spellStart"/>
            <w:r w:rsidRPr="00AD52FE">
              <w:rPr>
                <w:rFonts w:ascii="Gilroy" w:hAnsi="Gilroy"/>
                <w:i/>
                <w:iCs/>
              </w:rPr>
              <w:t>Tlayacanani</w:t>
            </w:r>
            <w:proofErr w:type="spellEnd"/>
            <w:r w:rsidRPr="00AD52FE">
              <w:rPr>
                <w:rFonts w:ascii="Gilroy" w:hAnsi="Gilroy"/>
              </w:rPr>
              <w:t>) ante deslaves e incendios.</w:t>
            </w:r>
          </w:p>
          <w:p w14:paraId="2A87392F" w14:textId="77777777" w:rsidR="00AD52FE" w:rsidRDefault="00AD52FE">
            <w:pPr>
              <w:spacing w:line="0" w:lineRule="atLeast"/>
              <w:jc w:val="both"/>
              <w:rPr>
                <w:rFonts w:ascii="Gilroy" w:hAnsi="Gilroy"/>
              </w:rPr>
            </w:pPr>
          </w:p>
          <w:p w14:paraId="56F76320" w14:textId="24C73216" w:rsidR="00AD52FE" w:rsidRDefault="00AD52FE">
            <w:pPr>
              <w:spacing w:line="0" w:lineRule="atLeast"/>
              <w:jc w:val="both"/>
              <w:rPr>
                <w:rFonts w:ascii="Gilroy" w:hAnsi="Gilroy"/>
              </w:rPr>
            </w:pPr>
            <w:r w:rsidRPr="00AD52FE">
              <w:rPr>
                <w:rFonts w:ascii="Gilroy" w:hAnsi="Gilroy"/>
              </w:rPr>
              <w:t>• Dotación y uso comunitario de infraestructura multimedia para contenidos educativos y de salud pública.</w:t>
            </w:r>
          </w:p>
        </w:tc>
      </w:tr>
      <w:tr w:rsidR="00AE1B14" w14:paraId="0F3015A4" w14:textId="77777777" w:rsidTr="008037A8">
        <w:tc>
          <w:tcPr>
            <w:tcW w:w="2835" w:type="dxa"/>
          </w:tcPr>
          <w:p w14:paraId="5D232C00" w14:textId="77777777" w:rsidR="008037A8" w:rsidRPr="008037A8" w:rsidRDefault="008037A8" w:rsidP="00A56EED">
            <w:pPr>
              <w:spacing w:line="0" w:lineRule="atLeast"/>
              <w:jc w:val="center"/>
              <w:rPr>
                <w:rFonts w:ascii="Gilroy" w:hAnsi="Gilroy"/>
                <w:b/>
                <w:bCs/>
              </w:rPr>
            </w:pPr>
          </w:p>
          <w:p w14:paraId="455511B0" w14:textId="77777777" w:rsidR="008037A8" w:rsidRPr="008037A8" w:rsidRDefault="008037A8" w:rsidP="00A56EED">
            <w:pPr>
              <w:spacing w:line="0" w:lineRule="atLeast"/>
              <w:jc w:val="center"/>
              <w:rPr>
                <w:rFonts w:ascii="Gilroy" w:hAnsi="Gilroy"/>
                <w:b/>
                <w:bCs/>
              </w:rPr>
            </w:pPr>
          </w:p>
          <w:p w14:paraId="38122823" w14:textId="77777777" w:rsidR="008037A8" w:rsidRPr="008037A8" w:rsidRDefault="008037A8" w:rsidP="00A56EED">
            <w:pPr>
              <w:spacing w:line="0" w:lineRule="atLeast"/>
              <w:jc w:val="center"/>
              <w:rPr>
                <w:rFonts w:ascii="Gilroy" w:hAnsi="Gilroy"/>
                <w:b/>
                <w:bCs/>
              </w:rPr>
            </w:pPr>
          </w:p>
          <w:p w14:paraId="651144A3" w14:textId="77777777" w:rsidR="008037A8" w:rsidRPr="008037A8" w:rsidRDefault="008037A8" w:rsidP="00A56EED">
            <w:pPr>
              <w:spacing w:line="0" w:lineRule="atLeast"/>
              <w:jc w:val="center"/>
              <w:rPr>
                <w:rFonts w:ascii="Gilroy" w:hAnsi="Gilroy"/>
                <w:b/>
                <w:bCs/>
              </w:rPr>
            </w:pPr>
          </w:p>
          <w:p w14:paraId="586FBC87" w14:textId="77777777" w:rsidR="008037A8" w:rsidRPr="008037A8" w:rsidRDefault="008037A8" w:rsidP="00A56EED">
            <w:pPr>
              <w:spacing w:line="0" w:lineRule="atLeast"/>
              <w:jc w:val="center"/>
              <w:rPr>
                <w:rFonts w:ascii="Gilroy" w:hAnsi="Gilroy"/>
                <w:b/>
                <w:bCs/>
              </w:rPr>
            </w:pPr>
          </w:p>
          <w:p w14:paraId="14C7E0B4" w14:textId="77777777" w:rsidR="008037A8" w:rsidRPr="008037A8" w:rsidRDefault="008037A8" w:rsidP="00A56EED">
            <w:pPr>
              <w:spacing w:line="0" w:lineRule="atLeast"/>
              <w:jc w:val="center"/>
              <w:rPr>
                <w:rFonts w:ascii="Gilroy" w:hAnsi="Gilroy"/>
                <w:b/>
                <w:bCs/>
              </w:rPr>
            </w:pPr>
          </w:p>
          <w:p w14:paraId="5767DDC4" w14:textId="51A07C28" w:rsidR="00AE1B14" w:rsidRPr="008037A8" w:rsidRDefault="00A56EED" w:rsidP="00A56EED">
            <w:pPr>
              <w:spacing w:line="0" w:lineRule="atLeast"/>
              <w:jc w:val="center"/>
              <w:rPr>
                <w:rFonts w:ascii="Gilroy" w:hAnsi="Gilroy"/>
                <w:b/>
                <w:bCs/>
              </w:rPr>
            </w:pPr>
            <w:r w:rsidRPr="008037A8">
              <w:rPr>
                <w:rFonts w:ascii="Gilroy" w:hAnsi="Gilroy"/>
                <w:b/>
                <w:bCs/>
              </w:rPr>
              <w:t>Cultura, lengua e Identidad.</w:t>
            </w:r>
          </w:p>
        </w:tc>
        <w:tc>
          <w:tcPr>
            <w:tcW w:w="3261" w:type="dxa"/>
          </w:tcPr>
          <w:p w14:paraId="56A5B493" w14:textId="77777777" w:rsidR="00AE1B14" w:rsidRDefault="008037A8">
            <w:pPr>
              <w:pStyle w:val="Prrafodelista"/>
              <w:numPr>
                <w:ilvl w:val="0"/>
                <w:numId w:val="2"/>
              </w:numPr>
              <w:spacing w:line="0" w:lineRule="atLeast"/>
              <w:rPr>
                <w:rFonts w:ascii="Gilroy" w:hAnsi="Gilroy"/>
              </w:rPr>
            </w:pPr>
            <w:r>
              <w:rPr>
                <w:rFonts w:ascii="Gilroy" w:hAnsi="Gilroy"/>
              </w:rPr>
              <w:t xml:space="preserve">Proyecto de Intercambio Digital. </w:t>
            </w:r>
          </w:p>
          <w:p w14:paraId="3B6CF6EC" w14:textId="77777777" w:rsidR="008037A8" w:rsidRDefault="008037A8" w:rsidP="008037A8">
            <w:pPr>
              <w:pStyle w:val="Prrafodelista"/>
              <w:spacing w:line="0" w:lineRule="atLeast"/>
              <w:rPr>
                <w:rFonts w:ascii="Gilroy" w:hAnsi="Gilroy"/>
              </w:rPr>
            </w:pPr>
          </w:p>
          <w:p w14:paraId="7ACCEBA4" w14:textId="77777777" w:rsidR="00AD52FE" w:rsidRDefault="00AD52FE" w:rsidP="008037A8">
            <w:pPr>
              <w:pStyle w:val="Prrafodelista"/>
              <w:spacing w:line="0" w:lineRule="atLeast"/>
              <w:rPr>
                <w:rFonts w:ascii="Gilroy" w:hAnsi="Gilroy"/>
              </w:rPr>
            </w:pPr>
          </w:p>
          <w:p w14:paraId="13B6639D" w14:textId="77777777" w:rsidR="00AD52FE" w:rsidRDefault="00AD52FE" w:rsidP="008037A8">
            <w:pPr>
              <w:pStyle w:val="Prrafodelista"/>
              <w:spacing w:line="0" w:lineRule="atLeast"/>
              <w:rPr>
                <w:rFonts w:ascii="Gilroy" w:hAnsi="Gilroy"/>
              </w:rPr>
            </w:pPr>
          </w:p>
          <w:p w14:paraId="2EAC3A1B" w14:textId="77777777" w:rsidR="008037A8" w:rsidRDefault="008037A8">
            <w:pPr>
              <w:pStyle w:val="Prrafodelista"/>
              <w:numPr>
                <w:ilvl w:val="0"/>
                <w:numId w:val="2"/>
              </w:numPr>
              <w:spacing w:line="0" w:lineRule="atLeast"/>
              <w:rPr>
                <w:rFonts w:ascii="Gilroy" w:hAnsi="Gilroy"/>
              </w:rPr>
            </w:pPr>
            <w:r>
              <w:rPr>
                <w:rFonts w:ascii="Gilroy" w:hAnsi="Gilroy"/>
              </w:rPr>
              <w:t xml:space="preserve">Módulos de Apropiación Digital. </w:t>
            </w:r>
          </w:p>
          <w:p w14:paraId="2CA26987" w14:textId="77777777" w:rsidR="008037A8" w:rsidRPr="008037A8" w:rsidRDefault="008037A8" w:rsidP="008037A8">
            <w:pPr>
              <w:pStyle w:val="Prrafodelista"/>
              <w:rPr>
                <w:rFonts w:ascii="Gilroy" w:hAnsi="Gilroy"/>
              </w:rPr>
            </w:pPr>
          </w:p>
          <w:p w14:paraId="4810192B" w14:textId="77777777" w:rsidR="008037A8" w:rsidRDefault="008037A8" w:rsidP="008037A8">
            <w:pPr>
              <w:pStyle w:val="Prrafodelista"/>
              <w:spacing w:line="0" w:lineRule="atLeast"/>
              <w:rPr>
                <w:rFonts w:ascii="Gilroy" w:hAnsi="Gilroy"/>
              </w:rPr>
            </w:pPr>
          </w:p>
          <w:p w14:paraId="4CB6E224" w14:textId="77777777" w:rsidR="008037A8" w:rsidRDefault="008037A8">
            <w:pPr>
              <w:pStyle w:val="Prrafodelista"/>
              <w:numPr>
                <w:ilvl w:val="0"/>
                <w:numId w:val="2"/>
              </w:numPr>
              <w:spacing w:line="0" w:lineRule="atLeast"/>
              <w:rPr>
                <w:rFonts w:ascii="Gilroy" w:hAnsi="Gilroy"/>
              </w:rPr>
            </w:pPr>
            <w:r>
              <w:rPr>
                <w:rFonts w:ascii="Gilroy" w:hAnsi="Gilroy"/>
              </w:rPr>
              <w:lastRenderedPageBreak/>
              <w:t xml:space="preserve">Fábrica de contenidos. </w:t>
            </w:r>
          </w:p>
          <w:p w14:paraId="13898C7F" w14:textId="77777777" w:rsidR="008037A8" w:rsidRDefault="008037A8" w:rsidP="008037A8">
            <w:pPr>
              <w:pStyle w:val="Prrafodelista"/>
              <w:spacing w:line="0" w:lineRule="atLeast"/>
              <w:rPr>
                <w:rFonts w:ascii="Gilroy" w:hAnsi="Gilroy"/>
              </w:rPr>
            </w:pPr>
          </w:p>
          <w:p w14:paraId="01B71FFF" w14:textId="77777777" w:rsidR="008037A8" w:rsidRDefault="008037A8">
            <w:pPr>
              <w:pStyle w:val="Prrafodelista"/>
              <w:numPr>
                <w:ilvl w:val="0"/>
                <w:numId w:val="2"/>
              </w:numPr>
              <w:spacing w:line="0" w:lineRule="atLeast"/>
              <w:rPr>
                <w:rFonts w:ascii="Gilroy" w:hAnsi="Gilroy"/>
              </w:rPr>
            </w:pPr>
            <w:r>
              <w:rPr>
                <w:rFonts w:ascii="Gilroy" w:hAnsi="Gilroy"/>
              </w:rPr>
              <w:t xml:space="preserve">Promotores Tecnológicos. </w:t>
            </w:r>
          </w:p>
          <w:p w14:paraId="69533487" w14:textId="77777777" w:rsidR="008037A8" w:rsidRPr="008037A8" w:rsidRDefault="008037A8" w:rsidP="008037A8">
            <w:pPr>
              <w:pStyle w:val="Prrafodelista"/>
              <w:rPr>
                <w:rFonts w:ascii="Gilroy" w:hAnsi="Gilroy"/>
              </w:rPr>
            </w:pPr>
          </w:p>
          <w:p w14:paraId="46B382A4" w14:textId="697CE1FD" w:rsidR="008037A8" w:rsidRPr="008037A8" w:rsidRDefault="008037A8" w:rsidP="008037A8">
            <w:pPr>
              <w:pStyle w:val="Prrafodelista"/>
              <w:spacing w:line="0" w:lineRule="atLeast"/>
              <w:rPr>
                <w:rFonts w:ascii="Gilroy" w:hAnsi="Gilroy"/>
              </w:rPr>
            </w:pPr>
          </w:p>
        </w:tc>
        <w:tc>
          <w:tcPr>
            <w:tcW w:w="5103" w:type="dxa"/>
          </w:tcPr>
          <w:p w14:paraId="14CA27FE" w14:textId="43A6F183" w:rsidR="00AD52FE" w:rsidRDefault="00AD52FE">
            <w:pPr>
              <w:spacing w:line="0" w:lineRule="atLeast"/>
              <w:jc w:val="both"/>
              <w:rPr>
                <w:rFonts w:ascii="Gilroy" w:hAnsi="Gilroy"/>
              </w:rPr>
            </w:pPr>
            <w:r w:rsidRPr="00AD52FE">
              <w:rPr>
                <w:rFonts w:ascii="Gilroy" w:hAnsi="Gilroy"/>
              </w:rPr>
              <w:lastRenderedPageBreak/>
              <w:t>• Registro, preservación y documentación audiovisual del patrimonio inmaterial e identidades originarias en lenguas maternas.</w:t>
            </w:r>
          </w:p>
          <w:p w14:paraId="77C717A0" w14:textId="77777777" w:rsidR="00E672B5" w:rsidRDefault="00E672B5">
            <w:pPr>
              <w:spacing w:line="0" w:lineRule="atLeast"/>
              <w:jc w:val="both"/>
              <w:rPr>
                <w:rFonts w:ascii="Gilroy" w:hAnsi="Gilroy"/>
              </w:rPr>
            </w:pPr>
          </w:p>
          <w:p w14:paraId="111DE3FE" w14:textId="4AF211F0" w:rsidR="00AD52FE" w:rsidRDefault="00AD52FE">
            <w:pPr>
              <w:spacing w:line="0" w:lineRule="atLeast"/>
              <w:jc w:val="both"/>
              <w:rPr>
                <w:rFonts w:ascii="Gilroy" w:hAnsi="Gilroy"/>
              </w:rPr>
            </w:pPr>
            <w:r w:rsidRPr="00AD52FE">
              <w:rPr>
                <w:rFonts w:ascii="Gilroy" w:hAnsi="Gilroy"/>
              </w:rPr>
              <w:t xml:space="preserve">• Formación técnica y metodológica ("La anatomía del </w:t>
            </w:r>
            <w:proofErr w:type="spellStart"/>
            <w:r w:rsidRPr="00AD52FE">
              <w:rPr>
                <w:rFonts w:ascii="Gilroy" w:hAnsi="Gilroy"/>
              </w:rPr>
              <w:t>click</w:t>
            </w:r>
            <w:proofErr w:type="spellEnd"/>
            <w:r w:rsidRPr="00AD52FE">
              <w:rPr>
                <w:rFonts w:ascii="Gilroy" w:hAnsi="Gilroy"/>
              </w:rPr>
              <w:t xml:space="preserve">") en manejo de audio, iluminación de tres puntos, pantallas verdes y </w:t>
            </w:r>
            <w:proofErr w:type="spellStart"/>
            <w:r w:rsidRPr="00AD52FE">
              <w:rPr>
                <w:rFonts w:ascii="Gilroy" w:hAnsi="Gilroy"/>
                <w:i/>
                <w:iCs/>
              </w:rPr>
              <w:t>mini-pitch</w:t>
            </w:r>
            <w:proofErr w:type="spellEnd"/>
            <w:r w:rsidRPr="00AD52FE">
              <w:rPr>
                <w:rFonts w:ascii="Gilroy" w:hAnsi="Gilroy"/>
              </w:rPr>
              <w:t xml:space="preserve"> comunitarios.</w:t>
            </w:r>
          </w:p>
          <w:p w14:paraId="2557C49C" w14:textId="77777777" w:rsidR="00E672B5" w:rsidRDefault="00E672B5">
            <w:pPr>
              <w:spacing w:line="0" w:lineRule="atLeast"/>
              <w:jc w:val="both"/>
              <w:rPr>
                <w:rFonts w:ascii="Gilroy" w:hAnsi="Gilroy"/>
              </w:rPr>
            </w:pPr>
          </w:p>
          <w:p w14:paraId="378D7F3E" w14:textId="77777777" w:rsidR="00AD52FE" w:rsidRDefault="00AD52FE">
            <w:pPr>
              <w:spacing w:line="0" w:lineRule="atLeast"/>
              <w:jc w:val="both"/>
              <w:rPr>
                <w:rFonts w:ascii="Gilroy" w:hAnsi="Gilroy"/>
              </w:rPr>
            </w:pPr>
            <w:r w:rsidRPr="00AD52FE">
              <w:rPr>
                <w:rFonts w:ascii="Gilroy" w:hAnsi="Gilroy"/>
              </w:rPr>
              <w:lastRenderedPageBreak/>
              <w:t xml:space="preserve">• Asesoría integral para la creación y estructuración formal de piezas digitales interculturales </w:t>
            </w:r>
            <w:proofErr w:type="spellStart"/>
            <w:r w:rsidRPr="00AD52FE">
              <w:rPr>
                <w:rFonts w:ascii="Gilroy" w:hAnsi="Gilroy"/>
              </w:rPr>
              <w:t>autogestivas</w:t>
            </w:r>
            <w:proofErr w:type="spellEnd"/>
            <w:r w:rsidRPr="00AD52FE">
              <w:rPr>
                <w:rFonts w:ascii="Gilroy" w:hAnsi="Gilroy"/>
              </w:rPr>
              <w:t>.</w:t>
            </w:r>
          </w:p>
          <w:p w14:paraId="2D80376F" w14:textId="77777777" w:rsidR="00E672B5" w:rsidRDefault="00E672B5">
            <w:pPr>
              <w:spacing w:line="0" w:lineRule="atLeast"/>
              <w:jc w:val="both"/>
              <w:rPr>
                <w:rFonts w:ascii="Gilroy" w:hAnsi="Gilroy"/>
              </w:rPr>
            </w:pPr>
          </w:p>
          <w:p w14:paraId="6FA7B0A1" w14:textId="3636E5EB" w:rsidR="00E672B5" w:rsidRDefault="00E672B5">
            <w:pPr>
              <w:spacing w:line="0" w:lineRule="atLeast"/>
              <w:jc w:val="both"/>
              <w:rPr>
                <w:rFonts w:ascii="Gilroy" w:hAnsi="Gilroy"/>
              </w:rPr>
            </w:pPr>
          </w:p>
        </w:tc>
      </w:tr>
      <w:tr w:rsidR="00AE1B14" w14:paraId="1CACFCC3" w14:textId="77777777" w:rsidTr="008037A8">
        <w:tc>
          <w:tcPr>
            <w:tcW w:w="2835" w:type="dxa"/>
          </w:tcPr>
          <w:p w14:paraId="2BDD81CB" w14:textId="77777777" w:rsidR="008037A8" w:rsidRPr="008037A8" w:rsidRDefault="008037A8" w:rsidP="00A56EED">
            <w:pPr>
              <w:spacing w:line="0" w:lineRule="atLeast"/>
              <w:jc w:val="center"/>
              <w:rPr>
                <w:rFonts w:ascii="Gilroy" w:hAnsi="Gilroy"/>
                <w:b/>
                <w:bCs/>
              </w:rPr>
            </w:pPr>
          </w:p>
          <w:p w14:paraId="192A80C0" w14:textId="77777777" w:rsidR="008037A8" w:rsidRPr="008037A8" w:rsidRDefault="008037A8" w:rsidP="00A56EED">
            <w:pPr>
              <w:spacing w:line="0" w:lineRule="atLeast"/>
              <w:jc w:val="center"/>
              <w:rPr>
                <w:rFonts w:ascii="Gilroy" w:hAnsi="Gilroy"/>
                <w:b/>
                <w:bCs/>
              </w:rPr>
            </w:pPr>
          </w:p>
          <w:p w14:paraId="47BB0C8C" w14:textId="77777777" w:rsidR="008037A8" w:rsidRPr="008037A8" w:rsidRDefault="008037A8" w:rsidP="00A56EED">
            <w:pPr>
              <w:spacing w:line="0" w:lineRule="atLeast"/>
              <w:jc w:val="center"/>
              <w:rPr>
                <w:rFonts w:ascii="Gilroy" w:hAnsi="Gilroy"/>
                <w:b/>
                <w:bCs/>
              </w:rPr>
            </w:pPr>
          </w:p>
          <w:p w14:paraId="42BADF83" w14:textId="0E9A1241" w:rsidR="00AE1B14" w:rsidRPr="008037A8" w:rsidRDefault="00A56EED" w:rsidP="00A56EED">
            <w:pPr>
              <w:spacing w:line="0" w:lineRule="atLeast"/>
              <w:jc w:val="center"/>
              <w:rPr>
                <w:rFonts w:ascii="Gilroy" w:hAnsi="Gilroy"/>
                <w:b/>
                <w:bCs/>
              </w:rPr>
            </w:pPr>
            <w:r w:rsidRPr="008037A8">
              <w:rPr>
                <w:rFonts w:ascii="Gilroy" w:hAnsi="Gilroy"/>
                <w:b/>
                <w:bCs/>
              </w:rPr>
              <w:t>Desarrollo Económico Comunitario.</w:t>
            </w:r>
          </w:p>
        </w:tc>
        <w:tc>
          <w:tcPr>
            <w:tcW w:w="3261" w:type="dxa"/>
          </w:tcPr>
          <w:p w14:paraId="26891A56" w14:textId="77777777" w:rsidR="00AE1B14" w:rsidRDefault="008037A8">
            <w:pPr>
              <w:pStyle w:val="Prrafodelista"/>
              <w:numPr>
                <w:ilvl w:val="0"/>
                <w:numId w:val="2"/>
              </w:numPr>
              <w:spacing w:line="0" w:lineRule="atLeast"/>
              <w:rPr>
                <w:rFonts w:ascii="Gilroy" w:hAnsi="Gilroy"/>
              </w:rPr>
            </w:pPr>
            <w:r>
              <w:rPr>
                <w:rFonts w:ascii="Gilroy" w:hAnsi="Gilroy"/>
              </w:rPr>
              <w:t xml:space="preserve">Laboratorios </w:t>
            </w:r>
            <w:proofErr w:type="spellStart"/>
            <w:r>
              <w:rPr>
                <w:rFonts w:ascii="Gilroy" w:hAnsi="Gilroy"/>
              </w:rPr>
              <w:t>Tekitl</w:t>
            </w:r>
            <w:proofErr w:type="spellEnd"/>
            <w:r>
              <w:rPr>
                <w:rFonts w:ascii="Gilroy" w:hAnsi="Gilroy"/>
              </w:rPr>
              <w:t xml:space="preserve"> (</w:t>
            </w:r>
            <w:proofErr w:type="spellStart"/>
            <w:r>
              <w:rPr>
                <w:rFonts w:ascii="Gilroy" w:hAnsi="Gilroy"/>
              </w:rPr>
              <w:t>Tekitl</w:t>
            </w:r>
            <w:proofErr w:type="spellEnd"/>
            <w:r>
              <w:rPr>
                <w:rFonts w:ascii="Gilroy" w:hAnsi="Gilroy"/>
              </w:rPr>
              <w:t xml:space="preserve">- </w:t>
            </w:r>
            <w:proofErr w:type="spellStart"/>
            <w:r>
              <w:rPr>
                <w:rFonts w:ascii="Gilroy" w:hAnsi="Gilroy"/>
              </w:rPr>
              <w:t>Labs</w:t>
            </w:r>
            <w:proofErr w:type="spellEnd"/>
            <w:r>
              <w:rPr>
                <w:rFonts w:ascii="Gilroy" w:hAnsi="Gilroy"/>
              </w:rPr>
              <w:t xml:space="preserve">) </w:t>
            </w:r>
          </w:p>
          <w:p w14:paraId="3D1E88BE" w14:textId="77777777" w:rsidR="008037A8" w:rsidRDefault="008037A8" w:rsidP="008037A8">
            <w:pPr>
              <w:pStyle w:val="Prrafodelista"/>
              <w:spacing w:line="0" w:lineRule="atLeast"/>
              <w:rPr>
                <w:rFonts w:ascii="Gilroy" w:hAnsi="Gilroy"/>
              </w:rPr>
            </w:pPr>
          </w:p>
          <w:p w14:paraId="07A5BCD2" w14:textId="77777777" w:rsidR="00E672B5" w:rsidRDefault="00E672B5" w:rsidP="008037A8">
            <w:pPr>
              <w:pStyle w:val="Prrafodelista"/>
              <w:spacing w:line="0" w:lineRule="atLeast"/>
              <w:rPr>
                <w:rFonts w:ascii="Gilroy" w:hAnsi="Gilroy"/>
              </w:rPr>
            </w:pPr>
          </w:p>
          <w:p w14:paraId="28A9F5B5" w14:textId="77777777" w:rsidR="00E672B5" w:rsidRDefault="00E672B5" w:rsidP="008037A8">
            <w:pPr>
              <w:pStyle w:val="Prrafodelista"/>
              <w:spacing w:line="0" w:lineRule="atLeast"/>
              <w:rPr>
                <w:rFonts w:ascii="Gilroy" w:hAnsi="Gilroy"/>
              </w:rPr>
            </w:pPr>
          </w:p>
          <w:p w14:paraId="1A3947E9" w14:textId="77777777" w:rsidR="008037A8" w:rsidRDefault="008037A8">
            <w:pPr>
              <w:pStyle w:val="Prrafodelista"/>
              <w:numPr>
                <w:ilvl w:val="0"/>
                <w:numId w:val="2"/>
              </w:numPr>
              <w:spacing w:line="0" w:lineRule="atLeast"/>
              <w:rPr>
                <w:rFonts w:ascii="Gilroy" w:hAnsi="Gilroy"/>
              </w:rPr>
            </w:pPr>
            <w:r>
              <w:rPr>
                <w:rFonts w:ascii="Gilroy" w:hAnsi="Gilroy"/>
              </w:rPr>
              <w:t>Módulos de Apropiación Digital.</w:t>
            </w:r>
          </w:p>
          <w:p w14:paraId="2288666D" w14:textId="77777777" w:rsidR="008037A8" w:rsidRDefault="008037A8" w:rsidP="008037A8">
            <w:pPr>
              <w:pStyle w:val="Prrafodelista"/>
              <w:rPr>
                <w:rFonts w:ascii="Gilroy" w:hAnsi="Gilroy"/>
              </w:rPr>
            </w:pPr>
          </w:p>
          <w:p w14:paraId="3474BA8D" w14:textId="77777777" w:rsidR="00E672B5" w:rsidRDefault="00E672B5" w:rsidP="008037A8">
            <w:pPr>
              <w:pStyle w:val="Prrafodelista"/>
              <w:rPr>
                <w:rFonts w:ascii="Gilroy" w:hAnsi="Gilroy"/>
              </w:rPr>
            </w:pPr>
          </w:p>
          <w:p w14:paraId="13528AF0" w14:textId="1B43DA3A" w:rsidR="008037A8" w:rsidRPr="00E672B5" w:rsidRDefault="008037A8" w:rsidP="00E672B5">
            <w:pPr>
              <w:spacing w:line="0" w:lineRule="atLeast"/>
              <w:rPr>
                <w:rFonts w:ascii="Gilroy" w:hAnsi="Gilroy"/>
              </w:rPr>
            </w:pPr>
          </w:p>
          <w:p w14:paraId="59FFC3AC" w14:textId="77777777" w:rsidR="008037A8" w:rsidRDefault="008037A8">
            <w:pPr>
              <w:pStyle w:val="Prrafodelista"/>
              <w:numPr>
                <w:ilvl w:val="0"/>
                <w:numId w:val="2"/>
              </w:numPr>
              <w:spacing w:line="0" w:lineRule="atLeast"/>
              <w:rPr>
                <w:rFonts w:ascii="Gilroy" w:hAnsi="Gilroy"/>
              </w:rPr>
            </w:pPr>
            <w:r>
              <w:rPr>
                <w:rFonts w:ascii="Gilroy" w:hAnsi="Gilroy"/>
              </w:rPr>
              <w:t>Casa de proyectos.</w:t>
            </w:r>
          </w:p>
          <w:p w14:paraId="161D8181" w14:textId="4FAA7964" w:rsidR="008037A8" w:rsidRPr="008037A8" w:rsidRDefault="008037A8" w:rsidP="008037A8">
            <w:pPr>
              <w:pStyle w:val="Prrafodelista"/>
              <w:spacing w:line="0" w:lineRule="atLeast"/>
              <w:rPr>
                <w:rFonts w:ascii="Gilroy" w:hAnsi="Gilroy"/>
              </w:rPr>
            </w:pPr>
            <w:r>
              <w:rPr>
                <w:rFonts w:ascii="Gilroy" w:hAnsi="Gilroy"/>
              </w:rPr>
              <w:t xml:space="preserve"> </w:t>
            </w:r>
          </w:p>
        </w:tc>
        <w:tc>
          <w:tcPr>
            <w:tcW w:w="5103" w:type="dxa"/>
          </w:tcPr>
          <w:p w14:paraId="15A9A6BF" w14:textId="77777777" w:rsidR="008037A8" w:rsidRDefault="008037A8" w:rsidP="008037A8">
            <w:pPr>
              <w:pStyle w:val="Default"/>
              <w:jc w:val="both"/>
              <w:rPr>
                <w:rFonts w:ascii="Gilroy" w:hAnsi="Gilroy"/>
                <w:sz w:val="22"/>
                <w:szCs w:val="22"/>
              </w:rPr>
            </w:pPr>
          </w:p>
          <w:p w14:paraId="7681E9CA" w14:textId="77777777" w:rsidR="00AE1B14" w:rsidRDefault="00E672B5">
            <w:pPr>
              <w:spacing w:line="0" w:lineRule="atLeast"/>
              <w:jc w:val="both"/>
              <w:rPr>
                <w:rFonts w:ascii="Gilroy" w:hAnsi="Gilroy"/>
              </w:rPr>
            </w:pPr>
            <w:r w:rsidRPr="00E672B5">
              <w:rPr>
                <w:rFonts w:ascii="Gilroy" w:hAnsi="Gilroy"/>
              </w:rPr>
              <w:t>• Fotografía de producto con calidad de catálogo para artesanías y herramientas para el e-</w:t>
            </w:r>
            <w:proofErr w:type="spellStart"/>
            <w:r w:rsidRPr="00E672B5">
              <w:rPr>
                <w:rFonts w:ascii="Gilroy" w:hAnsi="Gilroy"/>
              </w:rPr>
              <w:t>commerce</w:t>
            </w:r>
            <w:proofErr w:type="spellEnd"/>
            <w:r w:rsidRPr="00E672B5">
              <w:rPr>
                <w:rFonts w:ascii="Gilroy" w:hAnsi="Gilroy"/>
              </w:rPr>
              <w:t xml:space="preserve"> e impulso al comercio justo.</w:t>
            </w:r>
          </w:p>
          <w:p w14:paraId="30720196" w14:textId="77777777" w:rsidR="00E672B5" w:rsidRDefault="00E672B5">
            <w:pPr>
              <w:spacing w:line="0" w:lineRule="atLeast"/>
              <w:jc w:val="both"/>
              <w:rPr>
                <w:rFonts w:ascii="Gilroy" w:hAnsi="Gilroy"/>
              </w:rPr>
            </w:pPr>
          </w:p>
          <w:p w14:paraId="46AF1A19" w14:textId="77777777" w:rsidR="00E672B5" w:rsidRDefault="00E672B5">
            <w:pPr>
              <w:spacing w:line="0" w:lineRule="atLeast"/>
              <w:jc w:val="both"/>
              <w:rPr>
                <w:rFonts w:ascii="Gilroy" w:hAnsi="Gilroy"/>
              </w:rPr>
            </w:pPr>
            <w:r w:rsidRPr="00E672B5">
              <w:rPr>
                <w:rFonts w:ascii="Gilroy" w:hAnsi="Gilroy"/>
              </w:rPr>
              <w:t xml:space="preserve">• Fabricación </w:t>
            </w:r>
            <w:proofErr w:type="spellStart"/>
            <w:r w:rsidRPr="00E672B5">
              <w:rPr>
                <w:rFonts w:ascii="Gilroy" w:hAnsi="Gilroy"/>
              </w:rPr>
              <w:t>autogestiva</w:t>
            </w:r>
            <w:proofErr w:type="spellEnd"/>
            <w:r w:rsidRPr="00E672B5">
              <w:rPr>
                <w:rFonts w:ascii="Gilroy" w:hAnsi="Gilroy"/>
              </w:rPr>
              <w:t xml:space="preserve"> de dispositivos tecnológicos y mecánicos para el trabajo local (parrillas térmicas, cargadores, bombas de agua, bocinas).</w:t>
            </w:r>
          </w:p>
          <w:p w14:paraId="149F9873" w14:textId="77777777" w:rsidR="00E672B5" w:rsidRDefault="00E672B5">
            <w:pPr>
              <w:spacing w:line="0" w:lineRule="atLeast"/>
              <w:jc w:val="both"/>
              <w:rPr>
                <w:rFonts w:ascii="Gilroy" w:hAnsi="Gilroy"/>
              </w:rPr>
            </w:pPr>
          </w:p>
          <w:p w14:paraId="04FDEE56" w14:textId="40E45FC1" w:rsidR="00E672B5" w:rsidRDefault="00E672B5">
            <w:pPr>
              <w:spacing w:line="0" w:lineRule="atLeast"/>
              <w:jc w:val="both"/>
              <w:rPr>
                <w:rFonts w:ascii="Gilroy" w:hAnsi="Gilroy"/>
              </w:rPr>
            </w:pPr>
            <w:r w:rsidRPr="00E672B5">
              <w:rPr>
                <w:rFonts w:ascii="Gilroy" w:hAnsi="Gilroy"/>
              </w:rPr>
              <w:t>• Recepción y acompañamiento de proyectos productivos locales en materia agrícola y de desarrollo comunitario.</w:t>
            </w:r>
          </w:p>
        </w:tc>
      </w:tr>
    </w:tbl>
    <w:p w14:paraId="2DF4C28D" w14:textId="77777777" w:rsidR="00AE1B14" w:rsidRDefault="00AE1B14">
      <w:pPr>
        <w:spacing w:after="0" w:line="0" w:lineRule="atLeast"/>
        <w:jc w:val="both"/>
        <w:rPr>
          <w:rFonts w:ascii="Gilroy" w:hAnsi="Gilroy"/>
        </w:rPr>
      </w:pPr>
    </w:p>
    <w:p w14:paraId="4A0C6A9B" w14:textId="77777777" w:rsidR="00E672B5" w:rsidRDefault="00E672B5">
      <w:pPr>
        <w:spacing w:after="0" w:line="0" w:lineRule="atLeast"/>
        <w:jc w:val="both"/>
        <w:rPr>
          <w:rFonts w:ascii="Gilroy" w:hAnsi="Gilroy"/>
        </w:rPr>
      </w:pPr>
    </w:p>
    <w:p w14:paraId="3799D0CB" w14:textId="77777777" w:rsidR="00E672B5" w:rsidRDefault="00E672B5">
      <w:pPr>
        <w:spacing w:after="0" w:line="0" w:lineRule="atLeast"/>
        <w:jc w:val="both"/>
        <w:rPr>
          <w:rFonts w:ascii="Gilroy" w:hAnsi="Gilroy"/>
        </w:rPr>
      </w:pPr>
    </w:p>
    <w:p w14:paraId="506F9421"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IV. GOBERNANZA, INFRAESTRUCTURA TÉCNICA Y SEGURIDAD DE DATOS </w:t>
      </w:r>
    </w:p>
    <w:p w14:paraId="6392864F"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4.1 Modelo de Soberanía Tecnológica (Bioética Social) </w:t>
      </w:r>
    </w:p>
    <w:p w14:paraId="07377A1E" w14:textId="77777777" w:rsidR="00E672B5" w:rsidRPr="00E672B5" w:rsidRDefault="00E672B5" w:rsidP="00E672B5">
      <w:pPr>
        <w:spacing w:after="0" w:line="0" w:lineRule="atLeast"/>
        <w:jc w:val="both"/>
        <w:rPr>
          <w:rFonts w:ascii="Gilroy" w:hAnsi="Gilroy"/>
        </w:rPr>
      </w:pPr>
      <w:r w:rsidRPr="00E672B5">
        <w:rPr>
          <w:rFonts w:ascii="Gilroy" w:hAnsi="Gilroy"/>
        </w:rPr>
        <w:t xml:space="preserve">En estricto cumplimiento con la Bioética Social y el principio de no maleficencia, el NITC establece un blindaje institucional absoluto sobre la información generada en los territorios: </w:t>
      </w:r>
    </w:p>
    <w:p w14:paraId="76547636" w14:textId="77777777" w:rsidR="00E672B5" w:rsidRPr="00E672B5" w:rsidRDefault="00E672B5" w:rsidP="00E672B5">
      <w:pPr>
        <w:numPr>
          <w:ilvl w:val="0"/>
          <w:numId w:val="3"/>
        </w:numPr>
        <w:spacing w:after="0" w:line="0" w:lineRule="atLeast"/>
        <w:jc w:val="both"/>
        <w:rPr>
          <w:rFonts w:ascii="Gilroy" w:hAnsi="Gilroy"/>
        </w:rPr>
      </w:pPr>
      <w:r w:rsidRPr="00E672B5">
        <w:rPr>
          <w:rFonts w:ascii="Gilroy" w:hAnsi="Gilroy"/>
          <w:b/>
          <w:bCs/>
        </w:rPr>
        <w:t xml:space="preserve">Propiedad Intelectual Inviolable: </w:t>
      </w:r>
      <w:r w:rsidRPr="00E672B5">
        <w:rPr>
          <w:rFonts w:ascii="Gilroy" w:hAnsi="Gilroy"/>
        </w:rPr>
        <w:t xml:space="preserve">El código fuente, la arquitectura de datos y los diseños modulares pertenecen exclusivamente al Gobierno del Estado de Puebla, bajo la administración directa del IPPI. </w:t>
      </w:r>
    </w:p>
    <w:p w14:paraId="2147E0FE" w14:textId="77777777" w:rsidR="00E672B5" w:rsidRPr="00E672B5" w:rsidRDefault="00E672B5" w:rsidP="00E672B5">
      <w:pPr>
        <w:numPr>
          <w:ilvl w:val="0"/>
          <w:numId w:val="3"/>
        </w:numPr>
        <w:spacing w:after="0" w:line="0" w:lineRule="atLeast"/>
        <w:jc w:val="both"/>
        <w:rPr>
          <w:rFonts w:ascii="Gilroy" w:hAnsi="Gilroy"/>
        </w:rPr>
      </w:pPr>
      <w:r w:rsidRPr="00E672B5">
        <w:rPr>
          <w:rFonts w:ascii="Gilroy" w:hAnsi="Gilroy"/>
          <w:b/>
          <w:bCs/>
        </w:rPr>
        <w:t xml:space="preserve">Alojamiento en Servidores Públicos Seguros: </w:t>
      </w:r>
      <w:r w:rsidRPr="00E672B5">
        <w:rPr>
          <w:rFonts w:ascii="Gilroy" w:hAnsi="Gilroy"/>
        </w:rPr>
        <w:t xml:space="preserve">Ningún dato comunitario, padrón de artesanos, registro lingüístico o acta de asamblea residirá en nubes comerciales externas o corporaciones privadas extranjeras; todo se almacena en la infraestructura oficial del estado. </w:t>
      </w:r>
    </w:p>
    <w:p w14:paraId="5D8F2EFD" w14:textId="77777777" w:rsidR="00E672B5" w:rsidRPr="00E672B5" w:rsidRDefault="00E672B5" w:rsidP="00E672B5">
      <w:pPr>
        <w:numPr>
          <w:ilvl w:val="0"/>
          <w:numId w:val="3"/>
        </w:numPr>
        <w:spacing w:after="0" w:line="0" w:lineRule="atLeast"/>
        <w:jc w:val="both"/>
        <w:rPr>
          <w:rFonts w:ascii="Gilroy" w:hAnsi="Gilroy"/>
        </w:rPr>
      </w:pPr>
      <w:r w:rsidRPr="00E672B5">
        <w:rPr>
          <w:rFonts w:ascii="Gilroy" w:hAnsi="Gilroy"/>
          <w:b/>
          <w:bCs/>
        </w:rPr>
        <w:t xml:space="preserve">Filosofía de Código Abierto (Open </w:t>
      </w:r>
      <w:proofErr w:type="spellStart"/>
      <w:r w:rsidRPr="00E672B5">
        <w:rPr>
          <w:rFonts w:ascii="Gilroy" w:hAnsi="Gilroy"/>
          <w:b/>
          <w:bCs/>
        </w:rPr>
        <w:t>Source</w:t>
      </w:r>
      <w:proofErr w:type="spellEnd"/>
      <w:r w:rsidRPr="00E672B5">
        <w:rPr>
          <w:rFonts w:ascii="Gilroy" w:hAnsi="Gilroy"/>
          <w:b/>
          <w:bCs/>
        </w:rPr>
        <w:t xml:space="preserve">): </w:t>
      </w:r>
      <w:r w:rsidRPr="00E672B5">
        <w:rPr>
          <w:rFonts w:ascii="Gilroy" w:hAnsi="Gilroy"/>
        </w:rPr>
        <w:t xml:space="preserve">Se priorizan estándares auditables, sostenibles y libres de licencias comerciales onerosas. </w:t>
      </w:r>
    </w:p>
    <w:p w14:paraId="590A7B06" w14:textId="77777777" w:rsidR="00E672B5" w:rsidRPr="00E672B5" w:rsidRDefault="00E672B5" w:rsidP="00E672B5">
      <w:pPr>
        <w:spacing w:after="0" w:line="0" w:lineRule="atLeast"/>
        <w:jc w:val="both"/>
        <w:rPr>
          <w:rFonts w:ascii="Gilroy" w:hAnsi="Gilroy"/>
        </w:rPr>
      </w:pPr>
    </w:p>
    <w:p w14:paraId="021E6A3A"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4.2 Gobernanza Multinivel </w:t>
      </w:r>
    </w:p>
    <w:p w14:paraId="63DDECC3"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 xml:space="preserve">Nodo Rector (IPPI): </w:t>
      </w:r>
      <w:r w:rsidRPr="00E672B5">
        <w:rPr>
          <w:rFonts w:ascii="Gilroy" w:hAnsi="Gilroy"/>
        </w:rPr>
        <w:t xml:space="preserve">Coordina la pertinencia cultural, la vinculación comunitaria y la rectoría de los contenidos dentro del espacio físico. </w:t>
      </w:r>
    </w:p>
    <w:p w14:paraId="53D0EFCC"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 xml:space="preserve">Soporte Tecnológico (SECIHTI y Áreas de TI): </w:t>
      </w:r>
      <w:r w:rsidRPr="00E672B5">
        <w:rPr>
          <w:rFonts w:ascii="Gilroy" w:hAnsi="Gilroy"/>
        </w:rPr>
        <w:t xml:space="preserve">Garantiza la ciberseguridad, el mantenimiento del Bus de Interoperabilidad y la infraestructura de servidores. </w:t>
      </w:r>
    </w:p>
    <w:p w14:paraId="118C58BA"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Alineación Presupuestal (</w:t>
      </w:r>
      <w:proofErr w:type="spellStart"/>
      <w:r w:rsidRPr="00E672B5">
        <w:rPr>
          <w:rFonts w:ascii="Gilroy" w:hAnsi="Gilroy"/>
          <w:b/>
          <w:bCs/>
        </w:rPr>
        <w:t>SPFyA</w:t>
      </w:r>
      <w:proofErr w:type="spellEnd"/>
      <w:r w:rsidRPr="00E672B5">
        <w:rPr>
          <w:rFonts w:ascii="Gilroy" w:hAnsi="Gilroy"/>
          <w:b/>
          <w:bCs/>
        </w:rPr>
        <w:t xml:space="preserve">): </w:t>
      </w:r>
      <w:r w:rsidRPr="00E672B5">
        <w:rPr>
          <w:rFonts w:ascii="Gilroy" w:hAnsi="Gilroy"/>
        </w:rPr>
        <w:t xml:space="preserve">Emite los lineamientos de obligatoriedad transversal para que las dependencias alimenten el sistema. </w:t>
      </w:r>
    </w:p>
    <w:p w14:paraId="50349576"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 xml:space="preserve">Validación Social (Consejo Estatal de Pueblos Indígenas y Afromexicano): </w:t>
      </w:r>
      <w:r w:rsidRPr="00E672B5">
        <w:rPr>
          <w:rFonts w:ascii="Gilroy" w:hAnsi="Gilroy"/>
        </w:rPr>
        <w:t xml:space="preserve">Órgano vigilante que asegura la congruencia con los mandatos de la Consulta Indígena </w:t>
      </w:r>
    </w:p>
    <w:p w14:paraId="0C56AB0F" w14:textId="77777777" w:rsidR="00E672B5" w:rsidRPr="00E672B5" w:rsidRDefault="00E672B5" w:rsidP="00E672B5">
      <w:pPr>
        <w:spacing w:after="0" w:line="0" w:lineRule="atLeast"/>
        <w:jc w:val="both"/>
        <w:rPr>
          <w:rFonts w:ascii="Gilroy" w:hAnsi="Gilroy"/>
        </w:rPr>
      </w:pPr>
      <w:r w:rsidRPr="00E672B5">
        <w:rPr>
          <w:rFonts w:ascii="Gilroy" w:hAnsi="Gilroy"/>
        </w:rPr>
        <w:t xml:space="preserve">Tel. 222 279 9605 </w:t>
      </w:r>
    </w:p>
    <w:p w14:paraId="73ED1418" w14:textId="77777777" w:rsidR="00E672B5" w:rsidRPr="00E672B5" w:rsidRDefault="00E672B5" w:rsidP="00E672B5">
      <w:pPr>
        <w:spacing w:after="0" w:line="0" w:lineRule="atLeast"/>
        <w:jc w:val="both"/>
        <w:rPr>
          <w:rFonts w:ascii="Gilroy" w:hAnsi="Gilroy"/>
        </w:rPr>
      </w:pPr>
    </w:p>
    <w:p w14:paraId="21E82DD5" w14:textId="77777777" w:rsidR="00E672B5" w:rsidRDefault="00E672B5" w:rsidP="00E672B5">
      <w:pPr>
        <w:spacing w:after="0" w:line="0" w:lineRule="atLeast"/>
        <w:jc w:val="both"/>
        <w:rPr>
          <w:rFonts w:ascii="Gilroy" w:hAnsi="Gilroy"/>
          <w:b/>
          <w:bCs/>
        </w:rPr>
      </w:pPr>
    </w:p>
    <w:p w14:paraId="6928DF04" w14:textId="041B2F09" w:rsidR="00E672B5" w:rsidRPr="00E672B5" w:rsidRDefault="00E672B5" w:rsidP="00E672B5">
      <w:pPr>
        <w:spacing w:after="0" w:line="0" w:lineRule="atLeast"/>
        <w:jc w:val="both"/>
        <w:rPr>
          <w:rFonts w:ascii="Gilroy" w:hAnsi="Gilroy"/>
        </w:rPr>
      </w:pPr>
      <w:r w:rsidRPr="00E672B5">
        <w:rPr>
          <w:rFonts w:ascii="Gilroy" w:hAnsi="Gilroy"/>
          <w:b/>
          <w:bCs/>
        </w:rPr>
        <w:t xml:space="preserve">V. RUTA CRÍTICA DE IMPLEMENTACIÓN Y DESPLIEGUE TERRITORIAL </w:t>
      </w:r>
    </w:p>
    <w:p w14:paraId="600097DC" w14:textId="77777777" w:rsidR="00E672B5" w:rsidRPr="00E672B5" w:rsidRDefault="00E672B5" w:rsidP="00E672B5">
      <w:pPr>
        <w:spacing w:after="0" w:line="0" w:lineRule="atLeast"/>
        <w:jc w:val="both"/>
        <w:rPr>
          <w:rFonts w:ascii="Gilroy" w:hAnsi="Gilroy"/>
        </w:rPr>
      </w:pPr>
      <w:r w:rsidRPr="00E672B5">
        <w:rPr>
          <w:rFonts w:ascii="Gilroy" w:hAnsi="Gilroy"/>
        </w:rPr>
        <w:lastRenderedPageBreak/>
        <w:t xml:space="preserve">Para asegurar el éxito operativo del Nodo de Innovación Tecnológica Comunitaria (NITC), se establece un programa de trabajo estructurado en cuatro fases secuenciales: </w:t>
      </w:r>
    </w:p>
    <w:p w14:paraId="11CEB2FC"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1: Consolidación Normativa e Infraestructura Base (Meses 1 - 3): </w:t>
      </w:r>
    </w:p>
    <w:p w14:paraId="41B51BC7" w14:textId="77777777" w:rsidR="00E672B5" w:rsidRPr="00E672B5" w:rsidRDefault="00E672B5" w:rsidP="00E672B5">
      <w:pPr>
        <w:numPr>
          <w:ilvl w:val="0"/>
          <w:numId w:val="5"/>
        </w:numPr>
        <w:spacing w:after="0" w:line="0" w:lineRule="atLeast"/>
        <w:jc w:val="both"/>
        <w:rPr>
          <w:rFonts w:ascii="Gilroy" w:hAnsi="Gilroy"/>
        </w:rPr>
      </w:pPr>
      <w:r w:rsidRPr="00E672B5">
        <w:rPr>
          <w:rFonts w:ascii="Gilroy" w:hAnsi="Gilroy"/>
        </w:rPr>
        <w:t xml:space="preserve">Habilitación física del espacio del NITC y de los servidores seguros bajo la custodia del IPPI y la SECIHTI. </w:t>
      </w:r>
    </w:p>
    <w:p w14:paraId="5BF77DE7" w14:textId="77777777" w:rsidR="00E672B5" w:rsidRPr="00E672B5" w:rsidRDefault="00E672B5" w:rsidP="00E672B5">
      <w:pPr>
        <w:numPr>
          <w:ilvl w:val="0"/>
          <w:numId w:val="5"/>
        </w:numPr>
        <w:spacing w:after="0" w:line="0" w:lineRule="atLeast"/>
        <w:jc w:val="both"/>
        <w:rPr>
          <w:rFonts w:ascii="Gilroy" w:hAnsi="Gilroy"/>
        </w:rPr>
      </w:pPr>
      <w:r w:rsidRPr="00E672B5">
        <w:rPr>
          <w:rFonts w:ascii="Gilroy" w:hAnsi="Gilroy"/>
        </w:rPr>
        <w:t xml:space="preserve">Firma de convenios interinstitucionales de interoperabilidad con las dependencias ancla (Registro Civil, Secretaría de Salud, Secretaría de Bienestar). </w:t>
      </w:r>
    </w:p>
    <w:p w14:paraId="40A5F43D" w14:textId="77777777" w:rsidR="00E672B5" w:rsidRPr="00E672B5" w:rsidRDefault="00E672B5" w:rsidP="00E672B5">
      <w:pPr>
        <w:spacing w:after="0" w:line="0" w:lineRule="atLeast"/>
        <w:jc w:val="both"/>
        <w:rPr>
          <w:rFonts w:ascii="Gilroy" w:hAnsi="Gilroy"/>
        </w:rPr>
      </w:pPr>
    </w:p>
    <w:p w14:paraId="3997A286"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2: Integración de Módulos y Ejes en la Infraestructura (Meses 4 - 8): </w:t>
      </w:r>
    </w:p>
    <w:p w14:paraId="0942CAC5" w14:textId="77777777" w:rsidR="00E672B5" w:rsidRPr="00E672B5" w:rsidRDefault="00E672B5" w:rsidP="00E672B5">
      <w:pPr>
        <w:numPr>
          <w:ilvl w:val="0"/>
          <w:numId w:val="6"/>
        </w:numPr>
        <w:spacing w:after="0" w:line="0" w:lineRule="atLeast"/>
        <w:jc w:val="both"/>
        <w:rPr>
          <w:rFonts w:ascii="Gilroy" w:hAnsi="Gilroy"/>
        </w:rPr>
      </w:pPr>
      <w:r w:rsidRPr="00E672B5">
        <w:rPr>
          <w:rFonts w:ascii="Gilroy" w:hAnsi="Gilroy"/>
        </w:rPr>
        <w:t xml:space="preserve">Carga estructurada de los catálogos de los </w:t>
      </w:r>
      <w:proofErr w:type="spellStart"/>
      <w:r w:rsidRPr="00E672B5">
        <w:rPr>
          <w:rFonts w:ascii="Gilroy" w:hAnsi="Gilroy"/>
        </w:rPr>
        <w:t>Tekitl</w:t>
      </w:r>
      <w:proofErr w:type="spellEnd"/>
      <w:r w:rsidRPr="00E672B5">
        <w:rPr>
          <w:rFonts w:ascii="Gilroy" w:hAnsi="Gilroy"/>
        </w:rPr>
        <w:t xml:space="preserve"> </w:t>
      </w:r>
      <w:proofErr w:type="spellStart"/>
      <w:r w:rsidRPr="00E672B5">
        <w:rPr>
          <w:rFonts w:ascii="Gilroy" w:hAnsi="Gilroy"/>
        </w:rPr>
        <w:t>Labs</w:t>
      </w:r>
      <w:proofErr w:type="spellEnd"/>
      <w:r w:rsidRPr="00E672B5">
        <w:rPr>
          <w:rFonts w:ascii="Gilroy" w:hAnsi="Gilroy"/>
        </w:rPr>
        <w:t xml:space="preserve">, los Módulos de Apropiación Digital, la Fábrica de Contenidos y el Bus de Interoperabilidad dentro del espacio físico. </w:t>
      </w:r>
    </w:p>
    <w:p w14:paraId="6269A41B" w14:textId="77777777" w:rsidR="00E672B5" w:rsidRPr="00E672B5" w:rsidRDefault="00E672B5" w:rsidP="00E672B5">
      <w:pPr>
        <w:numPr>
          <w:ilvl w:val="0"/>
          <w:numId w:val="6"/>
        </w:numPr>
        <w:spacing w:after="0" w:line="0" w:lineRule="atLeast"/>
        <w:jc w:val="both"/>
        <w:rPr>
          <w:rFonts w:ascii="Gilroy" w:hAnsi="Gilroy"/>
        </w:rPr>
      </w:pPr>
      <w:r w:rsidRPr="00E672B5">
        <w:rPr>
          <w:rFonts w:ascii="Gilroy" w:hAnsi="Gilroy"/>
        </w:rPr>
        <w:t xml:space="preserve">Configuración del módulo cartográfico interactivo y de los protocolos de compresión de datos para zonas de baja conectividad. </w:t>
      </w:r>
    </w:p>
    <w:p w14:paraId="09C99706" w14:textId="77777777" w:rsidR="00E672B5" w:rsidRPr="00E672B5" w:rsidRDefault="00E672B5" w:rsidP="00E672B5">
      <w:pPr>
        <w:spacing w:after="0" w:line="0" w:lineRule="atLeast"/>
        <w:jc w:val="both"/>
        <w:rPr>
          <w:rFonts w:ascii="Gilroy" w:hAnsi="Gilroy"/>
        </w:rPr>
      </w:pPr>
    </w:p>
    <w:p w14:paraId="15B37449"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3: Despliegue Piloto en Territorio (Meses 9 - 12): </w:t>
      </w:r>
    </w:p>
    <w:p w14:paraId="2080C35A" w14:textId="77777777" w:rsidR="00E672B5" w:rsidRPr="00E672B5" w:rsidRDefault="00E672B5" w:rsidP="00E672B5">
      <w:pPr>
        <w:numPr>
          <w:ilvl w:val="0"/>
          <w:numId w:val="7"/>
        </w:numPr>
        <w:spacing w:after="0" w:line="0" w:lineRule="atLeast"/>
        <w:jc w:val="both"/>
        <w:rPr>
          <w:rFonts w:ascii="Gilroy" w:hAnsi="Gilroy"/>
        </w:rPr>
      </w:pPr>
      <w:r w:rsidRPr="00E672B5">
        <w:rPr>
          <w:rFonts w:ascii="Gilroy" w:hAnsi="Gilroy"/>
        </w:rPr>
        <w:t xml:space="preserve">Instalación de los primeros Módulos Digitales, apertura de la Casa de Proyectos y distribución de kits didácticos en los 20 municipios prioritarios con mayor densidad de población indígena. </w:t>
      </w:r>
    </w:p>
    <w:p w14:paraId="06D31B55" w14:textId="77777777" w:rsidR="00E672B5" w:rsidRPr="00E672B5" w:rsidRDefault="00E672B5" w:rsidP="00E672B5">
      <w:pPr>
        <w:numPr>
          <w:ilvl w:val="0"/>
          <w:numId w:val="7"/>
        </w:numPr>
        <w:spacing w:after="0" w:line="0" w:lineRule="atLeast"/>
        <w:jc w:val="both"/>
        <w:rPr>
          <w:rFonts w:ascii="Gilroy" w:hAnsi="Gilroy"/>
        </w:rPr>
      </w:pPr>
      <w:r w:rsidRPr="00E672B5">
        <w:rPr>
          <w:rFonts w:ascii="Gilroy" w:hAnsi="Gilroy"/>
        </w:rPr>
        <w:t xml:space="preserve">Activación del sistema de solicitudes y operación de los servidores locales Offline-First en escuelas bilingües. </w:t>
      </w:r>
    </w:p>
    <w:p w14:paraId="6BCC31DD" w14:textId="77777777" w:rsidR="00E672B5" w:rsidRPr="00E672B5" w:rsidRDefault="00E672B5" w:rsidP="00E672B5">
      <w:pPr>
        <w:spacing w:after="0" w:line="0" w:lineRule="atLeast"/>
        <w:jc w:val="both"/>
        <w:rPr>
          <w:rFonts w:ascii="Gilroy" w:hAnsi="Gilroy"/>
        </w:rPr>
      </w:pPr>
    </w:p>
    <w:p w14:paraId="13A1EF03"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4: Evaluación de Impacto y Auditoría Social (Meses 13 - 15): </w:t>
      </w:r>
    </w:p>
    <w:p w14:paraId="465B0627" w14:textId="77777777" w:rsidR="00E672B5" w:rsidRDefault="00E672B5" w:rsidP="00E672B5">
      <w:pPr>
        <w:numPr>
          <w:ilvl w:val="0"/>
          <w:numId w:val="8"/>
        </w:numPr>
        <w:spacing w:after="0" w:line="0" w:lineRule="atLeast"/>
        <w:jc w:val="both"/>
        <w:rPr>
          <w:rFonts w:ascii="Gilroy" w:hAnsi="Gilroy"/>
        </w:rPr>
      </w:pPr>
      <w:r w:rsidRPr="00E672B5">
        <w:rPr>
          <w:rFonts w:ascii="Gilroy" w:hAnsi="Gilroy"/>
        </w:rPr>
        <w:t xml:space="preserve">Medición de indicadores mediante el Retorno Social de la Inversión (SROI), evaluación de ahorro presupuestal por eliminación de duplicidades y auditorías de red. </w:t>
      </w:r>
    </w:p>
    <w:p w14:paraId="3ABC4049" w14:textId="77777777" w:rsidR="00E672B5" w:rsidRPr="00E672B5" w:rsidRDefault="00E672B5" w:rsidP="00E672B5">
      <w:pPr>
        <w:spacing w:after="0" w:line="0" w:lineRule="atLeast"/>
        <w:jc w:val="both"/>
        <w:rPr>
          <w:rFonts w:ascii="Gilroy" w:hAnsi="Gilroy"/>
        </w:rPr>
      </w:pPr>
    </w:p>
    <w:p w14:paraId="2D07EB9F" w14:textId="77777777" w:rsidR="00E672B5" w:rsidRPr="00E672B5" w:rsidRDefault="00E672B5" w:rsidP="00E672B5">
      <w:pPr>
        <w:spacing w:after="0" w:line="0" w:lineRule="atLeast"/>
        <w:jc w:val="both"/>
        <w:rPr>
          <w:rFonts w:ascii="Gilroy" w:hAnsi="Gilroy"/>
        </w:rPr>
      </w:pPr>
    </w:p>
    <w:p w14:paraId="23E70A5B"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VI. CONSIDERACIONES FINALES Y VISIÓN DE FUTURO </w:t>
      </w:r>
    </w:p>
    <w:p w14:paraId="7185057F" w14:textId="77777777" w:rsidR="00E672B5" w:rsidRPr="00E672B5" w:rsidRDefault="00E672B5" w:rsidP="00E672B5">
      <w:pPr>
        <w:spacing w:after="0" w:line="0" w:lineRule="atLeast"/>
        <w:jc w:val="both"/>
        <w:rPr>
          <w:rFonts w:ascii="Gilroy" w:hAnsi="Gilroy"/>
        </w:rPr>
      </w:pPr>
      <w:r w:rsidRPr="00E672B5">
        <w:rPr>
          <w:rFonts w:ascii="Gilroy" w:hAnsi="Gilroy"/>
        </w:rPr>
        <w:t xml:space="preserve">El Nodo de Innovación Tecnológica Comunitaria (NITC) trasciende la concepción de un proyecto informático aislado; representa la materialización física y territorial de una política de Estado orientada a la justicia histórica. Al integrar en un mismo espacio de </w:t>
      </w:r>
      <w:proofErr w:type="spellStart"/>
      <w:r w:rsidRPr="00E672B5">
        <w:rPr>
          <w:rFonts w:ascii="Gilroy" w:hAnsi="Gilroy"/>
        </w:rPr>
        <w:t>co-gestión</w:t>
      </w:r>
      <w:proofErr w:type="spellEnd"/>
      <w:r w:rsidRPr="00E672B5">
        <w:rPr>
          <w:rFonts w:ascii="Gilroy" w:hAnsi="Gilroy"/>
        </w:rPr>
        <w:t xml:space="preserve"> los </w:t>
      </w:r>
      <w:proofErr w:type="spellStart"/>
      <w:r w:rsidRPr="00E672B5">
        <w:rPr>
          <w:rFonts w:ascii="Gilroy" w:hAnsi="Gilroy"/>
        </w:rPr>
        <w:t>Tekitl</w:t>
      </w:r>
      <w:proofErr w:type="spellEnd"/>
      <w:r w:rsidRPr="00E672B5">
        <w:rPr>
          <w:rFonts w:ascii="Gilroy" w:hAnsi="Gilroy"/>
        </w:rPr>
        <w:t xml:space="preserve"> </w:t>
      </w:r>
      <w:proofErr w:type="spellStart"/>
      <w:r w:rsidRPr="00E672B5">
        <w:rPr>
          <w:rFonts w:ascii="Gilroy" w:hAnsi="Gilroy"/>
        </w:rPr>
        <w:t>Labs</w:t>
      </w:r>
      <w:proofErr w:type="spellEnd"/>
      <w:r w:rsidRPr="00E672B5">
        <w:rPr>
          <w:rFonts w:ascii="Gilroy" w:hAnsi="Gilroy"/>
        </w:rPr>
        <w:t xml:space="preserve">, la PADI, la Casa de Proyectos, la Fábrica de Contenidos y los módulos especializados, el Instituto Poblano de los Pueblos Indígenas (IPPI) demuestra que la tecnología, la innovación y la soberanía digital son herramientas emancipadoras cuando se subordinan al </w:t>
      </w:r>
      <w:proofErr w:type="spellStart"/>
      <w:r w:rsidRPr="00E672B5">
        <w:rPr>
          <w:rFonts w:ascii="Gilroy" w:hAnsi="Gilroy"/>
          <w:i/>
          <w:iCs/>
        </w:rPr>
        <w:t>Yeknemilis</w:t>
      </w:r>
      <w:proofErr w:type="spellEnd"/>
      <w:r w:rsidRPr="00E672B5">
        <w:rPr>
          <w:rFonts w:ascii="Gilroy" w:hAnsi="Gilroy"/>
          <w:i/>
          <w:iCs/>
        </w:rPr>
        <w:t xml:space="preserve"> </w:t>
      </w:r>
      <w:r w:rsidRPr="00E672B5">
        <w:rPr>
          <w:rFonts w:ascii="Gilroy" w:hAnsi="Gilroy"/>
        </w:rPr>
        <w:t xml:space="preserve">(El Buen Vivir). </w:t>
      </w:r>
    </w:p>
    <w:p w14:paraId="4D2E4480" w14:textId="1730BB12" w:rsidR="00E672B5" w:rsidRDefault="00E672B5" w:rsidP="00E672B5">
      <w:pPr>
        <w:spacing w:after="0" w:line="0" w:lineRule="atLeast"/>
        <w:jc w:val="both"/>
        <w:rPr>
          <w:rFonts w:ascii="Gilroy" w:hAnsi="Gilroy"/>
        </w:rPr>
      </w:pPr>
      <w:r w:rsidRPr="00E672B5">
        <w:rPr>
          <w:rFonts w:ascii="Gilroy" w:hAnsi="Gilroy"/>
        </w:rPr>
        <w:t>Con este documento maestro, Puebla consolida un modelo vanguardista donde el Estado deja de exigir que las comunidades se adapten a la burocracia, construyendo un espacio público y comunitario que se adapta con respeto, pertinencia intercultural y dignidad a la realidad de sus pueblos originarios.</w:t>
      </w:r>
    </w:p>
    <w:sectPr w:rsidR="00E672B5">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00A68" w14:textId="77777777" w:rsidR="006A2987" w:rsidRDefault="006A2987">
      <w:pPr>
        <w:spacing w:after="0" w:line="240" w:lineRule="auto"/>
      </w:pPr>
      <w:r>
        <w:separator/>
      </w:r>
    </w:p>
  </w:endnote>
  <w:endnote w:type="continuationSeparator" w:id="0">
    <w:p w14:paraId="48B9762F" w14:textId="77777777" w:rsidR="006A2987" w:rsidRDefault="006A2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D44A6F0-043F-4812-A21A-F991426AF89A}"/>
    <w:embedBold r:id="rId2" w:fontKey="{FAB414EE-B74F-4298-A102-192BE429C741}"/>
    <w:embedItalic r:id="rId3" w:fontKey="{2C83B56B-D44D-4F26-BC04-F96C0CBF5D64}"/>
    <w:embedBoldItalic r:id="rId4" w:fontKey="{F545426C-AE5B-4979-8731-EA51C678EDD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5" w:fontKey="{9665B2B4-DD09-498B-9E55-C8E8D2B54A0A}"/>
    <w:embedBold r:id="rId6" w:fontKey="{FDA8DE1E-A6BE-4CD0-9DE0-0C201BF27535}"/>
    <w:embedItalic r:id="rId7" w:fontKey="{CB2BBCFA-8C11-40FE-95CE-D36E170E682D}"/>
    <w:embedBoldItalic r:id="rId8" w:fontKey="{49ACD658-B62B-4A33-ABD9-5663D086BC01}"/>
  </w:font>
  <w:font w:name="Georgia">
    <w:panose1 w:val="02040502050405020303"/>
    <w:charset w:val="00"/>
    <w:family w:val="roman"/>
    <w:pitch w:val="variable"/>
    <w:sig w:usb0="00000287" w:usb1="00000000" w:usb2="00000000" w:usb3="00000000" w:csb0="0000009F" w:csb1="00000000"/>
    <w:embedItalic r:id="rId9" w:fontKey="{903E028A-21A9-466C-96E1-9658ADD9C1D8}"/>
  </w:font>
  <w:font w:name="Bookman Old Style">
    <w:panose1 w:val="02050604050505020204"/>
    <w:charset w:val="00"/>
    <w:family w:val="roman"/>
    <w:pitch w:val="variable"/>
    <w:sig w:usb0="00000287" w:usb1="00000000" w:usb2="00000000" w:usb3="00000000" w:csb0="0000009F" w:csb1="00000000"/>
    <w:embedRegular r:id="rId10" w:fontKey="{1C3B6CB1-A679-40D9-893F-E01F8A82209D}"/>
  </w:font>
  <w:font w:name="Gilroy">
    <w:altName w:val="Calibri"/>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C7F6B" w14:textId="77777777" w:rsidR="00E3062B" w:rsidRDefault="00E3062B">
    <w:pPr>
      <w:spacing w:after="0" w:line="240" w:lineRule="auto"/>
      <w:jc w:val="center"/>
      <w:rPr>
        <w:rFonts w:ascii="Gilroy" w:hAnsi="Gilroy"/>
      </w:rPr>
    </w:pPr>
  </w:p>
  <w:p w14:paraId="4F20F6E0" w14:textId="77777777" w:rsidR="00E3062B" w:rsidRDefault="006A298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13561" w14:textId="77777777" w:rsidR="006A2987" w:rsidRDefault="006A2987">
      <w:pPr>
        <w:spacing w:after="0" w:line="240" w:lineRule="auto"/>
      </w:pPr>
      <w:r>
        <w:separator/>
      </w:r>
    </w:p>
  </w:footnote>
  <w:footnote w:type="continuationSeparator" w:id="0">
    <w:p w14:paraId="0EC7557A" w14:textId="77777777" w:rsidR="006A2987" w:rsidRDefault="006A2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5DABB" w14:textId="77777777" w:rsidR="00E3062B" w:rsidRDefault="006A298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5E448001" wp14:editId="04EF9F3A">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6CC527A6" w14:textId="77777777" w:rsidR="00E3062B" w:rsidRDefault="00E3062B">
    <w:pPr>
      <w:pBdr>
        <w:top w:val="nil"/>
        <w:left w:val="nil"/>
        <w:bottom w:val="nil"/>
        <w:right w:val="nil"/>
        <w:between w:val="nil"/>
      </w:pBdr>
      <w:tabs>
        <w:tab w:val="center" w:pos="4419"/>
        <w:tab w:val="right" w:pos="8838"/>
      </w:tabs>
      <w:spacing w:after="0" w:line="240" w:lineRule="auto"/>
      <w:rPr>
        <w:color w:val="000000"/>
      </w:rPr>
    </w:pPr>
  </w:p>
  <w:p w14:paraId="628F04D6" w14:textId="77777777" w:rsidR="00E3062B" w:rsidRDefault="00E3062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5592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FB71A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AA55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3ABFD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67CF29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740D7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F7727B8"/>
    <w:multiLevelType w:val="hybridMultilevel"/>
    <w:tmpl w:val="26F0222A"/>
    <w:lvl w:ilvl="0" w:tplc="146028CA">
      <w:start w:val="2"/>
      <w:numFmt w:val="bullet"/>
      <w:lvlText w:val=""/>
      <w:lvlJc w:val="left"/>
      <w:pPr>
        <w:ind w:left="720" w:hanging="360"/>
      </w:pPr>
      <w:rPr>
        <w:rFonts w:ascii="Symbol" w:eastAsia="Calibri" w:hAnsi="Symbol"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A72844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6"/>
  </w:num>
  <w:num w:numId="3">
    <w:abstractNumId w:val="2"/>
  </w:num>
  <w:num w:numId="4">
    <w:abstractNumId w:val="1"/>
  </w:num>
  <w:num w:numId="5">
    <w:abstractNumId w:val="5"/>
  </w:num>
  <w:num w:numId="6">
    <w:abstractNumId w:val="4"/>
  </w:num>
  <w:num w:numId="7">
    <w:abstractNumId w:val="3"/>
  </w:num>
  <w:num w:numId="8">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52B19"/>
    <w:rsid w:val="000627C8"/>
    <w:rsid w:val="0006363A"/>
    <w:rsid w:val="00065FB9"/>
    <w:rsid w:val="00067583"/>
    <w:rsid w:val="000710A6"/>
    <w:rsid w:val="000717C8"/>
    <w:rsid w:val="00084900"/>
    <w:rsid w:val="00084B4D"/>
    <w:rsid w:val="000A54DA"/>
    <w:rsid w:val="000E0ACA"/>
    <w:rsid w:val="000E59F3"/>
    <w:rsid w:val="00100296"/>
    <w:rsid w:val="00117BA7"/>
    <w:rsid w:val="00126949"/>
    <w:rsid w:val="001302C3"/>
    <w:rsid w:val="00131BFF"/>
    <w:rsid w:val="00143595"/>
    <w:rsid w:val="00143FED"/>
    <w:rsid w:val="00146CEF"/>
    <w:rsid w:val="001805FC"/>
    <w:rsid w:val="001849C2"/>
    <w:rsid w:val="001A04BB"/>
    <w:rsid w:val="001D30C7"/>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6996"/>
    <w:rsid w:val="0034198F"/>
    <w:rsid w:val="003548DD"/>
    <w:rsid w:val="00355D70"/>
    <w:rsid w:val="00360160"/>
    <w:rsid w:val="00371F2C"/>
    <w:rsid w:val="003B18D2"/>
    <w:rsid w:val="003B3B42"/>
    <w:rsid w:val="003C46C0"/>
    <w:rsid w:val="003C5DDA"/>
    <w:rsid w:val="003C7005"/>
    <w:rsid w:val="003E7AB3"/>
    <w:rsid w:val="003F0A81"/>
    <w:rsid w:val="003F477F"/>
    <w:rsid w:val="00412343"/>
    <w:rsid w:val="0041632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5112F0"/>
    <w:rsid w:val="005305E5"/>
    <w:rsid w:val="00535A9C"/>
    <w:rsid w:val="0054784E"/>
    <w:rsid w:val="005529EA"/>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21D9"/>
    <w:rsid w:val="006A2987"/>
    <w:rsid w:val="006A7E08"/>
    <w:rsid w:val="006B469A"/>
    <w:rsid w:val="006B49BC"/>
    <w:rsid w:val="006B58FB"/>
    <w:rsid w:val="006C19FD"/>
    <w:rsid w:val="006D2910"/>
    <w:rsid w:val="006E1D8E"/>
    <w:rsid w:val="006F7F5B"/>
    <w:rsid w:val="00700527"/>
    <w:rsid w:val="00705518"/>
    <w:rsid w:val="007211D8"/>
    <w:rsid w:val="007278C6"/>
    <w:rsid w:val="007340D7"/>
    <w:rsid w:val="007652AA"/>
    <w:rsid w:val="00770A40"/>
    <w:rsid w:val="00787931"/>
    <w:rsid w:val="0079437C"/>
    <w:rsid w:val="00795F72"/>
    <w:rsid w:val="007A0E00"/>
    <w:rsid w:val="007A1B2E"/>
    <w:rsid w:val="007B5876"/>
    <w:rsid w:val="007C4ED3"/>
    <w:rsid w:val="007D1B52"/>
    <w:rsid w:val="007E4E9A"/>
    <w:rsid w:val="007E79D6"/>
    <w:rsid w:val="007F4617"/>
    <w:rsid w:val="008037A8"/>
    <w:rsid w:val="00807B76"/>
    <w:rsid w:val="00817726"/>
    <w:rsid w:val="00824FDD"/>
    <w:rsid w:val="0085542E"/>
    <w:rsid w:val="00856B84"/>
    <w:rsid w:val="00875F68"/>
    <w:rsid w:val="00882EAC"/>
    <w:rsid w:val="00883620"/>
    <w:rsid w:val="00885058"/>
    <w:rsid w:val="00890634"/>
    <w:rsid w:val="008974BD"/>
    <w:rsid w:val="008B02C8"/>
    <w:rsid w:val="008D3539"/>
    <w:rsid w:val="008E0099"/>
    <w:rsid w:val="008F079E"/>
    <w:rsid w:val="008F10DB"/>
    <w:rsid w:val="00902807"/>
    <w:rsid w:val="00917C11"/>
    <w:rsid w:val="00922933"/>
    <w:rsid w:val="00923636"/>
    <w:rsid w:val="00924E05"/>
    <w:rsid w:val="0093000F"/>
    <w:rsid w:val="00945B77"/>
    <w:rsid w:val="00947790"/>
    <w:rsid w:val="00952CB9"/>
    <w:rsid w:val="009B16A8"/>
    <w:rsid w:val="009B1E45"/>
    <w:rsid w:val="009B364B"/>
    <w:rsid w:val="009D39F2"/>
    <w:rsid w:val="009E4F83"/>
    <w:rsid w:val="009F1BD3"/>
    <w:rsid w:val="009F7A83"/>
    <w:rsid w:val="00A1086C"/>
    <w:rsid w:val="00A319A7"/>
    <w:rsid w:val="00A323D8"/>
    <w:rsid w:val="00A44159"/>
    <w:rsid w:val="00A56EED"/>
    <w:rsid w:val="00A63279"/>
    <w:rsid w:val="00A96159"/>
    <w:rsid w:val="00AA3E75"/>
    <w:rsid w:val="00AB654D"/>
    <w:rsid w:val="00AC1E3A"/>
    <w:rsid w:val="00AD3954"/>
    <w:rsid w:val="00AD44A2"/>
    <w:rsid w:val="00AD52FE"/>
    <w:rsid w:val="00AE1B14"/>
    <w:rsid w:val="00AE5FE5"/>
    <w:rsid w:val="00AF1491"/>
    <w:rsid w:val="00AF5204"/>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878B8"/>
    <w:rsid w:val="00C90AB4"/>
    <w:rsid w:val="00C938F9"/>
    <w:rsid w:val="00C97D78"/>
    <w:rsid w:val="00CA3935"/>
    <w:rsid w:val="00CA6F5F"/>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5A85"/>
    <w:rsid w:val="00D96AF8"/>
    <w:rsid w:val="00D96BB4"/>
    <w:rsid w:val="00DA34A7"/>
    <w:rsid w:val="00DB1712"/>
    <w:rsid w:val="00DB5783"/>
    <w:rsid w:val="00DC3F64"/>
    <w:rsid w:val="00DC6399"/>
    <w:rsid w:val="00DD34DD"/>
    <w:rsid w:val="00DE0548"/>
    <w:rsid w:val="00DF1AF8"/>
    <w:rsid w:val="00E03677"/>
    <w:rsid w:val="00E202BC"/>
    <w:rsid w:val="00E3062B"/>
    <w:rsid w:val="00E32872"/>
    <w:rsid w:val="00E3692B"/>
    <w:rsid w:val="00E66F9B"/>
    <w:rsid w:val="00E672B5"/>
    <w:rsid w:val="00E72E3D"/>
    <w:rsid w:val="00E77D87"/>
    <w:rsid w:val="00E94DEE"/>
    <w:rsid w:val="00EA30F4"/>
    <w:rsid w:val="00EA43D7"/>
    <w:rsid w:val="00EB1778"/>
    <w:rsid w:val="00EC05F2"/>
    <w:rsid w:val="00EC1215"/>
    <w:rsid w:val="00EC2390"/>
    <w:rsid w:val="00EE1C8C"/>
    <w:rsid w:val="00EE5015"/>
    <w:rsid w:val="00EF02AE"/>
    <w:rsid w:val="00EF3B22"/>
    <w:rsid w:val="00F36951"/>
    <w:rsid w:val="00F42DE0"/>
    <w:rsid w:val="00F47565"/>
    <w:rsid w:val="00F51F54"/>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1D871"/>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pPr>
      <w:spacing w:after="0" w:line="240" w:lineRule="auto"/>
    </w:pPr>
    <w:rPr>
      <w:rFonts w:ascii="Bookman Old Style" w:eastAsiaTheme="minorHAnsi" w:hAnsi="Bookman Old Style" w:cs="Bookman Old Style"/>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Pages>
  <Words>2414</Words>
  <Characters>13282</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STAFFTI</cp:lastModifiedBy>
  <cp:revision>4</cp:revision>
  <dcterms:created xsi:type="dcterms:W3CDTF">2026-08-12T22:03:00Z</dcterms:created>
  <dcterms:modified xsi:type="dcterms:W3CDTF">2026-08-19T18:11:00Z</dcterms:modified>
</cp:coreProperties>
</file>