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C71E" w14:textId="77777777" w:rsid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DOCUMENTO MAESTRO EJECUTIVO</w:t>
      </w:r>
    </w:p>
    <w:p w14:paraId="08CA2D4E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</w:p>
    <w:p w14:paraId="34A09640" w14:textId="77777777" w:rsid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NODO DE INNOVACIÓN TECNOLÓGICA COMUNITARIA (NITC)</w:t>
      </w:r>
    </w:p>
    <w:p w14:paraId="4FCFBC4D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</w:p>
    <w:p w14:paraId="0FB0F29D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Plataforma de Integración y Articulación Estratégica para el Desarrollo Pluricultural de los Pueblos Originarios</w:t>
      </w:r>
    </w:p>
    <w:p w14:paraId="125830F4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i/>
          <w:iCs/>
        </w:rPr>
        <w:t>Instituto Poblano de los Pueblos Indígenas (IPPI)</w:t>
      </w:r>
    </w:p>
    <w:p w14:paraId="5F0ABFF0" w14:textId="77777777" w:rsid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</w:p>
    <w:p w14:paraId="4CDDA436" w14:textId="411CC9B6" w:rsidR="007C2482" w:rsidRPr="007C2482" w:rsidRDefault="007C2482" w:rsidP="007C2482">
      <w:pPr>
        <w:pStyle w:val="Prrafodelista"/>
        <w:numPr>
          <w:ilvl w:val="0"/>
          <w:numId w:val="10"/>
        </w:num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MARCO FILOSÓFICO, ANTECEDENTES Y VISIÓN ESTRATÉGICA</w:t>
      </w:r>
    </w:p>
    <w:p w14:paraId="1E639895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1.1 Introducción y Diagnóstico del Entorno Tecnológico y Comunitario</w:t>
      </w:r>
    </w:p>
    <w:p w14:paraId="6DE14BD1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El Estado de Puebla se consolida como la cuarta entidad federativa con mayor población indígena en la República Mexicana, albergando a más de 1,043,116 personas pertenecientes a pueblos originarios y afromexicanos. Sin embargo, históricamente estas comunidades han enfrentado una dimensión profunda de desigualdad estructural: la exclusión digital territorial, la marginación por dependencia técnica y la vulneración de sus entornos a raíz de la acumulación de residuos electrónicos. </w:t>
      </w:r>
    </w:p>
    <w:p w14:paraId="772679E6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Frente a este escenario que lacera el tejido social y ecológico, el principio rector de nuestra intervención institucional es el </w:t>
      </w:r>
      <w:proofErr w:type="spellStart"/>
      <w:r w:rsidRPr="007C2482">
        <w:rPr>
          <w:rFonts w:ascii="Gilroy" w:hAnsi="Gilroy"/>
          <w:b/>
          <w:bCs/>
        </w:rPr>
        <w:t>Yeknemilis</w:t>
      </w:r>
      <w:proofErr w:type="spellEnd"/>
      <w:r w:rsidRPr="007C2482">
        <w:rPr>
          <w:rFonts w:ascii="Gilroy" w:hAnsi="Gilroy"/>
          <w:b/>
          <w:bCs/>
        </w:rPr>
        <w:t xml:space="preserve"> (El Buen Vivir en la Era de la Gobernanza Tecnológica Pluricultural)</w:t>
      </w:r>
      <w:r w:rsidRPr="007C2482">
        <w:rPr>
          <w:rFonts w:ascii="Gilroy" w:hAnsi="Gilroy"/>
        </w:rPr>
        <w:t xml:space="preserve">. Este concepto no representa una visión meramente contemplativa, sino la guía fundamental para restaurar la armonía comunitaria, asegurando que el conocimiento, la innovación y el dominio de la tecnología sirvan, respeten y fortalezcan la vida en los territorios. </w:t>
      </w:r>
    </w:p>
    <w:p w14:paraId="1A1F58D4" w14:textId="77777777" w:rsid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Para superar la inercia de las políticas públicas aisladas, el Instituto Poblano de los Pueblos Indígenas (IPPI) ha impulsado diversos </w:t>
      </w:r>
      <w:r w:rsidRPr="007C2482">
        <w:rPr>
          <w:rFonts w:ascii="Gilroy" w:hAnsi="Gilroy"/>
          <w:b/>
          <w:bCs/>
        </w:rPr>
        <w:t>proyectos estratégicos</w:t>
      </w:r>
      <w:r w:rsidRPr="007C2482">
        <w:rPr>
          <w:rFonts w:ascii="Gilroy" w:hAnsi="Gilroy"/>
        </w:rPr>
        <w:t xml:space="preserve"> enfocados en la conectividad, la alfabetización, la recuperación material y la soberanía de los datos. No obstante, la efectividad institucional exige dejar atrás la dispersión de esfuerzos. Es por ello que surge el </w:t>
      </w:r>
      <w:r w:rsidRPr="007C2482">
        <w:rPr>
          <w:rFonts w:ascii="Gilroy" w:hAnsi="Gilroy"/>
          <w:b/>
          <w:bCs/>
        </w:rPr>
        <w:t>Nodo de Innovación Tecnológica Comunitaria (NITC)</w:t>
      </w:r>
      <w:r w:rsidRPr="007C2482">
        <w:rPr>
          <w:rFonts w:ascii="Gilroy" w:hAnsi="Gilroy"/>
        </w:rPr>
        <w:t xml:space="preserve">: una plataforma integradora diseñada </w:t>
      </w:r>
      <w:r w:rsidRPr="007C2482">
        <w:rPr>
          <w:rFonts w:ascii="Gilroy" w:hAnsi="Gilroy"/>
          <w:highlight w:val="yellow"/>
        </w:rPr>
        <w:t xml:space="preserve">para albergar, articular y potenciar de manera sinérgica el contenido, las herramientas y los beneficios de los proyectos previamente creados por el propio instituto, convirtiéndolos en un </w:t>
      </w:r>
      <w:r w:rsidRPr="007C2482">
        <w:rPr>
          <w:rFonts w:ascii="Gilroy" w:hAnsi="Gilroy"/>
          <w:b/>
          <w:bCs/>
          <w:highlight w:val="yellow"/>
        </w:rPr>
        <w:t>ecosistema unificado</w:t>
      </w:r>
      <w:r w:rsidRPr="007C2482">
        <w:rPr>
          <w:rFonts w:ascii="Gilroy" w:hAnsi="Gilroy"/>
          <w:highlight w:val="yellow"/>
        </w:rPr>
        <w:t xml:space="preserve"> al servicio directo de los </w:t>
      </w:r>
      <w:r w:rsidRPr="007C2482">
        <w:rPr>
          <w:rFonts w:ascii="Gilroy" w:hAnsi="Gilroy"/>
          <w:b/>
          <w:bCs/>
          <w:highlight w:val="yellow"/>
        </w:rPr>
        <w:t>76</w:t>
      </w:r>
      <w:r w:rsidRPr="007C2482">
        <w:rPr>
          <w:rFonts w:ascii="Gilroy" w:hAnsi="Gilroy"/>
          <w:highlight w:val="yellow"/>
        </w:rPr>
        <w:t xml:space="preserve"> municipios con presencia indígena y afromexicana en el estado.</w:t>
      </w:r>
      <w:r w:rsidRPr="007C2482">
        <w:rPr>
          <w:rFonts w:ascii="Gilroy" w:hAnsi="Gilroy"/>
        </w:rPr>
        <w:t xml:space="preserve"> </w:t>
      </w:r>
    </w:p>
    <w:p w14:paraId="1C980F2B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</w:p>
    <w:p w14:paraId="3F9F82A0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1.2 Fundamento Jurídico e Identidades Originarias</w:t>
      </w:r>
    </w:p>
    <w:p w14:paraId="65630425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>El NITC se sustenta firmemente en el marco de los derechos humanos colectivos y el bloque de constitucionalidad vigente:</w:t>
      </w:r>
    </w:p>
    <w:p w14:paraId="22A2FF59" w14:textId="77777777" w:rsidR="007C2482" w:rsidRPr="007C2482" w:rsidRDefault="007C2482" w:rsidP="007C2482">
      <w:pPr>
        <w:numPr>
          <w:ilvl w:val="0"/>
          <w:numId w:val="1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Constitución Política de los Estados Unidos Mexicanos (Artículo 2°):</w:t>
      </w:r>
      <w:r w:rsidRPr="007C2482">
        <w:rPr>
          <w:rFonts w:ascii="Gilroy" w:hAnsi="Gilroy"/>
        </w:rPr>
        <w:t xml:space="preserve"> Establece la composición pluricultural de la nación y la obligación del Estado de garantizar el acceso de los pueblos a las comunicaciones, la información y el conocimiento. </w:t>
      </w:r>
    </w:p>
    <w:p w14:paraId="622AAF21" w14:textId="77777777" w:rsidR="007C2482" w:rsidRPr="007C2482" w:rsidRDefault="007C2482" w:rsidP="007C2482">
      <w:pPr>
        <w:numPr>
          <w:ilvl w:val="0"/>
          <w:numId w:val="1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Constitución Política del Estado Libre y Soberano de Puebla (Artículo 13):</w:t>
      </w:r>
      <w:r w:rsidRPr="007C2482">
        <w:rPr>
          <w:rFonts w:ascii="Gilroy" w:hAnsi="Gilroy"/>
        </w:rPr>
        <w:t xml:space="preserve"> Reconoce de manera histórica a las comunidades originarias y afromexicanas como </w:t>
      </w:r>
      <w:r w:rsidRPr="007C2482">
        <w:rPr>
          <w:rFonts w:ascii="Gilroy" w:hAnsi="Gilroy"/>
          <w:b/>
          <w:bCs/>
        </w:rPr>
        <w:t>Sujetos de Derecho Público</w:t>
      </w:r>
      <w:r w:rsidRPr="007C2482">
        <w:rPr>
          <w:rFonts w:ascii="Gilroy" w:hAnsi="Gilroy"/>
        </w:rPr>
        <w:t xml:space="preserve">, dotándolas de personalidad jurídica, patrimonio propio y capacidad plena de </w:t>
      </w:r>
      <w:proofErr w:type="spellStart"/>
      <w:r w:rsidRPr="007C2482">
        <w:rPr>
          <w:rFonts w:ascii="Gilroy" w:hAnsi="Gilroy"/>
        </w:rPr>
        <w:t>co-gestión</w:t>
      </w:r>
      <w:proofErr w:type="spellEnd"/>
      <w:r w:rsidRPr="007C2482">
        <w:rPr>
          <w:rFonts w:ascii="Gilroy" w:hAnsi="Gilroy"/>
        </w:rPr>
        <w:t xml:space="preserve"> sobre su desarrollo. </w:t>
      </w:r>
    </w:p>
    <w:p w14:paraId="1A8D6EDD" w14:textId="77777777" w:rsidR="007C2482" w:rsidRDefault="007C2482" w:rsidP="007C2482">
      <w:pPr>
        <w:numPr>
          <w:ilvl w:val="0"/>
          <w:numId w:val="1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Convenio 169 de la OIT:</w:t>
      </w:r>
      <w:r w:rsidRPr="007C2482">
        <w:rPr>
          <w:rFonts w:ascii="Gilroy" w:hAnsi="Gilroy"/>
        </w:rPr>
        <w:t xml:space="preserve"> Garantiza el derecho fundamental a la consulta previa, libre e informada, así como la definición autónoma de sus prioridades de desarrollo. </w:t>
      </w:r>
    </w:p>
    <w:p w14:paraId="11C4C7C0" w14:textId="77777777" w:rsidR="007C2482" w:rsidRPr="007C2482" w:rsidRDefault="007C2482" w:rsidP="007C2482">
      <w:pPr>
        <w:spacing w:after="0" w:line="0" w:lineRule="atLeast"/>
        <w:ind w:left="720"/>
        <w:jc w:val="both"/>
        <w:rPr>
          <w:rFonts w:ascii="Gilroy" w:hAnsi="Gilroy"/>
        </w:rPr>
      </w:pPr>
    </w:p>
    <w:p w14:paraId="3EE2E103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Bajo esta óptica, el NITC respeta, visibiliza y potencia la estructura organizativa de las </w:t>
      </w:r>
      <w:r w:rsidRPr="007C2482">
        <w:rPr>
          <w:rFonts w:ascii="Gilroy" w:hAnsi="Gilroy"/>
          <w:b/>
          <w:bCs/>
        </w:rPr>
        <w:t>7 identidades originarias</w:t>
      </w:r>
      <w:r w:rsidRPr="007C2482">
        <w:rPr>
          <w:rFonts w:ascii="Gilroy" w:hAnsi="Gilroy"/>
        </w:rPr>
        <w:t xml:space="preserve"> que enriquecen al estado de Puebla: </w:t>
      </w:r>
      <w:r w:rsidRPr="007C2482">
        <w:rPr>
          <w:rFonts w:ascii="Gilroy" w:hAnsi="Gilroy"/>
          <w:i/>
          <w:iCs/>
        </w:rPr>
        <w:t xml:space="preserve">Nahua, Totonaco, Mixteco, Tepehua, Otomí, </w:t>
      </w:r>
      <w:proofErr w:type="spellStart"/>
      <w:r w:rsidRPr="007C2482">
        <w:rPr>
          <w:rFonts w:ascii="Gilroy" w:hAnsi="Gilroy"/>
          <w:i/>
          <w:iCs/>
        </w:rPr>
        <w:t>Popoloca</w:t>
      </w:r>
      <w:proofErr w:type="spellEnd"/>
      <w:r w:rsidRPr="007C2482">
        <w:rPr>
          <w:rFonts w:ascii="Gilroy" w:hAnsi="Gilroy"/>
          <w:i/>
          <w:iCs/>
        </w:rPr>
        <w:t xml:space="preserve"> / </w:t>
      </w:r>
      <w:proofErr w:type="spellStart"/>
      <w:r w:rsidRPr="007C2482">
        <w:rPr>
          <w:rFonts w:ascii="Gilroy" w:hAnsi="Gilroy"/>
          <w:i/>
          <w:iCs/>
        </w:rPr>
        <w:t>Ngiwa</w:t>
      </w:r>
      <w:proofErr w:type="spellEnd"/>
      <w:r w:rsidRPr="007C2482">
        <w:rPr>
          <w:rFonts w:ascii="Gilroy" w:hAnsi="Gilroy"/>
          <w:i/>
          <w:iCs/>
        </w:rPr>
        <w:t xml:space="preserve"> y Mazateco</w:t>
      </w:r>
      <w:r w:rsidRPr="007C2482">
        <w:rPr>
          <w:rFonts w:ascii="Gilroy" w:hAnsi="Gilroy"/>
        </w:rPr>
        <w:t xml:space="preserve">. </w:t>
      </w:r>
    </w:p>
    <w:p w14:paraId="20DF09EE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II. ARQUITECTURA E INTEGRACIÓN DE PROYECTOS DEL IPPI EN EL NITC</w:t>
      </w:r>
    </w:p>
    <w:p w14:paraId="278CC122" w14:textId="77777777" w:rsid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lastRenderedPageBreak/>
        <w:t xml:space="preserve">Para garantizar su funcionamiento integral y sistémico, el </w:t>
      </w:r>
      <w:r w:rsidRPr="007C2482">
        <w:rPr>
          <w:rFonts w:ascii="Gilroy" w:hAnsi="Gilroy"/>
          <w:b/>
          <w:bCs/>
        </w:rPr>
        <w:t>Nodo de Innovación Tecnológica Comunitaria (NITC)</w:t>
      </w:r>
      <w:r w:rsidRPr="007C2482">
        <w:rPr>
          <w:rFonts w:ascii="Gilroy" w:hAnsi="Gilroy"/>
        </w:rPr>
        <w:t xml:space="preserve"> internaliza, vincula y coordina cuatro grandes proyectos institucionales previamente desarrollados por el IPPI. Cada uno aporta un componente especializado dentro de la plataforma:</w:t>
      </w:r>
    </w:p>
    <w:p w14:paraId="5728587B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</w:p>
    <w:p w14:paraId="0DB98B72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 xml:space="preserve">2.1 Componente 1: Laboratorios </w:t>
      </w:r>
      <w:proofErr w:type="spellStart"/>
      <w:r w:rsidRPr="007C2482">
        <w:rPr>
          <w:rFonts w:ascii="Gilroy" w:hAnsi="Gilroy"/>
          <w:b/>
          <w:bCs/>
        </w:rPr>
        <w:t>Tekitl</w:t>
      </w:r>
      <w:proofErr w:type="spellEnd"/>
      <w:r w:rsidRPr="007C2482">
        <w:rPr>
          <w:rFonts w:ascii="Gilroy" w:hAnsi="Gilroy"/>
          <w:b/>
          <w:bCs/>
        </w:rPr>
        <w:t xml:space="preserve"> (</w:t>
      </w:r>
      <w:proofErr w:type="spellStart"/>
      <w:r w:rsidRPr="007C2482">
        <w:rPr>
          <w:rFonts w:ascii="Gilroy" w:hAnsi="Gilroy"/>
          <w:b/>
          <w:bCs/>
        </w:rPr>
        <w:t>Tekitl</w:t>
      </w:r>
      <w:proofErr w:type="spellEnd"/>
      <w:r w:rsidRPr="007C2482">
        <w:rPr>
          <w:rFonts w:ascii="Gilroy" w:hAnsi="Gilroy"/>
          <w:b/>
          <w:bCs/>
        </w:rPr>
        <w:t>-Lab)</w:t>
      </w:r>
    </w:p>
    <w:p w14:paraId="22275BBF" w14:textId="77777777" w:rsidR="007C2482" w:rsidRPr="007C2482" w:rsidRDefault="007C2482" w:rsidP="007C2482">
      <w:pPr>
        <w:numPr>
          <w:ilvl w:val="0"/>
          <w:numId w:val="2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Naturaleza y Enfoque:</w:t>
      </w:r>
      <w:r w:rsidRPr="007C2482">
        <w:rPr>
          <w:rFonts w:ascii="Gilroy" w:hAnsi="Gilroy"/>
        </w:rPr>
        <w:t xml:space="preserve"> Programa dinámico de capacitación técnica enfocado en la comprensión estructural y el reciclaje del hardware. Transforma la chatarra electrónica (de la cual municipios como Cuetzalan y Zacapoaxtla generan volúmenes críticos superiores a 90 toneladas anuales por localidad) en insumos estratégicos para la autonomía. </w:t>
      </w:r>
    </w:p>
    <w:p w14:paraId="5AF7853A" w14:textId="77777777" w:rsidR="007C2482" w:rsidRDefault="007C2482" w:rsidP="007C2482">
      <w:pPr>
        <w:numPr>
          <w:ilvl w:val="0"/>
          <w:numId w:val="2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Aportación al NITC:</w:t>
      </w:r>
      <w:r w:rsidRPr="007C2482">
        <w:rPr>
          <w:rFonts w:ascii="Gilroy" w:hAnsi="Gilroy"/>
        </w:rPr>
        <w:t xml:space="preserve"> Dota al nodo de la capacidad práctica para la fabricación </w:t>
      </w:r>
      <w:proofErr w:type="spellStart"/>
      <w:r w:rsidRPr="007C2482">
        <w:rPr>
          <w:rFonts w:ascii="Gilroy" w:hAnsi="Gilroy"/>
        </w:rPr>
        <w:t>autogestiva</w:t>
      </w:r>
      <w:proofErr w:type="spellEnd"/>
      <w:r w:rsidRPr="007C2482">
        <w:rPr>
          <w:rFonts w:ascii="Gilroy" w:hAnsi="Gilroy"/>
        </w:rPr>
        <w:t xml:space="preserve"> de herramientas y dispositivos sencillos (parrillas térmicas, cargadores portátiles, lámparas USB, mini taladros, bombas de agua, bocinas y sistemas de automatización) bajo los estándares de certificación del CONOCER y la filosofía del trabajo colaborativo. </w:t>
      </w:r>
    </w:p>
    <w:p w14:paraId="78F8B02D" w14:textId="77777777" w:rsidR="007C2482" w:rsidRPr="007C2482" w:rsidRDefault="007C2482" w:rsidP="007C2482">
      <w:pPr>
        <w:spacing w:after="0" w:line="0" w:lineRule="atLeast"/>
        <w:ind w:left="720"/>
        <w:jc w:val="both"/>
        <w:rPr>
          <w:rFonts w:ascii="Gilroy" w:hAnsi="Gilroy"/>
        </w:rPr>
      </w:pPr>
    </w:p>
    <w:p w14:paraId="64BEEFEA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2.2 Componente 2: Plataforma de Autonomía Digital (PADI)</w:t>
      </w:r>
    </w:p>
    <w:p w14:paraId="0C06C8CA" w14:textId="77777777" w:rsidR="007C2482" w:rsidRPr="007C2482" w:rsidRDefault="007C2482" w:rsidP="007C2482">
      <w:pPr>
        <w:numPr>
          <w:ilvl w:val="0"/>
          <w:numId w:val="3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Naturaleza y Enfoque:</w:t>
      </w:r>
      <w:r w:rsidRPr="007C2482">
        <w:rPr>
          <w:rFonts w:ascii="Gilroy" w:hAnsi="Gilroy"/>
        </w:rPr>
        <w:t xml:space="preserve"> Ecosistema unificado de datos abiertos, gobernanza horizontal y servicios bilingües que evoluciona el histórico Sistema de Información y Estadística sobre los Pueblos y Comunidades Indígenas (SIEPI). </w:t>
      </w:r>
    </w:p>
    <w:p w14:paraId="7B51AC9E" w14:textId="77777777" w:rsidR="007C2482" w:rsidRDefault="007C2482" w:rsidP="007C2482">
      <w:pPr>
        <w:numPr>
          <w:ilvl w:val="0"/>
          <w:numId w:val="3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Aportación al NITC:</w:t>
      </w:r>
      <w:r w:rsidRPr="007C2482">
        <w:rPr>
          <w:rFonts w:ascii="Gilroy" w:hAnsi="Gilroy"/>
        </w:rPr>
        <w:t xml:space="preserve"> Constituye el núcleo de la interfaz web centralizada. A través de un diseño de bajo consumo de datos (optimizado para zonas de baja conectividad residencial como </w:t>
      </w:r>
      <w:proofErr w:type="spellStart"/>
      <w:r w:rsidRPr="007C2482">
        <w:rPr>
          <w:rFonts w:ascii="Gilroy" w:hAnsi="Gilroy"/>
        </w:rPr>
        <w:t>Camocuautla</w:t>
      </w:r>
      <w:proofErr w:type="spellEnd"/>
      <w:r w:rsidRPr="007C2482">
        <w:rPr>
          <w:rFonts w:ascii="Gilroy" w:hAnsi="Gilroy"/>
        </w:rPr>
        <w:t xml:space="preserve"> o </w:t>
      </w:r>
      <w:proofErr w:type="spellStart"/>
      <w:r w:rsidRPr="007C2482">
        <w:rPr>
          <w:rFonts w:ascii="Gilroy" w:hAnsi="Gilroy"/>
        </w:rPr>
        <w:t>Atlequizayan</w:t>
      </w:r>
      <w:proofErr w:type="spellEnd"/>
      <w:r w:rsidRPr="007C2482">
        <w:rPr>
          <w:rFonts w:ascii="Gilroy" w:hAnsi="Gilroy"/>
        </w:rPr>
        <w:t xml:space="preserve">), la plataforma articula los Ejes Temáticos de </w:t>
      </w:r>
      <w:r w:rsidRPr="007C2482">
        <w:rPr>
          <w:rFonts w:ascii="Gilroy" w:hAnsi="Gilroy"/>
          <w:i/>
          <w:iCs/>
        </w:rPr>
        <w:t>Gobernanza, Acción Social, y Cultura y Recursos</w:t>
      </w:r>
      <w:r w:rsidRPr="007C2482">
        <w:rPr>
          <w:rFonts w:ascii="Gilroy" w:hAnsi="Gilroy"/>
        </w:rPr>
        <w:t xml:space="preserve">, integrando cartografía abierta basada en </w:t>
      </w:r>
      <w:proofErr w:type="spellStart"/>
      <w:r w:rsidRPr="007C2482">
        <w:rPr>
          <w:rFonts w:ascii="Gilroy" w:hAnsi="Gilroy"/>
        </w:rPr>
        <w:t>Leaflet</w:t>
      </w:r>
      <w:proofErr w:type="spellEnd"/>
      <w:r w:rsidRPr="007C2482">
        <w:rPr>
          <w:rFonts w:ascii="Gilroy" w:hAnsi="Gilroy"/>
        </w:rPr>
        <w:t xml:space="preserve"> y un modelo de código abierto bajo estricta custodia pública del Estado. </w:t>
      </w:r>
    </w:p>
    <w:p w14:paraId="45945EE2" w14:textId="77777777" w:rsidR="007C2482" w:rsidRPr="007C2482" w:rsidRDefault="007C2482" w:rsidP="007C2482">
      <w:pPr>
        <w:spacing w:after="0" w:line="0" w:lineRule="atLeast"/>
        <w:ind w:left="720"/>
        <w:jc w:val="both"/>
        <w:rPr>
          <w:rFonts w:ascii="Gilroy" w:hAnsi="Gilroy"/>
        </w:rPr>
      </w:pPr>
    </w:p>
    <w:p w14:paraId="0758354B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2.3 Componente 3: Proyecto de Intercambio Digital (Plataforma de Interoperabilidad)</w:t>
      </w:r>
    </w:p>
    <w:p w14:paraId="5E013684" w14:textId="77777777" w:rsidR="007C2482" w:rsidRPr="007C2482" w:rsidRDefault="007C2482" w:rsidP="007C2482">
      <w:pPr>
        <w:numPr>
          <w:ilvl w:val="0"/>
          <w:numId w:val="4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Naturaleza y Enfoque:</w:t>
      </w:r>
      <w:r w:rsidRPr="007C2482">
        <w:rPr>
          <w:rFonts w:ascii="Gilroy" w:hAnsi="Gilroy"/>
        </w:rPr>
        <w:t xml:space="preserve"> Acción de Estado diseñada para erradicar la desarticulación gubernamental y el "</w:t>
      </w:r>
      <w:proofErr w:type="spellStart"/>
      <w:r w:rsidRPr="007C2482">
        <w:rPr>
          <w:rFonts w:ascii="Gilroy" w:hAnsi="Gilroy"/>
        </w:rPr>
        <w:t>celismo</w:t>
      </w:r>
      <w:proofErr w:type="spellEnd"/>
      <w:r w:rsidRPr="007C2482">
        <w:rPr>
          <w:rFonts w:ascii="Gilroy" w:hAnsi="Gilroy"/>
        </w:rPr>
        <w:t xml:space="preserve">" institucional, conectando de forma transversal la información de las dependencias estatales. </w:t>
      </w:r>
    </w:p>
    <w:p w14:paraId="6F954F99" w14:textId="77777777" w:rsidR="007C2482" w:rsidRDefault="007C2482" w:rsidP="007C2482">
      <w:pPr>
        <w:numPr>
          <w:ilvl w:val="0"/>
          <w:numId w:val="4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Aportación al NITC:</w:t>
      </w:r>
      <w:r w:rsidRPr="007C2482">
        <w:rPr>
          <w:rFonts w:ascii="Gilroy" w:hAnsi="Gilroy"/>
        </w:rPr>
        <w:t xml:space="preserve"> Funciona como el Bus de Interoperabilidad que une al Poder Ejecutivo (44 dependencias), Poder Judicial (Padrón de Intérpretes y Traductores), Poder Legislativo (repositorio de consultas y derechos), municipios y entidades federales, optimizando el gasto público y garantizando el acceso a trámites y programas sociales sin duplicidades. </w:t>
      </w:r>
    </w:p>
    <w:p w14:paraId="360685EF" w14:textId="77777777" w:rsidR="007C2482" w:rsidRPr="007C2482" w:rsidRDefault="007C2482" w:rsidP="007C2482">
      <w:pPr>
        <w:spacing w:after="0" w:line="0" w:lineRule="atLeast"/>
        <w:ind w:left="720"/>
        <w:jc w:val="both"/>
        <w:rPr>
          <w:rFonts w:ascii="Gilroy" w:hAnsi="Gilroy"/>
        </w:rPr>
      </w:pPr>
    </w:p>
    <w:p w14:paraId="4E1BA521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2.4 Componente 4: Módulos de Apropiación Digital con Identidad</w:t>
      </w:r>
    </w:p>
    <w:p w14:paraId="159AC945" w14:textId="77777777" w:rsidR="007C2482" w:rsidRPr="007C2482" w:rsidRDefault="007C2482" w:rsidP="007C2482">
      <w:pPr>
        <w:numPr>
          <w:ilvl w:val="0"/>
          <w:numId w:val="5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Naturaleza y Enfoque:</w:t>
      </w:r>
      <w:r w:rsidRPr="007C2482">
        <w:rPr>
          <w:rFonts w:ascii="Gilroy" w:hAnsi="Gilroy"/>
        </w:rPr>
        <w:t xml:space="preserve"> Iniciativa orientada a dotar de infraestructura de producción multimedia y capacitación a las comunidades y ayuntamientos. </w:t>
      </w:r>
    </w:p>
    <w:p w14:paraId="6E280D38" w14:textId="77777777" w:rsidR="007C2482" w:rsidRDefault="007C2482" w:rsidP="007C2482">
      <w:pPr>
        <w:numPr>
          <w:ilvl w:val="0"/>
          <w:numId w:val="5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Aportación al NITC:</w:t>
      </w:r>
      <w:r w:rsidRPr="007C2482">
        <w:rPr>
          <w:rFonts w:ascii="Gilroy" w:hAnsi="Gilroy"/>
        </w:rPr>
        <w:t xml:space="preserve"> Integra los componentes de equipamiento especializado (cámaras de vídeo, pantallas verdes, consolas de audio, micrófonos, cajas de luz para fotografía de productos y software de edición) para que las comunidades documenten su patrimonio inmaterial, impulsen el e-</w:t>
      </w:r>
      <w:proofErr w:type="spellStart"/>
      <w:r w:rsidRPr="007C2482">
        <w:rPr>
          <w:rFonts w:ascii="Gilroy" w:hAnsi="Gilroy"/>
        </w:rPr>
        <w:t>commerce</w:t>
      </w:r>
      <w:proofErr w:type="spellEnd"/>
      <w:r w:rsidRPr="007C2482">
        <w:rPr>
          <w:rFonts w:ascii="Gilroy" w:hAnsi="Gilroy"/>
        </w:rPr>
        <w:t xml:space="preserve"> de artesanías locales y generen contenidos educativos y de salud en lenguas originarias. </w:t>
      </w:r>
    </w:p>
    <w:p w14:paraId="15561B08" w14:textId="77777777" w:rsidR="008F51B8" w:rsidRDefault="008F51B8" w:rsidP="008F51B8">
      <w:pPr>
        <w:spacing w:after="0" w:line="0" w:lineRule="atLeast"/>
        <w:ind w:left="720"/>
        <w:jc w:val="both"/>
        <w:rPr>
          <w:rFonts w:ascii="Gilroy" w:hAnsi="Gilroy"/>
          <w:b/>
          <w:bCs/>
        </w:rPr>
      </w:pPr>
    </w:p>
    <w:p w14:paraId="76240A4A" w14:textId="77777777" w:rsidR="008F51B8" w:rsidRDefault="008F51B8" w:rsidP="008F51B8">
      <w:pPr>
        <w:spacing w:after="0" w:line="0" w:lineRule="atLeast"/>
        <w:ind w:left="720"/>
        <w:jc w:val="both"/>
        <w:rPr>
          <w:rFonts w:ascii="Gilroy" w:hAnsi="Gilroy"/>
          <w:b/>
          <w:bCs/>
        </w:rPr>
      </w:pPr>
    </w:p>
    <w:p w14:paraId="57E2EA04" w14:textId="77777777" w:rsidR="008F51B8" w:rsidRPr="007C2482" w:rsidRDefault="008F51B8" w:rsidP="008F51B8">
      <w:pPr>
        <w:spacing w:after="0" w:line="0" w:lineRule="atLeast"/>
        <w:ind w:left="720"/>
        <w:jc w:val="both"/>
        <w:rPr>
          <w:rFonts w:ascii="Gilroy" w:hAnsi="Gilroy"/>
        </w:rPr>
      </w:pPr>
    </w:p>
    <w:p w14:paraId="118FFD2E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lastRenderedPageBreak/>
        <w:t>III. MATRIZ DE ARTICULACIÓN OPERATIVA Y SERVICIOS DEL NITC</w:t>
      </w:r>
    </w:p>
    <w:p w14:paraId="5BF08D79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El NITC opera como una ventanilla única y un espacio de </w:t>
      </w:r>
      <w:proofErr w:type="spellStart"/>
      <w:r w:rsidRPr="007C2482">
        <w:rPr>
          <w:rFonts w:ascii="Gilroy" w:hAnsi="Gilroy"/>
        </w:rPr>
        <w:t>co-gestión</w:t>
      </w:r>
      <w:proofErr w:type="spellEnd"/>
      <w:r w:rsidRPr="007C2482">
        <w:rPr>
          <w:rFonts w:ascii="Gilroy" w:hAnsi="Gilroy"/>
        </w:rPr>
        <w:t xml:space="preserve"> comunitaria que organiza su oferta a través de una matriz de servicios directos vinculados a los ejes estratégicos del IPPI: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866"/>
        <w:gridCol w:w="2893"/>
        <w:gridCol w:w="2162"/>
      </w:tblGrid>
      <w:tr w:rsidR="007C2482" w:rsidRPr="007C2482" w14:paraId="7A05AB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04AE7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  <w:b/>
                <w:bCs/>
              </w:rPr>
              <w:t>Eje Temático del NITC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641A2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  <w:b/>
                <w:bCs/>
              </w:rPr>
              <w:t>Proyecto Fuente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0A2CA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  <w:b/>
                <w:bCs/>
              </w:rPr>
              <w:t>Servicios y Acciones Operativas en Territorio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0F66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  <w:b/>
                <w:bCs/>
              </w:rPr>
              <w:t>Mecanismo de Validación / Acceso Web</w:t>
            </w:r>
          </w:p>
        </w:tc>
      </w:tr>
      <w:tr w:rsidR="007C2482" w:rsidRPr="007C2482" w14:paraId="0EE19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1BF6A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  <w:b/>
                <w:bCs/>
              </w:rPr>
              <w:t>Gobernanza y Autonomía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1D8C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>PADI / Intercambio Digital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F6E1B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 xml:space="preserve">Asesoría jurídica gratuita, reconocimiento de autoridades tradicionales y registro de actas de asamblea.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F186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 xml:space="preserve">Botón </w:t>
            </w:r>
            <w:r w:rsidRPr="007C2482">
              <w:rPr>
                <w:rFonts w:ascii="Gilroy" w:hAnsi="Gilroy"/>
                <w:i/>
                <w:iCs/>
              </w:rPr>
              <w:t>"Solicitar Apoyo"</w:t>
            </w:r>
            <w:r w:rsidRPr="007C2482">
              <w:rPr>
                <w:rFonts w:ascii="Gilroy" w:hAnsi="Gilroy"/>
              </w:rPr>
              <w:t xml:space="preserve"> / Validación mediante Acta de Asamblea Comunitaria. </w:t>
            </w:r>
          </w:p>
        </w:tc>
      </w:tr>
      <w:tr w:rsidR="007C2482" w:rsidRPr="007C2482" w14:paraId="247F3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C5870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  <w:b/>
                <w:bCs/>
              </w:rPr>
              <w:t>Acción Social y Técnica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70CA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proofErr w:type="spellStart"/>
            <w:r w:rsidRPr="007C2482">
              <w:rPr>
                <w:rFonts w:ascii="Gilroy" w:hAnsi="Gilroy"/>
              </w:rPr>
              <w:t>Tekitl</w:t>
            </w:r>
            <w:proofErr w:type="spellEnd"/>
            <w:r w:rsidRPr="007C2482">
              <w:rPr>
                <w:rFonts w:ascii="Gilroy" w:hAnsi="Gilroy"/>
              </w:rPr>
              <w:t>-Labs / Módulos Digitales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E6C1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 xml:space="preserve">Talleres de capacitación en reciclaje electrónico (Kits didácticos), alfabetización digital y estudios de factibilidad técnica.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9347C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 xml:space="preserve">Botón </w:t>
            </w:r>
            <w:r w:rsidRPr="007C2482">
              <w:rPr>
                <w:rFonts w:ascii="Gilroy" w:hAnsi="Gilroy"/>
                <w:i/>
                <w:iCs/>
              </w:rPr>
              <w:t>"Agendar Taller / Pedir Estudio"</w:t>
            </w:r>
            <w:r w:rsidRPr="007C2482">
              <w:rPr>
                <w:rFonts w:ascii="Gilroy" w:hAnsi="Gilroy"/>
              </w:rPr>
              <w:t xml:space="preserve">. </w:t>
            </w:r>
          </w:p>
        </w:tc>
      </w:tr>
      <w:tr w:rsidR="007C2482" w:rsidRPr="007C2482" w14:paraId="72BB3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8E160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  <w:b/>
                <w:bCs/>
              </w:rPr>
              <w:t>Cultura, Lengua e Identidad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AEA35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>Intercambio Digital / Módulos de Apropiación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7ADED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 xml:space="preserve">Asignación de peritos traductores certificados en las 7 lenguas originarias, digitalización de acervo histórico y difusión de campañas en lenguas maternas.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1931" w14:textId="70E2CD66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 xml:space="preserve">Botón </w:t>
            </w:r>
            <w:r w:rsidRPr="007C2482">
              <w:rPr>
                <w:rFonts w:ascii="Gilroy" w:hAnsi="Gilroy"/>
                <w:i/>
                <w:iCs/>
              </w:rPr>
              <w:t>"Iniciar Trámite / Descargar Material"</w:t>
            </w:r>
            <w:r w:rsidRPr="007C2482">
              <w:rPr>
                <w:rFonts w:ascii="Gilroy" w:hAnsi="Gilroy"/>
              </w:rPr>
              <w:t xml:space="preserve">. </w:t>
            </w:r>
            <w:r>
              <w:rPr>
                <w:rFonts w:ascii="Gilroy" w:hAnsi="Gilroy"/>
              </w:rPr>
              <w:t>b</w:t>
            </w:r>
          </w:p>
        </w:tc>
      </w:tr>
      <w:tr w:rsidR="007C2482" w:rsidRPr="007C2482" w14:paraId="51C56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4A8B9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  <w:b/>
                <w:bCs/>
              </w:rPr>
              <w:t>Desarrollo Económico Comunitario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96DCB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proofErr w:type="spellStart"/>
            <w:r w:rsidRPr="007C2482">
              <w:rPr>
                <w:rFonts w:ascii="Gilroy" w:hAnsi="Gilroy"/>
              </w:rPr>
              <w:t>Tekitl</w:t>
            </w:r>
            <w:proofErr w:type="spellEnd"/>
            <w:r w:rsidRPr="007C2482">
              <w:rPr>
                <w:rFonts w:ascii="Gilroy" w:hAnsi="Gilroy"/>
              </w:rPr>
              <w:t>-Labs / Módulos Digitales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5BB25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 xml:space="preserve">Fotografía de producto con calidad de catálogo para artesanías, impulso al comercio justo y desarrollo de herramientas mecánicas </w:t>
            </w:r>
            <w:proofErr w:type="spellStart"/>
            <w:r w:rsidRPr="007C2482">
              <w:rPr>
                <w:rFonts w:ascii="Gilroy" w:hAnsi="Gilroy"/>
              </w:rPr>
              <w:t>autogestivas</w:t>
            </w:r>
            <w:proofErr w:type="spellEnd"/>
            <w:r w:rsidRPr="007C2482">
              <w:rPr>
                <w:rFonts w:ascii="Gilroy" w:hAnsi="Gilroy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94F55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  <w:r w:rsidRPr="007C2482">
              <w:rPr>
                <w:rFonts w:ascii="Gilroy" w:hAnsi="Gilroy"/>
              </w:rPr>
              <w:t xml:space="preserve">Botón </w:t>
            </w:r>
            <w:r w:rsidRPr="007C2482">
              <w:rPr>
                <w:rFonts w:ascii="Gilroy" w:hAnsi="Gilroy"/>
                <w:i/>
                <w:iCs/>
              </w:rPr>
              <w:t>"Inscribir Grupo / Asesoría Agrícola"</w:t>
            </w:r>
            <w:r w:rsidRPr="007C2482">
              <w:rPr>
                <w:rFonts w:ascii="Gilroy" w:hAnsi="Gilroy"/>
              </w:rPr>
              <w:t xml:space="preserve">. </w:t>
            </w:r>
          </w:p>
        </w:tc>
      </w:tr>
      <w:tr w:rsidR="007C2482" w:rsidRPr="007C2482" w14:paraId="708C3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9F8CD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AD95E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1BF97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FF8E5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</w:p>
        </w:tc>
      </w:tr>
      <w:tr w:rsidR="007C2482" w:rsidRPr="007C2482" w14:paraId="5A4C2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8BECFE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F8D04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18389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FD145" w14:textId="77777777" w:rsidR="007C2482" w:rsidRPr="007C2482" w:rsidRDefault="007C2482" w:rsidP="007C2482">
            <w:pPr>
              <w:spacing w:after="0" w:line="0" w:lineRule="atLeast"/>
              <w:jc w:val="both"/>
              <w:rPr>
                <w:rFonts w:ascii="Gilroy" w:hAnsi="Gilroy"/>
              </w:rPr>
            </w:pPr>
          </w:p>
        </w:tc>
      </w:tr>
    </w:tbl>
    <w:p w14:paraId="2DBD5C11" w14:textId="77777777" w:rsid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</w:p>
    <w:p w14:paraId="0EE10E6D" w14:textId="77777777" w:rsidR="008F51B8" w:rsidRDefault="008F51B8" w:rsidP="007C2482">
      <w:pPr>
        <w:spacing w:after="0" w:line="0" w:lineRule="atLeast"/>
        <w:jc w:val="both"/>
        <w:rPr>
          <w:rFonts w:ascii="Gilroy" w:hAnsi="Gilroy"/>
          <w:b/>
          <w:bCs/>
        </w:rPr>
      </w:pPr>
    </w:p>
    <w:p w14:paraId="0CF04296" w14:textId="77777777" w:rsidR="008F51B8" w:rsidRDefault="008F51B8" w:rsidP="007C2482">
      <w:pPr>
        <w:spacing w:after="0" w:line="0" w:lineRule="atLeast"/>
        <w:jc w:val="both"/>
        <w:rPr>
          <w:rFonts w:ascii="Gilroy" w:hAnsi="Gilroy"/>
          <w:b/>
          <w:bCs/>
        </w:rPr>
      </w:pPr>
    </w:p>
    <w:p w14:paraId="1D4194A0" w14:textId="6AF32571" w:rsid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lastRenderedPageBreak/>
        <w:t>IV. GOBERNANZA, INFRAESTRUCTURA TÉCNICA Y SEGURIDAD DE DATOS</w:t>
      </w:r>
    </w:p>
    <w:p w14:paraId="76363013" w14:textId="77777777" w:rsidR="008F51B8" w:rsidRPr="007C2482" w:rsidRDefault="008F51B8" w:rsidP="007C2482">
      <w:pPr>
        <w:spacing w:after="0" w:line="0" w:lineRule="atLeast"/>
        <w:jc w:val="both"/>
        <w:rPr>
          <w:rFonts w:ascii="Gilroy" w:hAnsi="Gilroy"/>
          <w:b/>
          <w:bCs/>
        </w:rPr>
      </w:pPr>
    </w:p>
    <w:p w14:paraId="77EF739F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4.1 Modelo de Soberanía Informática (Bioética Social)</w:t>
      </w:r>
    </w:p>
    <w:p w14:paraId="38338F20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>En estricto cumplimiento con la Bioética Social y el principio de no maleficencia, el NITC establece un blindaje institucional absoluto sobre la información generada en los territorios:</w:t>
      </w:r>
    </w:p>
    <w:p w14:paraId="2D069BEA" w14:textId="77777777" w:rsidR="007C2482" w:rsidRPr="007C2482" w:rsidRDefault="007C2482" w:rsidP="007C2482">
      <w:pPr>
        <w:numPr>
          <w:ilvl w:val="0"/>
          <w:numId w:val="6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Propiedad Intelectual Inviolable:</w:t>
      </w:r>
      <w:r w:rsidRPr="007C2482">
        <w:rPr>
          <w:rFonts w:ascii="Gilroy" w:hAnsi="Gilroy"/>
        </w:rPr>
        <w:t xml:space="preserve"> El código fuente, la arquitectura de datos y los diseños modulares pertenecen exclusivamente al Gobierno del Estado de Puebla, bajo la administración directa del IPPI. </w:t>
      </w:r>
    </w:p>
    <w:p w14:paraId="719818F3" w14:textId="77777777" w:rsidR="007C2482" w:rsidRPr="007C2482" w:rsidRDefault="007C2482" w:rsidP="007C2482">
      <w:pPr>
        <w:numPr>
          <w:ilvl w:val="0"/>
          <w:numId w:val="6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Alojamiento en Servidores Públicos Seguros:</w:t>
      </w:r>
      <w:r w:rsidRPr="007C2482">
        <w:rPr>
          <w:rFonts w:ascii="Gilroy" w:hAnsi="Gilroy"/>
        </w:rPr>
        <w:t xml:space="preserve"> Ningún dato comunitario, padrón de artesanos, registro lingüístico o acta de asamblea residirá en nubes comerciales externas o corporaciones privadas extranjeras; todo se almacena en la infraestructura oficial del estado. </w:t>
      </w:r>
    </w:p>
    <w:p w14:paraId="73022446" w14:textId="77777777" w:rsidR="007C2482" w:rsidRDefault="007C2482" w:rsidP="007C2482">
      <w:pPr>
        <w:numPr>
          <w:ilvl w:val="0"/>
          <w:numId w:val="6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 xml:space="preserve">Filosofía de Código Abierto (Open </w:t>
      </w:r>
      <w:proofErr w:type="spellStart"/>
      <w:r w:rsidRPr="007C2482">
        <w:rPr>
          <w:rFonts w:ascii="Gilroy" w:hAnsi="Gilroy"/>
          <w:b/>
          <w:bCs/>
        </w:rPr>
        <w:t>Source</w:t>
      </w:r>
      <w:proofErr w:type="spellEnd"/>
      <w:r w:rsidRPr="007C2482">
        <w:rPr>
          <w:rFonts w:ascii="Gilroy" w:hAnsi="Gilroy"/>
          <w:b/>
          <w:bCs/>
        </w:rPr>
        <w:t>):</w:t>
      </w:r>
      <w:r w:rsidRPr="007C2482">
        <w:rPr>
          <w:rFonts w:ascii="Gilroy" w:hAnsi="Gilroy"/>
        </w:rPr>
        <w:t xml:space="preserve"> Se priorizan estándares auditables, sostenibles y libres de licencias comerciales onerosas. </w:t>
      </w:r>
    </w:p>
    <w:p w14:paraId="29580113" w14:textId="77777777" w:rsidR="007C2482" w:rsidRPr="007C2482" w:rsidRDefault="007C2482" w:rsidP="007C2482">
      <w:pPr>
        <w:spacing w:after="0" w:line="0" w:lineRule="atLeast"/>
        <w:ind w:left="360"/>
        <w:jc w:val="both"/>
        <w:rPr>
          <w:rFonts w:ascii="Gilroy" w:hAnsi="Gilroy"/>
        </w:rPr>
      </w:pPr>
    </w:p>
    <w:p w14:paraId="34369754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4.2 Gobernanza Multinivel</w:t>
      </w:r>
    </w:p>
    <w:p w14:paraId="2D583BC5" w14:textId="77777777" w:rsidR="007C2482" w:rsidRPr="007C2482" w:rsidRDefault="007C2482" w:rsidP="007C2482">
      <w:pPr>
        <w:numPr>
          <w:ilvl w:val="0"/>
          <w:numId w:val="7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Nodo Rector (IPPI):</w:t>
      </w:r>
      <w:r w:rsidRPr="007C2482">
        <w:rPr>
          <w:rFonts w:ascii="Gilroy" w:hAnsi="Gilroy"/>
        </w:rPr>
        <w:t xml:space="preserve"> Coordina la pertinencia cultural, la vinculación comunitaria y la rectoría de los contenidos. </w:t>
      </w:r>
    </w:p>
    <w:p w14:paraId="2CF9CEA2" w14:textId="77777777" w:rsidR="007C2482" w:rsidRPr="007C2482" w:rsidRDefault="007C2482" w:rsidP="007C2482">
      <w:pPr>
        <w:numPr>
          <w:ilvl w:val="0"/>
          <w:numId w:val="7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Soporte Tecnológico (SECIHTI y Áreas de TI):</w:t>
      </w:r>
      <w:r w:rsidRPr="007C2482">
        <w:rPr>
          <w:rFonts w:ascii="Gilroy" w:hAnsi="Gilroy"/>
        </w:rPr>
        <w:t xml:space="preserve"> Garantiza la ciberseguridad, el mantenimiento del Bus de Interoperabilidad y la infraestructura de servidores. </w:t>
      </w:r>
    </w:p>
    <w:p w14:paraId="0678DD12" w14:textId="77777777" w:rsidR="007C2482" w:rsidRPr="007C2482" w:rsidRDefault="007C2482" w:rsidP="007C2482">
      <w:pPr>
        <w:numPr>
          <w:ilvl w:val="0"/>
          <w:numId w:val="7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Alineación Presupuestal (</w:t>
      </w:r>
      <w:proofErr w:type="spellStart"/>
      <w:r w:rsidRPr="007C2482">
        <w:rPr>
          <w:rFonts w:ascii="Gilroy" w:hAnsi="Gilroy"/>
          <w:b/>
          <w:bCs/>
        </w:rPr>
        <w:t>SPFyA</w:t>
      </w:r>
      <w:proofErr w:type="spellEnd"/>
      <w:r w:rsidRPr="007C2482">
        <w:rPr>
          <w:rFonts w:ascii="Gilroy" w:hAnsi="Gilroy"/>
          <w:b/>
          <w:bCs/>
        </w:rPr>
        <w:t>):</w:t>
      </w:r>
      <w:r w:rsidRPr="007C2482">
        <w:rPr>
          <w:rFonts w:ascii="Gilroy" w:hAnsi="Gilroy"/>
        </w:rPr>
        <w:t xml:space="preserve"> Emite los lineamientos de obligatoriedad transversal para que las dependencias alimenten el sistema. </w:t>
      </w:r>
    </w:p>
    <w:p w14:paraId="65C5A233" w14:textId="77777777" w:rsidR="007C2482" w:rsidRDefault="007C2482" w:rsidP="007C2482">
      <w:pPr>
        <w:numPr>
          <w:ilvl w:val="0"/>
          <w:numId w:val="7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Validación Social (Consejo Estatal de Pueblos Indígenas y Afromexicano):</w:t>
      </w:r>
      <w:r w:rsidRPr="007C2482">
        <w:rPr>
          <w:rFonts w:ascii="Gilroy" w:hAnsi="Gilroy"/>
        </w:rPr>
        <w:t xml:space="preserve"> Órgano vigilante que asegura la congruencia con los mandatos de la Consulta Indígena. </w:t>
      </w:r>
    </w:p>
    <w:p w14:paraId="6DFA0D6A" w14:textId="77777777" w:rsidR="007C2482" w:rsidRPr="007C2482" w:rsidRDefault="007C2482" w:rsidP="007C2482">
      <w:pPr>
        <w:spacing w:after="0" w:line="0" w:lineRule="atLeast"/>
        <w:ind w:left="720"/>
        <w:jc w:val="both"/>
        <w:rPr>
          <w:rFonts w:ascii="Gilroy" w:hAnsi="Gilroy"/>
        </w:rPr>
      </w:pPr>
    </w:p>
    <w:p w14:paraId="69EC743D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V. RUTA CRÍTICA DE IMPLEMENTACIÓN Y DESPLIEGUE TERRITORIAL</w:t>
      </w:r>
    </w:p>
    <w:p w14:paraId="2F342FB6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Para asegurar el éxito operativo del </w:t>
      </w:r>
      <w:r w:rsidRPr="007C2482">
        <w:rPr>
          <w:rFonts w:ascii="Gilroy" w:hAnsi="Gilroy"/>
          <w:b/>
          <w:bCs/>
        </w:rPr>
        <w:t>Nodo de Innovación Tecnológica Comunitaria (NITC)</w:t>
      </w:r>
      <w:r w:rsidRPr="007C2482">
        <w:rPr>
          <w:rFonts w:ascii="Gilroy" w:hAnsi="Gilroy"/>
        </w:rPr>
        <w:t>, se establece un programa de trabajo estructurado en cuatro fases secuenciales:</w:t>
      </w:r>
    </w:p>
    <w:p w14:paraId="00173402" w14:textId="77777777" w:rsidR="007C2482" w:rsidRPr="007C2482" w:rsidRDefault="007C2482" w:rsidP="007C2482">
      <w:pPr>
        <w:numPr>
          <w:ilvl w:val="0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Fase 1: Consolidación Normativa e Infraestructura Base (Meses 1 - 3):</w:t>
      </w:r>
    </w:p>
    <w:p w14:paraId="1532F0DE" w14:textId="77777777" w:rsidR="007C2482" w:rsidRPr="007C2482" w:rsidRDefault="007C2482" w:rsidP="007C2482">
      <w:pPr>
        <w:numPr>
          <w:ilvl w:val="1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Habilitación de los servidores seguros bajo la custodia del IPPI y la SECIHTI. </w:t>
      </w:r>
    </w:p>
    <w:p w14:paraId="5E4F3AB5" w14:textId="77777777" w:rsidR="007C2482" w:rsidRPr="007C2482" w:rsidRDefault="007C2482" w:rsidP="007C2482">
      <w:pPr>
        <w:numPr>
          <w:ilvl w:val="1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Firma de convenios interinstitucionales de interoperabilidad con las dependencias ancla (Registro Civil, Secretaría de Salud, Secretaría de Bienestar). </w:t>
      </w:r>
    </w:p>
    <w:p w14:paraId="208C12E2" w14:textId="77777777" w:rsidR="007C2482" w:rsidRPr="007C2482" w:rsidRDefault="007C2482" w:rsidP="007C2482">
      <w:pPr>
        <w:numPr>
          <w:ilvl w:val="0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Fase 2: Integración de Módulos y Ejes en la Plataforma (Meses 4 - 8):</w:t>
      </w:r>
    </w:p>
    <w:p w14:paraId="38BD234C" w14:textId="77777777" w:rsidR="007C2482" w:rsidRPr="007C2482" w:rsidRDefault="007C2482" w:rsidP="007C2482">
      <w:pPr>
        <w:numPr>
          <w:ilvl w:val="1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Carga estructurada de los catálogos de los </w:t>
      </w:r>
      <w:proofErr w:type="spellStart"/>
      <w:r w:rsidRPr="007C2482">
        <w:rPr>
          <w:rFonts w:ascii="Gilroy" w:hAnsi="Gilroy"/>
        </w:rPr>
        <w:t>Tekitl</w:t>
      </w:r>
      <w:proofErr w:type="spellEnd"/>
      <w:r w:rsidRPr="007C2482">
        <w:rPr>
          <w:rFonts w:ascii="Gilroy" w:hAnsi="Gilroy"/>
        </w:rPr>
        <w:t xml:space="preserve"> Labs, los Módulos de Apropiación Digital, el PADI y el Bus de Interoperabilidad. </w:t>
      </w:r>
    </w:p>
    <w:p w14:paraId="4AFFE11E" w14:textId="77777777" w:rsidR="007C2482" w:rsidRPr="007C2482" w:rsidRDefault="007C2482" w:rsidP="007C2482">
      <w:pPr>
        <w:numPr>
          <w:ilvl w:val="1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Configuración del módulo cartográfico interactivo y de los protocolos de compresión de datos para zonas de baja conectividad. </w:t>
      </w:r>
    </w:p>
    <w:p w14:paraId="556C12D0" w14:textId="77777777" w:rsidR="007C2482" w:rsidRPr="007C2482" w:rsidRDefault="007C2482" w:rsidP="007C2482">
      <w:pPr>
        <w:numPr>
          <w:ilvl w:val="0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Fase 3: Despliegue Piloto en Territorio (Meses 9 - 12):</w:t>
      </w:r>
    </w:p>
    <w:p w14:paraId="2E1AAA61" w14:textId="77777777" w:rsidR="007C2482" w:rsidRPr="007C2482" w:rsidRDefault="007C2482" w:rsidP="007C2482">
      <w:pPr>
        <w:numPr>
          <w:ilvl w:val="1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Instalación de los primeros Módulos Digitales y distribución de kits didácticos en los 20 municipios prioritarios con mayor densidad de población indígena. </w:t>
      </w:r>
    </w:p>
    <w:p w14:paraId="50070588" w14:textId="77777777" w:rsidR="007C2482" w:rsidRPr="007C2482" w:rsidRDefault="007C2482" w:rsidP="007C2482">
      <w:pPr>
        <w:numPr>
          <w:ilvl w:val="1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Activación del sistema de solicitudes y operación de los servidores locales </w:t>
      </w:r>
      <w:r w:rsidRPr="007C2482">
        <w:rPr>
          <w:rFonts w:ascii="Gilroy" w:hAnsi="Gilroy"/>
          <w:i/>
          <w:iCs/>
        </w:rPr>
        <w:t>Offline-First</w:t>
      </w:r>
      <w:r w:rsidRPr="007C2482">
        <w:rPr>
          <w:rFonts w:ascii="Gilroy" w:hAnsi="Gilroy"/>
        </w:rPr>
        <w:t xml:space="preserve"> en escuelas bilingües. </w:t>
      </w:r>
    </w:p>
    <w:p w14:paraId="386C1862" w14:textId="77777777" w:rsidR="007C2482" w:rsidRPr="007C2482" w:rsidRDefault="007C2482" w:rsidP="007C2482">
      <w:pPr>
        <w:numPr>
          <w:ilvl w:val="0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Fase 4: Evaluación de Impacto y Auditoría Social (Meses 13 - 15):</w:t>
      </w:r>
    </w:p>
    <w:p w14:paraId="25F0499C" w14:textId="77777777" w:rsidR="007C2482" w:rsidRDefault="007C2482" w:rsidP="007C2482">
      <w:pPr>
        <w:numPr>
          <w:ilvl w:val="1"/>
          <w:numId w:val="8"/>
        </w:num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lastRenderedPageBreak/>
        <w:t xml:space="preserve">Medición de indicadores mediante el Retorno Social de la Inversión (SROI), evaluación de ahorro presupuestal por eliminación de duplicidades y auditorías de red. </w:t>
      </w:r>
    </w:p>
    <w:p w14:paraId="6A71F4A9" w14:textId="77777777" w:rsidR="008F51B8" w:rsidRPr="007C2482" w:rsidRDefault="008F51B8" w:rsidP="007C2482">
      <w:pPr>
        <w:numPr>
          <w:ilvl w:val="1"/>
          <w:numId w:val="8"/>
        </w:numPr>
        <w:spacing w:after="0" w:line="0" w:lineRule="atLeast"/>
        <w:jc w:val="both"/>
        <w:rPr>
          <w:rFonts w:ascii="Gilroy" w:hAnsi="Gilroy"/>
        </w:rPr>
      </w:pPr>
    </w:p>
    <w:p w14:paraId="0E44AFA1" w14:textId="77777777" w:rsidR="007C2482" w:rsidRDefault="007C2482" w:rsidP="007C2482">
      <w:pPr>
        <w:spacing w:after="0" w:line="0" w:lineRule="atLeast"/>
        <w:jc w:val="both"/>
        <w:rPr>
          <w:rFonts w:ascii="Gilroy" w:hAnsi="Gilroy"/>
          <w:b/>
          <w:bCs/>
        </w:rPr>
      </w:pPr>
      <w:r w:rsidRPr="007C2482">
        <w:rPr>
          <w:rFonts w:ascii="Gilroy" w:hAnsi="Gilroy"/>
          <w:b/>
          <w:bCs/>
        </w:rPr>
        <w:t>VI. CONSIDERACIONES FINALES Y VISIÓN DE FUTURO</w:t>
      </w:r>
    </w:p>
    <w:p w14:paraId="64724EA1" w14:textId="77777777" w:rsidR="008F51B8" w:rsidRPr="007C2482" w:rsidRDefault="008F51B8" w:rsidP="007C2482">
      <w:pPr>
        <w:spacing w:after="0" w:line="0" w:lineRule="atLeast"/>
        <w:jc w:val="both"/>
        <w:rPr>
          <w:rFonts w:ascii="Gilroy" w:hAnsi="Gilroy"/>
          <w:b/>
          <w:bCs/>
        </w:rPr>
      </w:pPr>
    </w:p>
    <w:p w14:paraId="7C1271AD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El </w:t>
      </w:r>
      <w:r w:rsidRPr="007C2482">
        <w:rPr>
          <w:rFonts w:ascii="Gilroy" w:hAnsi="Gilroy"/>
          <w:b/>
          <w:bCs/>
        </w:rPr>
        <w:t>Nodo de Innovación Tecnológica Comunitaria (NITC)</w:t>
      </w:r>
      <w:r w:rsidRPr="007C2482">
        <w:rPr>
          <w:rFonts w:ascii="Gilroy" w:hAnsi="Gilroy"/>
        </w:rPr>
        <w:t xml:space="preserve"> trasciende la concepción de un proyecto informático aislado; representa la materialización de una política de Estado orientada a la justicia histórica y territorial. Al integrar en una sola plataforma los </w:t>
      </w:r>
      <w:proofErr w:type="spellStart"/>
      <w:r w:rsidRPr="007C2482">
        <w:rPr>
          <w:rFonts w:ascii="Gilroy" w:hAnsi="Gilroy"/>
        </w:rPr>
        <w:t>Tekitl</w:t>
      </w:r>
      <w:proofErr w:type="spellEnd"/>
      <w:r w:rsidRPr="007C2482">
        <w:rPr>
          <w:rFonts w:ascii="Gilroy" w:hAnsi="Gilroy"/>
        </w:rPr>
        <w:t xml:space="preserve"> Labs, la PADI, el Intercambio Digital y los Módulos de Apropiación Digital, el Instituto Poblano de los Pueblos Indígenas (IPPI) demuestra que la tecnología, la innovación y la soberanía digital son herramientas emancipadoras cuando se subordinan al </w:t>
      </w:r>
      <w:proofErr w:type="spellStart"/>
      <w:r w:rsidRPr="007C2482">
        <w:rPr>
          <w:rFonts w:ascii="Gilroy" w:hAnsi="Gilroy"/>
          <w:i/>
          <w:iCs/>
        </w:rPr>
        <w:t>Yeknemilis</w:t>
      </w:r>
      <w:proofErr w:type="spellEnd"/>
      <w:r w:rsidRPr="007C2482">
        <w:rPr>
          <w:rFonts w:ascii="Gilroy" w:hAnsi="Gilroy"/>
        </w:rPr>
        <w:t xml:space="preserve"> (El Buen Vivir). </w:t>
      </w:r>
    </w:p>
    <w:p w14:paraId="6A9FF0E8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</w:rPr>
        <w:t xml:space="preserve">Con este documento maestro, Puebla consolida un modelo vanguardista donde el Estado deja de exigir que las comunidades se adapten a la burocracia, construyendo una plataforma pública que se adapta con respeto, pertinencia intercultural y dignidad a la realidad de sus pueblos originarios. </w:t>
      </w:r>
    </w:p>
    <w:p w14:paraId="14E9E640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i/>
          <w:iCs/>
        </w:rPr>
        <w:t>Elaboró:</w:t>
      </w:r>
    </w:p>
    <w:p w14:paraId="6C32E34A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b/>
          <w:bCs/>
        </w:rPr>
        <w:t>Miguel Trinidad Gómez Hernández / Moisés Ismael Rosas Cabrera</w:t>
      </w:r>
    </w:p>
    <w:p w14:paraId="77467701" w14:textId="77777777" w:rsidR="007C2482" w:rsidRPr="007C2482" w:rsidRDefault="007C2482" w:rsidP="007C2482">
      <w:pPr>
        <w:spacing w:after="0" w:line="0" w:lineRule="atLeast"/>
        <w:jc w:val="both"/>
        <w:rPr>
          <w:rFonts w:ascii="Gilroy" w:hAnsi="Gilroy"/>
        </w:rPr>
      </w:pPr>
      <w:r w:rsidRPr="007C2482">
        <w:rPr>
          <w:rFonts w:ascii="Gilroy" w:hAnsi="Gilroy"/>
          <w:i/>
          <w:iCs/>
        </w:rPr>
        <w:t>Encargados de Despacho de la Subdirección de Desarrollo de Tecnologías de la Información, IPPI</w:t>
      </w:r>
    </w:p>
    <w:p w14:paraId="54F859E4" w14:textId="4980616F" w:rsidR="00BC3358" w:rsidRDefault="00BC3358">
      <w:pPr>
        <w:spacing w:after="0" w:line="0" w:lineRule="atLeast"/>
        <w:jc w:val="both"/>
        <w:rPr>
          <w:rFonts w:ascii="Gilroy" w:hAnsi="Gilroy"/>
        </w:rPr>
      </w:pPr>
    </w:p>
    <w:sectPr w:rsidR="00BC3358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29155" w14:textId="77777777" w:rsidR="0086517B" w:rsidRDefault="0086517B">
      <w:pPr>
        <w:spacing w:after="0" w:line="240" w:lineRule="auto"/>
      </w:pPr>
      <w:r>
        <w:separator/>
      </w:r>
    </w:p>
  </w:endnote>
  <w:endnote w:type="continuationSeparator" w:id="0">
    <w:p w14:paraId="17869417" w14:textId="77777777" w:rsidR="0086517B" w:rsidRDefault="00865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8CF9A8-813E-424D-A491-1EC87A3B8C05}"/>
    <w:embedBold r:id="rId2" w:fontKey="{9C45B0E3-E2C6-4847-A624-44DB6DDFBD01}"/>
    <w:embedItalic r:id="rId3" w:fontKey="{8C10EE8E-35E3-4FD2-A97A-7F9B95F49B34}"/>
    <w:embedBoldItalic r:id="rId4" w:fontKey="{D2E58BD7-3E0E-4578-BCF0-D6466EC06FB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1BA8581-A98C-40D4-91BD-DF2C68733640}"/>
    <w:embedBold r:id="rId6" w:fontKey="{F2850936-21E9-49C4-AA30-2176FA4433DB}"/>
    <w:embedItalic r:id="rId7" w:fontKey="{53EA8845-2ACC-44D4-A732-16EE6ACF9253}"/>
    <w:embedBoldItalic r:id="rId8" w:fontKey="{C591DC84-3238-4DFC-BF5D-4FDBF1A743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41E238BB-8B43-48BA-B155-B6082D6AEDCD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C17D7513-4845-4264-86A7-BC27D9280E08}"/>
  </w:font>
  <w:font w:name="Gilroy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B1F2" w14:textId="77777777" w:rsidR="00BC3358" w:rsidRDefault="00BC3358">
    <w:pPr>
      <w:spacing w:after="0" w:line="240" w:lineRule="auto"/>
      <w:jc w:val="center"/>
      <w:rPr>
        <w:rFonts w:ascii="Gilroy" w:hAnsi="Gilroy"/>
      </w:rPr>
    </w:pPr>
  </w:p>
  <w:p w14:paraId="015D601E" w14:textId="77777777" w:rsidR="00BC3358" w:rsidRDefault="00000000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F90F" w14:textId="77777777" w:rsidR="0086517B" w:rsidRDefault="0086517B">
      <w:pPr>
        <w:spacing w:after="0" w:line="240" w:lineRule="auto"/>
      </w:pPr>
      <w:r>
        <w:separator/>
      </w:r>
    </w:p>
  </w:footnote>
  <w:footnote w:type="continuationSeparator" w:id="0">
    <w:p w14:paraId="329E12AD" w14:textId="77777777" w:rsidR="0086517B" w:rsidRDefault="00865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51D9" w14:textId="77777777" w:rsidR="00BC3358" w:rsidRDefault="00000000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6198" behindDoc="1" locked="0" layoutInCell="1" allowOverlap="1" wp14:anchorId="0D25A832" wp14:editId="78B232D1">
          <wp:simplePos x="0" y="0"/>
          <wp:positionH relativeFrom="page">
            <wp:posOffset>156845</wp:posOffset>
          </wp:positionH>
          <wp:positionV relativeFrom="page">
            <wp:posOffset>43815</wp:posOffset>
          </wp:positionV>
          <wp:extent cx="7511415" cy="9719945"/>
          <wp:effectExtent l="0" t="0" r="0" b="0"/>
          <wp:wrapNone/>
          <wp:docPr id="904451279" name="Picture 9044512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1415" cy="9720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34EAEC44" w14:textId="77777777" w:rsidR="00BC3358" w:rsidRDefault="00BC33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3376BF0D" w14:textId="77777777" w:rsidR="00BC3358" w:rsidRDefault="00BC33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010"/>
    <w:multiLevelType w:val="multilevel"/>
    <w:tmpl w:val="BA0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771A"/>
    <w:multiLevelType w:val="hybridMultilevel"/>
    <w:tmpl w:val="D050411A"/>
    <w:lvl w:ilvl="0" w:tplc="F662D7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1518A"/>
    <w:multiLevelType w:val="multilevel"/>
    <w:tmpl w:val="BCB2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20BA"/>
    <w:multiLevelType w:val="multilevel"/>
    <w:tmpl w:val="5E5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6693B"/>
    <w:multiLevelType w:val="hybridMultilevel"/>
    <w:tmpl w:val="16B688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B2BEA"/>
    <w:multiLevelType w:val="multilevel"/>
    <w:tmpl w:val="B6CC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609E7"/>
    <w:multiLevelType w:val="multilevel"/>
    <w:tmpl w:val="4C5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A76EB"/>
    <w:multiLevelType w:val="multilevel"/>
    <w:tmpl w:val="E22E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40EAB"/>
    <w:multiLevelType w:val="multilevel"/>
    <w:tmpl w:val="B33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64A28"/>
    <w:multiLevelType w:val="multilevel"/>
    <w:tmpl w:val="3FC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538126">
    <w:abstractNumId w:val="6"/>
  </w:num>
  <w:num w:numId="2" w16cid:durableId="1028677427">
    <w:abstractNumId w:val="2"/>
  </w:num>
  <w:num w:numId="3" w16cid:durableId="28645867">
    <w:abstractNumId w:val="9"/>
  </w:num>
  <w:num w:numId="4" w16cid:durableId="1183979654">
    <w:abstractNumId w:val="0"/>
  </w:num>
  <w:num w:numId="5" w16cid:durableId="754714554">
    <w:abstractNumId w:val="7"/>
  </w:num>
  <w:num w:numId="6" w16cid:durableId="2008901922">
    <w:abstractNumId w:val="5"/>
  </w:num>
  <w:num w:numId="7" w16cid:durableId="1940214896">
    <w:abstractNumId w:val="8"/>
  </w:num>
  <w:num w:numId="8" w16cid:durableId="1136878923">
    <w:abstractNumId w:val="3"/>
  </w:num>
  <w:num w:numId="9" w16cid:durableId="1379360046">
    <w:abstractNumId w:val="1"/>
  </w:num>
  <w:num w:numId="10" w16cid:durableId="1352488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100296"/>
    <w:rsid w:val="00117BA7"/>
    <w:rsid w:val="00126949"/>
    <w:rsid w:val="001302C3"/>
    <w:rsid w:val="00131BFF"/>
    <w:rsid w:val="00132F90"/>
    <w:rsid w:val="00143595"/>
    <w:rsid w:val="00143FED"/>
    <w:rsid w:val="00146CEF"/>
    <w:rsid w:val="001805FC"/>
    <w:rsid w:val="001849C2"/>
    <w:rsid w:val="001A04BB"/>
    <w:rsid w:val="001D30C7"/>
    <w:rsid w:val="001E03F0"/>
    <w:rsid w:val="001E7CE7"/>
    <w:rsid w:val="00205462"/>
    <w:rsid w:val="00207B9B"/>
    <w:rsid w:val="00212F3D"/>
    <w:rsid w:val="002203B2"/>
    <w:rsid w:val="0022385D"/>
    <w:rsid w:val="00232B60"/>
    <w:rsid w:val="00233E5A"/>
    <w:rsid w:val="00234052"/>
    <w:rsid w:val="00243940"/>
    <w:rsid w:val="002452B1"/>
    <w:rsid w:val="00250E79"/>
    <w:rsid w:val="002512AF"/>
    <w:rsid w:val="00257706"/>
    <w:rsid w:val="00262E0B"/>
    <w:rsid w:val="00272A15"/>
    <w:rsid w:val="0027712E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6996"/>
    <w:rsid w:val="0034198F"/>
    <w:rsid w:val="003548DD"/>
    <w:rsid w:val="00355D70"/>
    <w:rsid w:val="00360160"/>
    <w:rsid w:val="00371F2C"/>
    <w:rsid w:val="003B18D2"/>
    <w:rsid w:val="003B3B42"/>
    <w:rsid w:val="003C46C0"/>
    <w:rsid w:val="003C5DDA"/>
    <w:rsid w:val="003C7005"/>
    <w:rsid w:val="003E045A"/>
    <w:rsid w:val="003E7AB3"/>
    <w:rsid w:val="003F0A81"/>
    <w:rsid w:val="003F477F"/>
    <w:rsid w:val="00412343"/>
    <w:rsid w:val="00416321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4AF9"/>
    <w:rsid w:val="004E7F48"/>
    <w:rsid w:val="005112F0"/>
    <w:rsid w:val="005305E5"/>
    <w:rsid w:val="00535A9C"/>
    <w:rsid w:val="0054784E"/>
    <w:rsid w:val="005529EA"/>
    <w:rsid w:val="0058273E"/>
    <w:rsid w:val="00582C3B"/>
    <w:rsid w:val="00595E9E"/>
    <w:rsid w:val="00595F4D"/>
    <w:rsid w:val="005A0660"/>
    <w:rsid w:val="005A7BF6"/>
    <w:rsid w:val="005B2804"/>
    <w:rsid w:val="005B5E61"/>
    <w:rsid w:val="005C5579"/>
    <w:rsid w:val="005D718E"/>
    <w:rsid w:val="005D795E"/>
    <w:rsid w:val="005E5CF6"/>
    <w:rsid w:val="005E5F31"/>
    <w:rsid w:val="005F19A8"/>
    <w:rsid w:val="00600450"/>
    <w:rsid w:val="00601532"/>
    <w:rsid w:val="00604CE7"/>
    <w:rsid w:val="00613228"/>
    <w:rsid w:val="00614A7A"/>
    <w:rsid w:val="00616062"/>
    <w:rsid w:val="00630364"/>
    <w:rsid w:val="00634FD5"/>
    <w:rsid w:val="00636A9C"/>
    <w:rsid w:val="0065437B"/>
    <w:rsid w:val="006622AA"/>
    <w:rsid w:val="006A1C14"/>
    <w:rsid w:val="006A7E08"/>
    <w:rsid w:val="006B469A"/>
    <w:rsid w:val="006B49BC"/>
    <w:rsid w:val="006B58FB"/>
    <w:rsid w:val="006C19FD"/>
    <w:rsid w:val="006D2910"/>
    <w:rsid w:val="006E1D8E"/>
    <w:rsid w:val="006F7F5B"/>
    <w:rsid w:val="00700527"/>
    <w:rsid w:val="00705518"/>
    <w:rsid w:val="007211D8"/>
    <w:rsid w:val="007278C6"/>
    <w:rsid w:val="007340D7"/>
    <w:rsid w:val="007652AA"/>
    <w:rsid w:val="00770A40"/>
    <w:rsid w:val="00787931"/>
    <w:rsid w:val="0079437C"/>
    <w:rsid w:val="00795F72"/>
    <w:rsid w:val="007A0E00"/>
    <w:rsid w:val="007B5876"/>
    <w:rsid w:val="007C2482"/>
    <w:rsid w:val="007C4ED3"/>
    <w:rsid w:val="007D1B52"/>
    <w:rsid w:val="007E4E9A"/>
    <w:rsid w:val="007E79D6"/>
    <w:rsid w:val="007F4617"/>
    <w:rsid w:val="00807B76"/>
    <w:rsid w:val="00817726"/>
    <w:rsid w:val="00824FDD"/>
    <w:rsid w:val="0085542E"/>
    <w:rsid w:val="00856B84"/>
    <w:rsid w:val="0086517B"/>
    <w:rsid w:val="00875F68"/>
    <w:rsid w:val="00882EAC"/>
    <w:rsid w:val="00883620"/>
    <w:rsid w:val="00885058"/>
    <w:rsid w:val="00890634"/>
    <w:rsid w:val="008974BD"/>
    <w:rsid w:val="008B02C8"/>
    <w:rsid w:val="008D3539"/>
    <w:rsid w:val="008E0099"/>
    <w:rsid w:val="008F079E"/>
    <w:rsid w:val="008F51B8"/>
    <w:rsid w:val="00902807"/>
    <w:rsid w:val="00917C11"/>
    <w:rsid w:val="00922933"/>
    <w:rsid w:val="00923636"/>
    <w:rsid w:val="00924E05"/>
    <w:rsid w:val="0093000F"/>
    <w:rsid w:val="00945B77"/>
    <w:rsid w:val="00947790"/>
    <w:rsid w:val="00952CB9"/>
    <w:rsid w:val="00971BAA"/>
    <w:rsid w:val="009B16A8"/>
    <w:rsid w:val="009B1E45"/>
    <w:rsid w:val="009B364B"/>
    <w:rsid w:val="009B7C3C"/>
    <w:rsid w:val="009E4F83"/>
    <w:rsid w:val="009F1BD3"/>
    <w:rsid w:val="009F7A83"/>
    <w:rsid w:val="00A1086C"/>
    <w:rsid w:val="00A323D8"/>
    <w:rsid w:val="00A44159"/>
    <w:rsid w:val="00A63279"/>
    <w:rsid w:val="00A96159"/>
    <w:rsid w:val="00AA3E75"/>
    <w:rsid w:val="00AB654D"/>
    <w:rsid w:val="00AC1E3A"/>
    <w:rsid w:val="00AD2218"/>
    <w:rsid w:val="00AD3954"/>
    <w:rsid w:val="00AD44A2"/>
    <w:rsid w:val="00AE5FE5"/>
    <w:rsid w:val="00AF1491"/>
    <w:rsid w:val="00AF5204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87581"/>
    <w:rsid w:val="00B9480A"/>
    <w:rsid w:val="00BA3CEB"/>
    <w:rsid w:val="00BA5746"/>
    <w:rsid w:val="00BB284A"/>
    <w:rsid w:val="00BC2FD9"/>
    <w:rsid w:val="00BC3358"/>
    <w:rsid w:val="00BC5693"/>
    <w:rsid w:val="00BD52B7"/>
    <w:rsid w:val="00BD5C88"/>
    <w:rsid w:val="00BF45E9"/>
    <w:rsid w:val="00C01B2C"/>
    <w:rsid w:val="00C13928"/>
    <w:rsid w:val="00C13F9B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D78"/>
    <w:rsid w:val="00CA3935"/>
    <w:rsid w:val="00CA6F5F"/>
    <w:rsid w:val="00CC2A75"/>
    <w:rsid w:val="00CC615E"/>
    <w:rsid w:val="00CC697D"/>
    <w:rsid w:val="00CE14CB"/>
    <w:rsid w:val="00CE1728"/>
    <w:rsid w:val="00CF56FC"/>
    <w:rsid w:val="00CF62CE"/>
    <w:rsid w:val="00CF6983"/>
    <w:rsid w:val="00D004FD"/>
    <w:rsid w:val="00D1109A"/>
    <w:rsid w:val="00D15B61"/>
    <w:rsid w:val="00D2051D"/>
    <w:rsid w:val="00D20ACB"/>
    <w:rsid w:val="00D21499"/>
    <w:rsid w:val="00D318BF"/>
    <w:rsid w:val="00D40C56"/>
    <w:rsid w:val="00D4391E"/>
    <w:rsid w:val="00D45FC5"/>
    <w:rsid w:val="00D45FF5"/>
    <w:rsid w:val="00D557FC"/>
    <w:rsid w:val="00D60AC7"/>
    <w:rsid w:val="00D64633"/>
    <w:rsid w:val="00D76A7D"/>
    <w:rsid w:val="00D85A85"/>
    <w:rsid w:val="00D96AF8"/>
    <w:rsid w:val="00D96BB4"/>
    <w:rsid w:val="00DA34A7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66F9B"/>
    <w:rsid w:val="00E72E3D"/>
    <w:rsid w:val="00E94DEE"/>
    <w:rsid w:val="00EA30F4"/>
    <w:rsid w:val="00EA43D7"/>
    <w:rsid w:val="00EB1778"/>
    <w:rsid w:val="00EC05F2"/>
    <w:rsid w:val="00EC1215"/>
    <w:rsid w:val="00EC2390"/>
    <w:rsid w:val="00EE1C8C"/>
    <w:rsid w:val="00EE5015"/>
    <w:rsid w:val="00EF02AE"/>
    <w:rsid w:val="00EF3B22"/>
    <w:rsid w:val="00F36951"/>
    <w:rsid w:val="00F42DE0"/>
    <w:rsid w:val="00F47565"/>
    <w:rsid w:val="00F51F54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63EAA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1782</Words>
  <Characters>9801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Zahira</dc:creator>
  <cp:lastModifiedBy>antonio osio</cp:lastModifiedBy>
  <cp:revision>2</cp:revision>
  <dcterms:created xsi:type="dcterms:W3CDTF">2026-07-24T23:21:00Z</dcterms:created>
  <dcterms:modified xsi:type="dcterms:W3CDTF">2026-07-24T23:21:00Z</dcterms:modified>
</cp:coreProperties>
</file>