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4E61" w14:textId="77777777" w:rsidR="00A2741D" w:rsidRPr="00C565E2" w:rsidRDefault="007F62BB" w:rsidP="007F62BB">
      <w:pPr>
        <w:spacing w:after="960" w:line="240" w:lineRule="auto"/>
        <w:jc w:val="center"/>
        <w:rPr>
          <w:rFonts w:ascii="Gilroy SemiBold" w:hAnsi="Gilroy SemiBold" w:cs="Gilroy"/>
          <w:b/>
          <w:bCs/>
          <w:color w:val="20604A"/>
          <w:sz w:val="44"/>
          <w:szCs w:val="44"/>
        </w:rPr>
      </w:pPr>
      <w:r>
        <w:rPr>
          <w:rFonts w:ascii="Gilroy" w:hAnsi="Gilroy" w:cs="Gilroy"/>
          <w:b/>
          <w:bCs/>
          <w:color w:val="20604A"/>
          <w:sz w:val="52"/>
          <w:szCs w:val="52"/>
        </w:rPr>
        <w:br/>
      </w:r>
      <w:r w:rsidRPr="001A41BF">
        <w:rPr>
          <w:rFonts w:ascii="Gilroy SemiBold" w:hAnsi="Gilroy SemiBold" w:cs="Gilroy"/>
          <w:b/>
          <w:bCs/>
          <w:color w:val="20604A"/>
          <w:sz w:val="44"/>
          <w:szCs w:val="44"/>
        </w:rPr>
        <w:t>E088 DESARROLLO INTEGRAL DE LOS PUEBLOS INDÍGENAS.</w:t>
      </w:r>
    </w:p>
    <w:p w14:paraId="6347E030" w14:textId="77777777" w:rsidR="00A2741D" w:rsidRPr="00C565E2" w:rsidRDefault="00000000">
      <w:pPr>
        <w:spacing w:after="720" w:line="240" w:lineRule="auto"/>
        <w:jc w:val="center"/>
        <w:rPr>
          <w:rFonts w:ascii="Gilroy SemiBold" w:hAnsi="Gilroy SemiBold" w:cs="Gilroy"/>
          <w:b/>
          <w:bCs/>
          <w:color w:val="6A2C3E"/>
          <w:sz w:val="36"/>
          <w:szCs w:val="36"/>
        </w:rPr>
      </w:pPr>
      <w:r w:rsidRPr="00C565E2">
        <w:rPr>
          <w:rFonts w:ascii="Gilroy SemiBold" w:hAnsi="Gilroy SemiBold" w:cs="Gilroy"/>
          <w:b/>
          <w:bCs/>
          <w:color w:val="6A2C3E"/>
          <w:sz w:val="32"/>
          <w:szCs w:val="32"/>
        </w:rPr>
        <w:t>SUBDIRECCIÓN DE DESARROLLO DE TECNOLOGÍAS DE LA INFORMACIÓN</w:t>
      </w:r>
    </w:p>
    <w:p w14:paraId="57708281" w14:textId="77777777" w:rsidR="00A2741D" w:rsidRPr="00C565E2" w:rsidRDefault="00000000">
      <w:pPr>
        <w:spacing w:after="720" w:line="240" w:lineRule="auto"/>
        <w:jc w:val="center"/>
        <w:rPr>
          <w:rFonts w:ascii="Gilroy SemiBold" w:hAnsi="Gilroy SemiBold" w:cs="Gilroy"/>
          <w:b/>
          <w:bCs/>
          <w:color w:val="303030"/>
          <w:sz w:val="32"/>
          <w:szCs w:val="32"/>
        </w:rPr>
      </w:pPr>
      <w:r w:rsidRPr="00C565E2">
        <w:rPr>
          <w:rFonts w:ascii="Gilroy SemiBold" w:hAnsi="Gilroy SemiBold" w:cs="Gilroy"/>
          <w:b/>
          <w:bCs/>
          <w:color w:val="303030"/>
          <w:sz w:val="32"/>
          <w:szCs w:val="32"/>
        </w:rPr>
        <w:t>COMPONENTE 3: ACCIONES DE PATRIMONIO CULTURAL Y EDUCACIÓN PERTINENTE REALIZADAS.</w:t>
      </w:r>
    </w:p>
    <w:p w14:paraId="124B6C60" w14:textId="77777777" w:rsidR="00A2741D" w:rsidRPr="00C565E2" w:rsidRDefault="00000000" w:rsidP="007F62BB">
      <w:pPr>
        <w:spacing w:after="720" w:line="240" w:lineRule="auto"/>
        <w:jc w:val="both"/>
        <w:rPr>
          <w:rFonts w:ascii="Gilroy SemiBold" w:hAnsi="Gilroy SemiBold" w:cs="Gilroy"/>
          <w:b/>
          <w:bCs/>
          <w:color w:val="20604A"/>
          <w:sz w:val="32"/>
          <w:szCs w:val="32"/>
        </w:rPr>
      </w:pPr>
      <w:r w:rsidRPr="00C565E2">
        <w:rPr>
          <w:rFonts w:ascii="Gilroy SemiBold" w:hAnsi="Gilroy SemiBold" w:cs="Gilroy"/>
          <w:b/>
          <w:bCs/>
          <w:color w:val="20604A"/>
          <w:sz w:val="32"/>
          <w:szCs w:val="32"/>
        </w:rPr>
        <w:t>Actividad: 3.9 IMPLEMENTACIÓN DE PROYECTOS TECNOLOGICOS QUE REFLEJEN Y FORTALEZCAN LA COMUNICACIÓN Y LA IDENTIDAD CULTURAL.</w:t>
      </w:r>
    </w:p>
    <w:p w14:paraId="72896CB9" w14:textId="77777777" w:rsidR="00A2741D" w:rsidRPr="00C565E2" w:rsidRDefault="00000000">
      <w:pPr>
        <w:spacing w:after="720" w:line="240" w:lineRule="auto"/>
        <w:jc w:val="both"/>
        <w:rPr>
          <w:rFonts w:ascii="Gilroy SemiBold" w:hAnsi="Gilroy SemiBold" w:cs="Gilroy"/>
          <w:b/>
          <w:bCs/>
          <w:color w:val="A08060"/>
          <w:sz w:val="32"/>
          <w:szCs w:val="32"/>
        </w:rPr>
      </w:pPr>
      <w:r w:rsidRPr="00C565E2">
        <w:rPr>
          <w:rFonts w:ascii="Gilroy SemiBold" w:hAnsi="Gilroy SemiBold" w:cs="Gilroy"/>
          <w:b/>
          <w:bCs/>
          <w:color w:val="A08060"/>
          <w:sz w:val="32"/>
          <w:szCs w:val="32"/>
        </w:rPr>
        <w:t>INDICADOR: NÚMERO DE PROYECTOS TECNOLÓGICOS IMPLEMENTADOS PARA FORTALECER LA COMUNICACIÓN E IDENTIDAD CULTURAL.</w:t>
      </w:r>
    </w:p>
    <w:p w14:paraId="1D1CEAD9" w14:textId="77777777" w:rsidR="007F62BB" w:rsidRPr="007F62BB" w:rsidRDefault="007F62BB">
      <w:pPr>
        <w:spacing w:after="720" w:line="240" w:lineRule="auto"/>
        <w:jc w:val="both"/>
        <w:rPr>
          <w:rFonts w:ascii="Gilroy" w:hAnsi="Gilroy" w:cs="Gilroy"/>
          <w:b/>
          <w:bCs/>
          <w:color w:val="A08060"/>
          <w:sz w:val="36"/>
          <w:szCs w:val="36"/>
        </w:rPr>
      </w:pPr>
    </w:p>
    <w:p w14:paraId="796A4133" w14:textId="77777777" w:rsidR="00A2741D" w:rsidRPr="00C565E2" w:rsidRDefault="00000000">
      <w:pPr>
        <w:spacing w:after="0" w:line="240" w:lineRule="auto"/>
        <w:jc w:val="center"/>
        <w:rPr>
          <w:rFonts w:ascii="Gilroy SemiBold" w:hAnsi="Gilroy SemiBold" w:cs="Gilroy"/>
          <w:b/>
          <w:bCs/>
          <w:color w:val="303030"/>
          <w:sz w:val="48"/>
          <w:szCs w:val="48"/>
        </w:rPr>
      </w:pPr>
      <w:r w:rsidRPr="00C565E2">
        <w:rPr>
          <w:rFonts w:ascii="Gilroy SemiBold" w:hAnsi="Gilroy SemiBold" w:cs="Gilroy"/>
          <w:b/>
          <w:bCs/>
          <w:color w:val="303030"/>
          <w:sz w:val="48"/>
          <w:szCs w:val="48"/>
        </w:rPr>
        <w:t>3ER TRIMESTRE 2026</w:t>
      </w:r>
    </w:p>
    <w:p w14:paraId="7C542E78" w14:textId="77777777" w:rsidR="00F26FD7" w:rsidRDefault="00000000">
      <w:pPr>
        <w:pageBreakBefore/>
        <w:spacing w:after="200" w:line="276" w:lineRule="auto"/>
      </w:pPr>
      <w:r>
        <w:rPr>
          <w:rFonts w:ascii="Gilroy" w:hAnsi="Gilroy" w:cs="Gilroy"/>
          <w:b/>
          <w:color w:val="303030"/>
          <w:sz w:val="24"/>
        </w:rPr>
        <w:lastRenderedPageBreak/>
        <w:t>1. DESCRIPCIÓN DE LA JUSTIFICACIÓN</w:t>
      </w:r>
    </w:p>
    <w:p w14:paraId="4487B5FE" w14:textId="77777777" w:rsidR="00F26FD7" w:rsidRDefault="00000000">
      <w:pPr>
        <w:spacing w:line="276" w:lineRule="auto"/>
        <w:jc w:val="both"/>
      </w:pPr>
      <w:r>
        <w:rPr>
          <w:rFonts w:ascii="Gilroy" w:hAnsi="Gilroy" w:cs="Gilroy"/>
          <w:color w:val="303030"/>
        </w:rPr>
        <w:t xml:space="preserve">Se reporta el avance de la meta programada para este periodo, materializado en dos proyectos de la Subdirección: </w:t>
      </w:r>
      <w:r>
        <w:rPr>
          <w:rFonts w:ascii="Gilroy" w:hAnsi="Gilroy" w:cs="Gilroy"/>
          <w:b/>
          <w:color w:val="303030"/>
        </w:rPr>
        <w:t>TEKITL</w:t>
      </w:r>
      <w:r>
        <w:rPr>
          <w:rFonts w:ascii="Gilroy" w:hAnsi="Gilroy" w:cs="Gilroy"/>
          <w:color w:val="303030"/>
        </w:rPr>
        <w:t xml:space="preserve">, que reúne el programa Tekitl Laboratorios y el curso "Electrónica y Programación Básica", y el </w:t>
      </w:r>
      <w:r>
        <w:rPr>
          <w:rFonts w:ascii="Gilroy" w:hAnsi="Gilroy" w:cs="Gilroy"/>
          <w:b/>
          <w:color w:val="303030"/>
        </w:rPr>
        <w:t>Nodo de Innovación Tecnológica Comunitaria (NODO / NITC)</w:t>
      </w:r>
      <w:r>
        <w:rPr>
          <w:rFonts w:ascii="Gilroy" w:hAnsi="Gilroy" w:cs="Gilroy"/>
          <w:color w:val="303030"/>
        </w:rPr>
        <w:t xml:space="preserve">. A diferencia de los trimestres anteriores, en los que el resultado fue ingeniería de escritorio (Tekitl Digital, Intercambio Digital, PADI y Altépetl), en este periodo se pasa a la </w:t>
      </w:r>
      <w:r>
        <w:rPr>
          <w:rFonts w:ascii="Gilroy" w:hAnsi="Gilroy" w:cs="Gilroy"/>
          <w:b/>
          <w:color w:val="303030"/>
        </w:rPr>
        <w:t>formación técnica en estado "Llave en Mano" y a la instalación física verificable</w:t>
      </w:r>
      <w:r>
        <w:rPr>
          <w:rFonts w:ascii="Gilroy" w:hAnsi="Gilroy" w:cs="Gilroy"/>
          <w:color w:val="303030"/>
        </w:rPr>
        <w:t>.</w:t>
      </w:r>
    </w:p>
    <w:p w14:paraId="255DA99E" w14:textId="77777777" w:rsidR="00F26FD7" w:rsidRDefault="00000000">
      <w:pPr>
        <w:spacing w:line="276" w:lineRule="auto"/>
        <w:jc w:val="both"/>
      </w:pPr>
      <w:r>
        <w:rPr>
          <w:rFonts w:ascii="Gilroy" w:hAnsi="Gilroy" w:cs="Gilroy"/>
          <w:b/>
          <w:color w:val="303030"/>
        </w:rPr>
        <w:t>TEKITL</w:t>
      </w:r>
      <w:r>
        <w:rPr>
          <w:rFonts w:ascii="Gilroy" w:hAnsi="Gilroy" w:cs="Gilroy"/>
          <w:color w:val="303030"/>
        </w:rPr>
        <w:t xml:space="preserve"> atiende dos rezagos. Primero, la acumulación de chatarra electrónica en municipios con alta presencia indígena: el Documento Maestro estima, con base en los residuos sólidos urbanos de 2024 y la composición de residuos de SEMARNAT, más de 180 toneladas anuales solo en Cuetzalan del Progreso y Zacapoaxtla. Segundo, la dependencia técnica de las comunidades, que no cuentan con herramientas para entender, reparar o reutilizar los aparatos que consumen. Los Módulos Interculturales Digitales lograron el acceso y uso del software; Tekitl-Lab da el siguiente paso con la comprensión del hardware, mediante un programa dinámico de cursos y no con una instalación fija. El curso "Electrónica y Programación Básica" extiende ese enfoque a estudiantes de secundaria, con Arduino como herramienta.</w:t>
      </w:r>
    </w:p>
    <w:p w14:paraId="1540CBCC" w14:textId="77777777" w:rsidR="00F26FD7" w:rsidRDefault="00000000">
      <w:pPr>
        <w:spacing w:line="276" w:lineRule="auto"/>
        <w:jc w:val="both"/>
      </w:pPr>
      <w:r>
        <w:rPr>
          <w:rFonts w:ascii="Gilroy" w:hAnsi="Gilroy" w:cs="Gilroy"/>
          <w:color w:val="303030"/>
        </w:rPr>
        <w:t xml:space="preserve">El </w:t>
      </w:r>
      <w:r>
        <w:rPr>
          <w:rFonts w:ascii="Gilroy" w:hAnsi="Gilroy" w:cs="Gilroy"/>
          <w:b/>
          <w:color w:val="303030"/>
        </w:rPr>
        <w:t>NODO</w:t>
      </w:r>
      <w:r>
        <w:rPr>
          <w:rFonts w:ascii="Gilroy" w:hAnsi="Gilroy" w:cs="Gilroy"/>
          <w:color w:val="303030"/>
        </w:rPr>
        <w:t xml:space="preserve"> responde a la dispersión de esfuerzos: concibe un espacio físico de co-gestión comunitaria que reúne, en una sola infraestructura, los proyectos que el IPPI ya diseñó. Su fundamento jurídico es el Artículo 2° constitucional, el Artículo 13 de la Constitución de Puebla (que reconoce a las comunidades como Sujetos de Derecho Público) y el Convenio 169 de la OIT. En este trimestre se concretó la primera etapa física: las zonas de producción de audio y video y la sala de capacitación y presentaciones, que permitirán a las comunidades documentar su patrimonio inmaterial, producir contenidos en lenguas originarias y formar promotores tecnológicos.</w:t>
      </w:r>
    </w:p>
    <w:p w14:paraId="71D709D4" w14:textId="77777777" w:rsidR="00F26FD7" w:rsidRDefault="00000000">
      <w:pPr>
        <w:spacing w:line="276" w:lineRule="auto"/>
        <w:jc w:val="both"/>
      </w:pPr>
      <w:r>
        <w:rPr>
          <w:rFonts w:ascii="Gilroy" w:hAnsi="Gilroy" w:cs="Gilroy"/>
          <w:color w:val="303030"/>
        </w:rPr>
        <w:t>Dado que ningún curso se ha impartido y el NODO aún no recibe visitas, el alcance se circunscribe al fortalecimiento de las capacidades institucionales del IPPI. El resultado se convalida mediante la entrega de los materiales formativos, la infraestructura instalada y probada, y la evidencia documental y fotográfica correspondiente.</w:t>
      </w:r>
    </w:p>
    <w:p w14:paraId="61A0F71C" w14:textId="77777777" w:rsidR="00C9757E" w:rsidRDefault="00C9757E">
      <w:pPr>
        <w:pageBreakBefore/>
        <w:spacing w:after="0" w:line="3700" w:lineRule="exact"/>
      </w:pPr>
    </w:p>
    <w:p w14:paraId="7734D8FE" w14:textId="77777777" w:rsidR="00064949" w:rsidRPr="00BA122D" w:rsidRDefault="00064949" w:rsidP="00064949">
      <w:pPr>
        <w:spacing w:after="0" w:line="240" w:lineRule="auto"/>
        <w:jc w:val="center"/>
        <w:rPr>
          <w:b/>
          <w:bCs/>
          <w:color w:val="6A2C3E"/>
          <w:sz w:val="40"/>
          <w:szCs w:val="40"/>
        </w:rPr>
      </w:pPr>
      <w:r w:rsidRPr="00BA122D">
        <w:rPr>
          <w:b/>
          <w:bCs/>
          <w:color w:val="6A2C3E"/>
          <w:sz w:val="40"/>
          <w:szCs w:val="40"/>
        </w:rPr>
        <w:t>INFORME INSTITUCIONAL ANUAL DE RESULTADOS</w:t>
      </w:r>
    </w:p>
    <w:p w14:paraId="417570B9" w14:textId="77777777" w:rsidR="00064949" w:rsidRPr="00BA122D" w:rsidRDefault="00064949" w:rsidP="00064949">
      <w:pPr>
        <w:spacing w:after="0" w:line="240" w:lineRule="auto"/>
        <w:jc w:val="center"/>
        <w:rPr>
          <w:b/>
          <w:bCs/>
          <w:color w:val="6A2C3E"/>
          <w:sz w:val="40"/>
          <w:szCs w:val="40"/>
        </w:rPr>
      </w:pPr>
      <w:r w:rsidRPr="00BA122D">
        <w:rPr>
          <w:b/>
          <w:bCs/>
          <w:color w:val="6A2C3E"/>
          <w:sz w:val="40"/>
          <w:szCs w:val="40"/>
        </w:rPr>
        <w:t>EJERCICIO FISCAL 2026</w:t>
      </w:r>
    </w:p>
    <w:p w14:paraId="51724B23" w14:textId="77777777" w:rsidR="002343C3" w:rsidRDefault="002343C3" w:rsidP="00064949">
      <w:pPr>
        <w:spacing w:after="0" w:line="240" w:lineRule="auto"/>
        <w:jc w:val="center"/>
        <w:rPr>
          <w:b/>
          <w:bCs/>
          <w:color w:val="6A2C3E"/>
          <w:sz w:val="40"/>
          <w:szCs w:val="40"/>
        </w:rPr>
      </w:pPr>
    </w:p>
    <w:p w14:paraId="28B96711" w14:textId="77777777" w:rsidR="002343C3" w:rsidRDefault="002343C3" w:rsidP="00064949">
      <w:pPr>
        <w:spacing w:after="0" w:line="240" w:lineRule="auto"/>
        <w:jc w:val="center"/>
        <w:rPr>
          <w:b/>
          <w:bCs/>
          <w:color w:val="6A2C3E"/>
          <w:sz w:val="40"/>
          <w:szCs w:val="40"/>
        </w:rPr>
      </w:pPr>
    </w:p>
    <w:p w14:paraId="6BB3B97C" w14:textId="77777777" w:rsidR="002343C3" w:rsidRDefault="002343C3" w:rsidP="00064949">
      <w:pPr>
        <w:spacing w:after="0" w:line="240" w:lineRule="auto"/>
        <w:jc w:val="center"/>
        <w:rPr>
          <w:b/>
          <w:bCs/>
          <w:color w:val="6A2C3E"/>
          <w:sz w:val="40"/>
          <w:szCs w:val="40"/>
        </w:rPr>
      </w:pPr>
    </w:p>
    <w:p w14:paraId="68DFC0BB" w14:textId="77777777" w:rsidR="007F5DEA" w:rsidRDefault="007F5DEA" w:rsidP="00064949">
      <w:pPr>
        <w:spacing w:after="0" w:line="240" w:lineRule="auto"/>
        <w:jc w:val="center"/>
        <w:rPr>
          <w:b/>
          <w:bCs/>
          <w:color w:val="6A2C3E"/>
          <w:sz w:val="40"/>
          <w:szCs w:val="40"/>
        </w:rPr>
      </w:pPr>
    </w:p>
    <w:p w14:paraId="6AF1BB58" w14:textId="77777777" w:rsidR="007F5DEA" w:rsidRDefault="007F5DEA" w:rsidP="00064949">
      <w:pPr>
        <w:spacing w:after="0" w:line="240" w:lineRule="auto"/>
        <w:jc w:val="center"/>
        <w:rPr>
          <w:b/>
          <w:bCs/>
          <w:color w:val="6A2C3E"/>
          <w:sz w:val="40"/>
          <w:szCs w:val="40"/>
        </w:rPr>
      </w:pPr>
    </w:p>
    <w:p w14:paraId="56AD1102" w14:textId="77777777" w:rsidR="007F5DEA" w:rsidRDefault="007F5DEA" w:rsidP="00064949">
      <w:pPr>
        <w:spacing w:after="0" w:line="240" w:lineRule="auto"/>
        <w:jc w:val="center"/>
        <w:rPr>
          <w:b/>
          <w:bCs/>
          <w:color w:val="6A2C3E"/>
          <w:sz w:val="40"/>
          <w:szCs w:val="40"/>
        </w:rPr>
      </w:pPr>
    </w:p>
    <w:p w14:paraId="48726540" w14:textId="77777777" w:rsidR="007F5DEA" w:rsidRDefault="007F5DEA" w:rsidP="00064949">
      <w:pPr>
        <w:spacing w:after="0" w:line="240" w:lineRule="auto"/>
        <w:jc w:val="center"/>
        <w:rPr>
          <w:b/>
          <w:bCs/>
          <w:color w:val="6A2C3E"/>
          <w:sz w:val="40"/>
          <w:szCs w:val="40"/>
        </w:rPr>
      </w:pPr>
    </w:p>
    <w:p w14:paraId="67A314D3" w14:textId="77777777" w:rsidR="007F5DEA" w:rsidRDefault="007F5DEA" w:rsidP="00064949">
      <w:pPr>
        <w:spacing w:after="0" w:line="240" w:lineRule="auto"/>
        <w:jc w:val="center"/>
        <w:rPr>
          <w:b/>
          <w:bCs/>
          <w:color w:val="6A2C3E"/>
          <w:sz w:val="40"/>
          <w:szCs w:val="40"/>
        </w:rPr>
      </w:pPr>
    </w:p>
    <w:p w14:paraId="7662D4EA"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PROGRAMA PRESUPUESTARIO:</w:t>
      </w:r>
    </w:p>
    <w:p w14:paraId="488F1549"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E088 DESARROLLO INTEGRAL DE LOS PUEBLOS INDÍGENAS</w:t>
      </w:r>
    </w:p>
    <w:p w14:paraId="34306A29"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COMPONENTE 3:</w:t>
      </w:r>
    </w:p>
    <w:p w14:paraId="40657C2A"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ACCIONES DE PATRIMONIO CULTURAL Y EDUCACIÓN PERTINENTE REALIZADAS.</w:t>
      </w:r>
    </w:p>
    <w:p w14:paraId="105925DC"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ACTIVIDAD 3.9:</w:t>
      </w:r>
    </w:p>
    <w:p w14:paraId="470E3127"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IMPLEMENTACIÓN DE PROYECTOS TECNOLOGICOS QUE REFLEJEN Y FORTALEZCAN LA COMUNICACIÓN Y LA IDENTIDAD CULTURAL.</w:t>
      </w:r>
    </w:p>
    <w:p w14:paraId="068082E8" w14:textId="77777777" w:rsidR="002343C3" w:rsidRPr="003E09DF" w:rsidRDefault="002343C3" w:rsidP="002343C3">
      <w:pPr>
        <w:spacing w:after="0" w:line="240" w:lineRule="auto"/>
        <w:rPr>
          <w:b/>
          <w:bCs/>
          <w:color w:val="6A2C3E"/>
          <w:sz w:val="24"/>
          <w:szCs w:val="24"/>
        </w:rPr>
      </w:pPr>
      <w:r w:rsidRPr="003E09DF">
        <w:rPr>
          <w:b/>
          <w:bCs/>
          <w:color w:val="6A2C3E"/>
          <w:sz w:val="24"/>
          <w:szCs w:val="24"/>
        </w:rPr>
        <w:t>RESPONSABLE DE LA INFORMACIÓN:</w:t>
      </w:r>
    </w:p>
    <w:p w14:paraId="0B2ABAAD" w14:textId="77777777" w:rsidR="002343C3" w:rsidRPr="007F5DEA" w:rsidRDefault="002343C3" w:rsidP="002343C3">
      <w:pPr>
        <w:spacing w:after="0" w:line="240" w:lineRule="auto"/>
        <w:rPr>
          <w:b/>
          <w:bCs/>
          <w:sz w:val="24"/>
          <w:szCs w:val="24"/>
        </w:rPr>
      </w:pPr>
      <w:r w:rsidRPr="007F5DEA">
        <w:rPr>
          <w:b/>
          <w:bCs/>
          <w:sz w:val="24"/>
          <w:szCs w:val="24"/>
        </w:rPr>
        <w:t>MIGUEL TRINIDAD GÓMEZ HERNÁNDEZ</w:t>
      </w:r>
    </w:p>
    <w:p w14:paraId="014841C3" w14:textId="77777777" w:rsidR="007F5DEA" w:rsidRPr="007F5DEA" w:rsidRDefault="002343C3" w:rsidP="002343C3">
      <w:pPr>
        <w:spacing w:after="0" w:line="240" w:lineRule="auto"/>
        <w:rPr>
          <w:sz w:val="20"/>
          <w:szCs w:val="20"/>
        </w:rPr>
      </w:pPr>
      <w:r w:rsidRPr="007F5DEA">
        <w:rPr>
          <w:b/>
          <w:bCs/>
          <w:sz w:val="24"/>
          <w:szCs w:val="24"/>
        </w:rPr>
        <w:t>ENCARGADO DE DESPACHO DE LA SUBDIRECCIÓN DE DESARROLLO DE TECNOLOGÍAS DE LA INFORMACIÓN</w:t>
      </w:r>
      <w:r w:rsidR="007F5DEA" w:rsidRPr="007F5DEA">
        <w:rPr>
          <w:sz w:val="20"/>
          <w:szCs w:val="20"/>
        </w:rPr>
        <w:t xml:space="preserve"> </w:t>
      </w:r>
    </w:p>
    <w:p w14:paraId="4C0F912F" w14:textId="77777777" w:rsidR="002343C3" w:rsidRPr="007F5DEA" w:rsidRDefault="007F5DEA" w:rsidP="002343C3">
      <w:pPr>
        <w:spacing w:after="0" w:line="240" w:lineRule="auto"/>
        <w:rPr>
          <w:b/>
          <w:bCs/>
          <w:sz w:val="24"/>
          <w:szCs w:val="24"/>
        </w:rPr>
      </w:pPr>
      <w:r w:rsidRPr="007F5DEA">
        <w:rPr>
          <w:b/>
          <w:bCs/>
          <w:sz w:val="24"/>
          <w:szCs w:val="24"/>
        </w:rPr>
        <w:t xml:space="preserve">Heroica Puebla de Zaragoza, </w:t>
      </w:r>
      <w:proofErr w:type="gramStart"/>
      <w:r w:rsidRPr="007F5DEA">
        <w:rPr>
          <w:b/>
          <w:bCs/>
          <w:sz w:val="24"/>
          <w:szCs w:val="24"/>
        </w:rPr>
        <w:t>Octubre</w:t>
      </w:r>
      <w:proofErr w:type="gramEnd"/>
      <w:r w:rsidRPr="007F5DEA">
        <w:rPr>
          <w:b/>
          <w:bCs/>
          <w:sz w:val="24"/>
          <w:szCs w:val="24"/>
        </w:rPr>
        <w:t xml:space="preserve"> de 2026.</w:t>
      </w:r>
    </w:p>
    <w:p w14:paraId="0C418C86" w14:textId="77777777" w:rsidR="00F26FD7" w:rsidRDefault="00AA13E0">
      <w:pPr>
        <w:pageBreakBefore/>
        <w:spacing w:after="200" w:line="276" w:lineRule="auto"/>
      </w:pPr>
      <w:r>
        <w:rPr>
          <w:rFonts w:ascii="Gilroy" w:hAnsi="Gilroy" w:cs="Gilroy"/>
          <w:b/>
          <w:color w:val="303030"/>
          <w:sz w:val="24"/>
        </w:rPr>
        <w:lastRenderedPageBreak/>
        <w:br/>
        <w:t>I. PRESENTACIÓN</w:t>
      </w:r>
    </w:p>
    <w:p w14:paraId="49B8A474" w14:textId="77777777" w:rsidR="0062426E" w:rsidRDefault="00000000">
      <w:pPr>
        <w:spacing w:line="276" w:lineRule="auto"/>
        <w:jc w:val="both"/>
      </w:pPr>
      <w:r>
        <w:rPr>
          <w:rFonts w:ascii="Gilroy" w:hAnsi="Gilroy" w:cs="Gilroy"/>
          <w:color w:val="303030"/>
        </w:rPr>
        <w:t xml:space="preserve">El presente Informe Institucional rinde cuentas sobre la consolidación de los dos proyectos con los que la Subdirección de Desarrollo de Tecnologías de la Información del Instituto Poblano de los Pueblos Indígenas (IPPI) transita, durante el tercer trimestre del ejercicio fiscal 2026, de la ingeniería de proyecto a la </w:t>
      </w:r>
      <w:r>
        <w:rPr>
          <w:rFonts w:ascii="Gilroy" w:hAnsi="Gilroy" w:cs="Gilroy"/>
          <w:b/>
          <w:color w:val="303030"/>
        </w:rPr>
        <w:t>formación técnica y a la infraestructura física institucional de vocación comunitaria</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y el </w:t>
      </w:r>
      <w:r>
        <w:rPr>
          <w:rFonts w:ascii="Gilroy" w:hAnsi="Gilroy" w:cs="Gilroy"/>
          <w:b/>
          <w:color w:val="303030"/>
        </w:rPr>
        <w:t>Nodo de Innovación Tecnológica Comunitaria (NODO)</w:t>
      </w:r>
      <w:r>
        <w:rPr>
          <w:rFonts w:ascii="Gilroy" w:hAnsi="Gilroy" w:cs="Gilroy"/>
          <w:color w:val="303030"/>
        </w:rPr>
        <w:t>. Los trimestres anteriores produjeron el diseño de los ecosistemas digitales del Instituto; este periodo concreta materiales formativos preparados y la primera etapa física de un espacio abierto al público.</w:t>
      </w:r>
    </w:p>
    <w:p w14:paraId="4B89E3AF" w14:textId="77777777" w:rsidR="0062426E" w:rsidRDefault="00000000">
      <w:pPr>
        <w:spacing w:line="276" w:lineRule="auto"/>
        <w:jc w:val="both"/>
      </w:pPr>
      <w:r>
        <w:rPr>
          <w:rFonts w:ascii="Gilroy" w:hAnsi="Gilroy" w:cs="Gilroy"/>
          <w:color w:val="303030"/>
        </w:rPr>
        <w:t xml:space="preserve">La exclusión digital en las zonas indígenas de Puebla no se limita al acceso a internet: incluye el desconocimiento de cómo funciona, se repara y se reutiliza la tecnología, y la falta de herramientas para que las comunidades produzcan y difundan sus propios contenidos. Ambos proyectos atienden esa brecha bajo los principios de </w:t>
      </w:r>
      <w:r>
        <w:rPr>
          <w:rFonts w:ascii="Gilroy" w:hAnsi="Gilroy" w:cs="Gilroy"/>
          <w:b/>
          <w:color w:val="303030"/>
        </w:rPr>
        <w:t>Soberanía Tecnológica</w:t>
      </w:r>
      <w:r>
        <w:rPr>
          <w:rFonts w:ascii="Gilroy" w:hAnsi="Gilroy" w:cs="Gilroy"/>
          <w:color w:val="303030"/>
        </w:rPr>
        <w:t xml:space="preserve"> y </w:t>
      </w:r>
      <w:r>
        <w:rPr>
          <w:rFonts w:ascii="Gilroy" w:hAnsi="Gilroy" w:cs="Gilroy"/>
          <w:b/>
          <w:i/>
          <w:color w:val="303030"/>
        </w:rPr>
        <w:t>Yeknemilis</w:t>
      </w:r>
      <w:r>
        <w:rPr>
          <w:rFonts w:ascii="Gilroy" w:hAnsi="Gilroy" w:cs="Gilroy"/>
          <w:b/>
          <w:color w:val="303030"/>
        </w:rPr>
        <w:t xml:space="preserve"> (Buen Vivir)</w:t>
      </w:r>
      <w:r>
        <w:rPr>
          <w:rFonts w:ascii="Gilroy" w:hAnsi="Gilroy" w:cs="Gilroy"/>
          <w:color w:val="303030"/>
        </w:rPr>
        <w:t>, y no bajo un modelo asistencialista de dotación de equipo.</w:t>
      </w:r>
    </w:p>
    <w:p w14:paraId="03F09FD9" w14:textId="77777777" w:rsidR="0062426E" w:rsidRDefault="00000000">
      <w:pPr>
        <w:spacing w:line="276" w:lineRule="auto"/>
        <w:jc w:val="both"/>
      </w:pPr>
      <w:r>
        <w:rPr>
          <w:rFonts w:ascii="Gilroy" w:hAnsi="Gilroy" w:cs="Gilroy"/>
          <w:color w:val="303030"/>
        </w:rPr>
        <w:t xml:space="preserve">Conforme al Artículo 13 de la Constitución del Estado, que reconoce a los pueblos y comunidades como </w:t>
      </w:r>
      <w:r>
        <w:rPr>
          <w:rFonts w:ascii="Gilroy" w:hAnsi="Gilroy" w:cs="Gilroy"/>
          <w:b/>
          <w:color w:val="303030"/>
        </w:rPr>
        <w:t>Sujetos de Derecho Público</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instrumenta la comprensión del hardware y el reaprovechamiento de residuos electrónicos mediante cursos de electrónica, y el </w:t>
      </w:r>
      <w:r>
        <w:rPr>
          <w:rFonts w:ascii="Gilroy" w:hAnsi="Gilroy" w:cs="Gilroy"/>
          <w:b/>
          <w:color w:val="303030"/>
        </w:rPr>
        <w:t>NODO</w:t>
      </w:r>
      <w:r>
        <w:rPr>
          <w:rFonts w:ascii="Gilroy" w:hAnsi="Gilroy" w:cs="Gilroy"/>
          <w:color w:val="303030"/>
        </w:rPr>
        <w:t xml:space="preserve"> instrumenta la producción de contenidos, incluso en lenguas originarias, y la formación de promotores tecnológicos. El NODO está instalado en el edificio del IPPI y está concebido como un espacio abierto al público, de uso bajo la supervisión y con la participación del personal del Instituto.</w:t>
      </w:r>
    </w:p>
    <w:p w14:paraId="4130F131" w14:textId="77777777" w:rsidR="0062426E" w:rsidRDefault="00000000">
      <w:pPr>
        <w:spacing w:line="276" w:lineRule="auto"/>
        <w:jc w:val="both"/>
      </w:pPr>
      <w:r>
        <w:rPr>
          <w:rFonts w:ascii="Gilroy" w:hAnsi="Gilroy" w:cs="Gilroy"/>
          <w:color w:val="303030"/>
        </w:rPr>
        <w:t xml:space="preserve">Los resultados que se entregan son: </w:t>
      </w:r>
      <w:r>
        <w:rPr>
          <w:rFonts w:ascii="Gilroy" w:hAnsi="Gilroy" w:cs="Gilroy"/>
          <w:b/>
          <w:color w:val="303030"/>
        </w:rPr>
        <w:t>materiales formativos preparados</w:t>
      </w:r>
      <w:r>
        <w:rPr>
          <w:rFonts w:ascii="Gilroy" w:hAnsi="Gilroy" w:cs="Gilroy"/>
          <w:color w:val="303030"/>
        </w:rPr>
        <w:t xml:space="preserve">, con primera impartición programada para el 25 y 26 de noviembre de 2026 en Eloxochitlán, Puebla, y la </w:t>
      </w:r>
      <w:r>
        <w:rPr>
          <w:rFonts w:ascii="Gilroy" w:hAnsi="Gilroy" w:cs="Gilroy"/>
          <w:b/>
          <w:color w:val="303030"/>
        </w:rPr>
        <w:t>primera etapa física del NODO</w:t>
      </w:r>
      <w:r>
        <w:rPr>
          <w:rFonts w:ascii="Gilroy" w:hAnsi="Gilroy" w:cs="Gilroy"/>
          <w:color w:val="303030"/>
        </w:rPr>
        <w:t>, instalada el 14 de septiembre de 2026, con zonas de producción de audio y video y una sala de capacitación y presentaciones. Los equipos fueron probados a inicios de octubre y el NODO aún no recibe visitas. El hardware y el conocimiento generado permanecen bajo la custodia pública del IPPI.</w:t>
      </w:r>
    </w:p>
    <w:p w14:paraId="0DA1C8D5" w14:textId="77777777" w:rsidR="00F26FD7" w:rsidRDefault="00AA13E0">
      <w:pPr>
        <w:pageBreakBefore/>
        <w:spacing w:after="200" w:line="276" w:lineRule="auto"/>
      </w:pPr>
      <w:r>
        <w:rPr>
          <w:rFonts w:ascii="Gilroy" w:hAnsi="Gilroy" w:cs="Gilroy"/>
          <w:b/>
          <w:color w:val="303030"/>
          <w:sz w:val="24"/>
        </w:rPr>
        <w:lastRenderedPageBreak/>
        <w:br/>
        <w:t>II. RESULTADOS ALCANZADOS</w:t>
      </w:r>
    </w:p>
    <w:p w14:paraId="12A259AA" w14:textId="77777777" w:rsidR="008D3577" w:rsidRDefault="00000000">
      <w:pPr>
        <w:spacing w:line="276" w:lineRule="auto"/>
        <w:jc w:val="both"/>
      </w:pPr>
      <w:r>
        <w:rPr>
          <w:rFonts w:ascii="Gilroy" w:hAnsi="Gilroy" w:cs="Gilroy"/>
          <w:color w:val="303030"/>
        </w:rPr>
        <w:t>Mediante la ejecución de dos proyectos tecnológicos, se entregan los siguientes resultados institucionales:</w:t>
      </w:r>
    </w:p>
    <w:p w14:paraId="795690C4" w14:textId="77777777" w:rsidR="008D3577" w:rsidRDefault="00000000">
      <w:pPr>
        <w:keepNext/>
        <w:spacing w:before="200" w:after="100" w:line="276" w:lineRule="auto"/>
      </w:pPr>
      <w:r>
        <w:rPr>
          <w:rFonts w:ascii="Gilroy" w:hAnsi="Gilroy" w:cs="Gilroy"/>
          <w:b/>
          <w:color w:val="303030"/>
        </w:rPr>
        <w:t>Proyecto 1. TEKITL (formación técnica y comprensión del hardware)</w:t>
      </w:r>
    </w:p>
    <w:p w14:paraId="08FCB062" w14:textId="77777777" w:rsidR="008D3577" w:rsidRDefault="00000000">
      <w:pPr>
        <w:keepNext/>
        <w:spacing w:before="100" w:after="80" w:line="276" w:lineRule="auto"/>
      </w:pPr>
      <w:r>
        <w:rPr>
          <w:rFonts w:ascii="Gilroy" w:hAnsi="Gilroy" w:cs="Gilroy"/>
          <w:b/>
          <w:i/>
          <w:color w:val="303030"/>
        </w:rPr>
        <w:t>Programa Tekitl Laboratorios (Tekitl-Lab)</w:t>
      </w:r>
    </w:p>
    <w:p w14:paraId="610758C5"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(junio de 2026):</w:t>
      </w:r>
      <w:r>
        <w:rPr>
          <w:rFonts w:ascii="Gilroy" w:hAnsi="Gilroy" w:cs="Gilroy"/>
          <w:color w:val="303030"/>
        </w:rPr>
        <w:t xml:space="preserve"> diagnóstico, fundamento jurídico, modelo pedagógico y diferencia respecto de los Módulos Interculturales Digitales.</w:t>
      </w:r>
    </w:p>
    <w:p w14:paraId="71E56E1B"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Seis cursos de construcción con residuos electrónicos, elaborados entre marzo y mayo de 2026:</w:t>
      </w:r>
      <w:r>
        <w:rPr>
          <w:rFonts w:ascii="Gilroy" w:hAnsi="Gilroy" w:cs="Gilroy"/>
          <w:color w:val="303030"/>
        </w:rPr>
        <w:t xml:space="preserve"> Ensamblaje H2O (bombas de agua), Dinámica Rotatoria (mini taladros), Espectro Audible (bocinas), Impulso Lumínico (lámparas USB), Ponte las Pilas (cargadores portátiles) y Forja Térmica (parrillas eléctricas). Cuentan con documentación en formato EC0217.01 (carta descriptiva, instrumentos de evaluación, listas de verificación, asistencia y cotejo, contrato de aprendizaje, guía de observación, encuesta de satisfacción, informe final y presentación); cinco con el paquete completo e </w:t>
      </w:r>
      <w:r>
        <w:rPr>
          <w:rFonts w:ascii="Gilroy" w:hAnsi="Gilroy" w:cs="Gilroy"/>
          <w:b/>
          <w:color w:val="303030"/>
        </w:rPr>
        <w:t>Impulso Lumínico</w:t>
      </w:r>
      <w:r>
        <w:rPr>
          <w:rFonts w:ascii="Gilroy" w:hAnsi="Gilroy" w:cs="Gilroy"/>
          <w:color w:val="303030"/>
        </w:rPr>
        <w:t xml:space="preserve"> solo con carta descriptiva y presentación.</w:t>
      </w:r>
    </w:p>
    <w:p w14:paraId="09BDFB45"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Hardware "Centinela":</w:t>
      </w:r>
      <w:r>
        <w:rPr>
          <w:rFonts w:ascii="Gilroy" w:hAnsi="Gilroy" w:cs="Gilroy"/>
          <w:color w:val="303030"/>
        </w:rPr>
        <w:t xml:space="preserve"> prototipo de automatización comunitaria (sensor PIR, Arduino y aplicación de control en Python), con Manual de instalación y Manual de uso. Se encuentra en </w:t>
      </w:r>
      <w:r>
        <w:rPr>
          <w:rFonts w:ascii="Gilroy" w:hAnsi="Gilroy" w:cs="Gilroy"/>
          <w:b/>
          <w:color w:val="303030"/>
        </w:rPr>
        <w:t>fase de pruebas</w:t>
      </w:r>
      <w:r>
        <w:rPr>
          <w:rFonts w:ascii="Gilroy" w:hAnsi="Gilroy" w:cs="Gilroy"/>
          <w:color w:val="303030"/>
        </w:rPr>
        <w:t>.</w:t>
      </w:r>
    </w:p>
    <w:p w14:paraId="585D4A7A" w14:textId="77777777" w:rsidR="008D3577" w:rsidRDefault="00000000">
      <w:pPr>
        <w:keepNext/>
        <w:spacing w:before="100" w:after="80" w:line="276" w:lineRule="auto"/>
      </w:pPr>
      <w:r>
        <w:rPr>
          <w:rFonts w:ascii="Gilroy" w:hAnsi="Gilroy" w:cs="Gilroy"/>
          <w:b/>
          <w:i/>
          <w:color w:val="303030"/>
        </w:rPr>
        <w:t>Curso "Electrónica y Programación Básica" (estudiantes de secundaria)</w:t>
      </w:r>
    </w:p>
    <w:p w14:paraId="0DFEFDF2"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Manual didáctico de 10 capítulos (septiembre de 2026):</w:t>
      </w:r>
      <w:r>
        <w:rPr>
          <w:rFonts w:ascii="Gilroy" w:hAnsi="Gilroy" w:cs="Gilroy"/>
          <w:color w:val="303030"/>
        </w:rPr>
        <w:t xml:space="preserve"> fundamentos de electrónica y programación, entorno Arduino, sensores, integración de hardware y software, prácticas, proyectos de aplicación (alumbrado nocturno automático e indicador tricolor) y proyectos integradores (barrera automática con alerta sonora y ultrasonido; termostato ambiental con pantalla LCD). Incluye glosario, conclusiones y referencias.</w:t>
      </w:r>
    </w:p>
    <w:p w14:paraId="0A60D54E"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Guía de armado de 8 proyectos con Arduino Uno (66 láminas, septiembre de 2026):</w:t>
      </w:r>
      <w:r>
        <w:rPr>
          <w:rFonts w:ascii="Gilroy" w:hAnsi="Gilroy" w:cs="Gilroy"/>
          <w:color w:val="303030"/>
        </w:rPr>
        <w:t xml:space="preserve"> LEDs, LED con pulsador, sensor ultrasónico con buzzer, servomotor SG90, semáforo, dado de 7 LED, ventilador DC con transistor y potenciómetro.</w:t>
      </w:r>
    </w:p>
    <w:p w14:paraId="3FE3C124"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Impartición programada:</w:t>
      </w:r>
      <w:r>
        <w:rPr>
          <w:rFonts w:ascii="Gilroy" w:hAnsi="Gilroy" w:cs="Gilroy"/>
          <w:color w:val="303030"/>
        </w:rPr>
        <w:t xml:space="preserve"> 25 y 26 de noviembre de 2026, en Eloxochitlán, Puebla. Se reporta como material preparado, no como curso impartido.</w:t>
      </w:r>
    </w:p>
    <w:p w14:paraId="1F755793" w14:textId="77777777" w:rsidR="008D3577" w:rsidRDefault="00000000">
      <w:pPr>
        <w:keepNext/>
        <w:spacing w:before="200" w:after="100" w:line="276" w:lineRule="auto"/>
      </w:pPr>
      <w:r>
        <w:rPr>
          <w:rFonts w:ascii="Gilroy" w:hAnsi="Gilroy" w:cs="Gilroy"/>
          <w:b/>
          <w:color w:val="303030"/>
        </w:rPr>
        <w:t>Proyecto 2. Nodo de Innovación Tecnológica Comunitaria (NODO / NITC)</w:t>
      </w:r>
    </w:p>
    <w:p w14:paraId="73AD5F8A"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y Dossier del NITC (julio y agosto de 2026):</w:t>
      </w:r>
      <w:r>
        <w:rPr>
          <w:rFonts w:ascii="Gilroy" w:hAnsi="Gilroy" w:cs="Gilroy"/>
          <w:color w:val="303030"/>
        </w:rPr>
        <w:t xml:space="preserve"> define ocho componentes que integran los proyectos del Instituto, su gobernanza multinivel, la seguridad de datos y una ruta de implementación de cuatro fases (15 meses).</w:t>
      </w:r>
    </w:p>
    <w:p w14:paraId="5D3739BA" w14:textId="77777777" w:rsidR="008D3577" w:rsidRDefault="00000000">
      <w:pPr>
        <w:spacing w:after="100" w:line="276" w:lineRule="auto"/>
        <w:ind w:left="567" w:hanging="283"/>
        <w:jc w:val="both"/>
      </w:pPr>
      <w:r>
        <w:rPr>
          <w:rFonts w:ascii="Gilroy" w:hAnsi="Gilroy" w:cs="Gilroy"/>
          <w:color w:val="303030"/>
        </w:rPr>
        <w:lastRenderedPageBreak/>
        <w:t>•</w:t>
      </w:r>
      <w:r>
        <w:rPr>
          <w:rFonts w:ascii="Gilroy" w:hAnsi="Gilroy" w:cs="Gilroy"/>
          <w:color w:val="303030"/>
        </w:rPr>
        <w:tab/>
      </w:r>
      <w:r>
        <w:rPr>
          <w:rFonts w:ascii="Gilroy" w:hAnsi="Gilroy" w:cs="Gilroy"/>
          <w:b/>
          <w:color w:val="303030"/>
        </w:rPr>
        <w:t>Instalación física en el edificio del IPPI, el 14 de septiembre de 2026</w:t>
      </w:r>
      <w:r>
        <w:rPr>
          <w:rFonts w:ascii="Gilroy" w:hAnsi="Gilroy" w:cs="Gilroy"/>
          <w:color w:val="303030"/>
        </w:rPr>
        <w:t xml:space="preserve"> (Blvd. Atlixco 2103, col. Belisario Domínguez, 72180, Heroica Puebla de Zaragoza, Pue.), en cuatro zonas:</w:t>
      </w:r>
    </w:p>
    <w:p w14:paraId="2AAE7382" w14:textId="77777777" w:rsidR="008D3577" w:rsidRPr="001A41BF" w:rsidRDefault="00000000">
      <w:pPr>
        <w:spacing w:after="100" w:line="276" w:lineRule="auto"/>
        <w:ind w:left="1021" w:hanging="283"/>
        <w:jc w:val="both"/>
        <w:rPr>
          <w:bCs/>
        </w:rPr>
      </w:pPr>
      <w:r w:rsidRPr="001A41BF">
        <w:rPr>
          <w:rFonts w:ascii="Gilroy" w:hAnsi="Gilroy" w:cs="Gilroy"/>
          <w:b/>
          <w:color w:val="303030"/>
        </w:rPr>
        <w:t>Zona 1</w:t>
      </w:r>
      <w:r w:rsidRPr="001A41BF">
        <w:rPr>
          <w:rFonts w:ascii="Gilroy" w:hAnsi="Gilroy" w:cs="Gilroy"/>
          <w:bCs/>
          <w:color w:val="303030"/>
        </w:rPr>
        <w:t>, estudio con pantalla verde: fondo croma, dos luces tipo softbox, cámara en tripié y equipo de cómputo con OBS Studio configurado con múltiples escenas.</w:t>
      </w:r>
    </w:p>
    <w:p w14:paraId="0191FB07" w14:textId="77777777" w:rsidR="008D3577" w:rsidRDefault="00000000">
      <w:pPr>
        <w:spacing w:after="100" w:line="276" w:lineRule="auto"/>
        <w:ind w:left="1021" w:hanging="283"/>
        <w:jc w:val="both"/>
      </w:pPr>
      <w:r>
        <w:rPr>
          <w:rFonts w:ascii="Gilroy" w:hAnsi="Gilroy" w:cs="Gilroy"/>
          <w:b/>
          <w:color w:val="303030"/>
        </w:rPr>
        <w:t>Zona 2</w:t>
      </w:r>
      <w:r w:rsidRPr="001A41BF">
        <w:rPr>
          <w:rFonts w:ascii="Gilroy" w:hAnsi="Gilroy" w:cs="Gilroy"/>
          <w:bCs/>
          <w:color w:val="303030"/>
        </w:rPr>
        <w:t>, set de entrevista: escritorio con micrófonos de condensador con brazo y filtro antipop, cámaras en tripié, panel de iluminación LED, mezcladora de audio y consola de conmutación de video, con fondo verde y escenas de conmutación en OBS Studio.</w:t>
      </w:r>
    </w:p>
    <w:p w14:paraId="5857E2E1" w14:textId="77777777" w:rsidR="008D3577" w:rsidRPr="001A41BF" w:rsidRDefault="00000000">
      <w:pPr>
        <w:spacing w:after="100" w:line="276" w:lineRule="auto"/>
        <w:ind w:left="1021" w:hanging="283"/>
        <w:jc w:val="both"/>
        <w:rPr>
          <w:bCs/>
        </w:rPr>
      </w:pPr>
      <w:r>
        <w:rPr>
          <w:rFonts w:ascii="Gilroy" w:hAnsi="Gilroy" w:cs="Gilroy"/>
          <w:b/>
          <w:color w:val="303030"/>
        </w:rPr>
        <w:t>Zona 3</w:t>
      </w:r>
      <w:r w:rsidRPr="001A41BF">
        <w:rPr>
          <w:rFonts w:ascii="Gilroy" w:hAnsi="Gilroy" w:cs="Gilroy"/>
          <w:bCs/>
          <w:color w:val="303030"/>
        </w:rPr>
        <w:t>, cabina de grabación y área de sonido: cabina acondicionada con espuma acústica, micrófono de condensador con filtro antipop, audífonos y atril; y área de sonido con bocina amplificada, receptores y micrófonos de mano inalámbricos, mezcladora, equipo de cómputo y pantalla de pared.</w:t>
      </w:r>
    </w:p>
    <w:p w14:paraId="3EA7B971" w14:textId="77777777" w:rsidR="008D3577" w:rsidRPr="001A41BF" w:rsidRDefault="00000000">
      <w:pPr>
        <w:spacing w:after="100" w:line="276" w:lineRule="auto"/>
        <w:ind w:left="1021" w:hanging="283"/>
        <w:jc w:val="both"/>
        <w:rPr>
          <w:bCs/>
        </w:rPr>
      </w:pPr>
      <w:r>
        <w:rPr>
          <w:rFonts w:ascii="Gilroy" w:hAnsi="Gilroy" w:cs="Gilroy"/>
          <w:b/>
          <w:color w:val="303030"/>
        </w:rPr>
        <w:t>Zona 4</w:t>
      </w:r>
      <w:r w:rsidRPr="001A41BF">
        <w:rPr>
          <w:rFonts w:ascii="Gilroy" w:hAnsi="Gilroy" w:cs="Gilroy"/>
          <w:bCs/>
          <w:color w:val="303030"/>
        </w:rPr>
        <w:t>, sala de capacitación y presentaciones: mesas y sillas para grupos, dos pantallas de pared en las que se despliega el portal de la Plataforma de Autonomía Digital (PADI), bocina en tripié y aro de luz.</w:t>
      </w:r>
    </w:p>
    <w:p w14:paraId="4381F1FA"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Pruebas de funcionamiento (inicios de octubre de 2026):</w:t>
      </w:r>
      <w:r>
        <w:rPr>
          <w:rFonts w:ascii="Gilroy" w:hAnsi="Gilroy" w:cs="Gilroy"/>
          <w:color w:val="303030"/>
        </w:rPr>
        <w:t xml:space="preserve"> se verificó el funcionamiento de los equipos, incluidos el recorte de fondo (croma) con fondos virtuales, la conmutación entre escenas y cámaras, y la captura de audio.</w:t>
      </w:r>
    </w:p>
    <w:p w14:paraId="6B2CDA0F"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Estatus:</w:t>
      </w:r>
      <w:r>
        <w:rPr>
          <w:rFonts w:ascii="Gilroy" w:hAnsi="Gilroy" w:cs="Gilroy"/>
          <w:color w:val="303030"/>
        </w:rPr>
        <w:t xml:space="preserve"> el NODO está instalado y probado; aún no recibe visitas ni opera con población beneficiaria. Los demás componentes del NITC permanecen en el documento maestro.</w:t>
      </w:r>
    </w:p>
    <w:p w14:paraId="32B67446" w14:textId="77777777" w:rsidR="008D3577" w:rsidRDefault="00000000">
      <w:pPr>
        <w:keepNext/>
        <w:spacing w:before="200" w:after="100" w:line="276" w:lineRule="auto"/>
      </w:pPr>
      <w:r>
        <w:rPr>
          <w:rFonts w:ascii="Gilroy" w:hAnsi="Gilroy" w:cs="Gilroy"/>
          <w:b/>
          <w:color w:val="303030"/>
        </w:rPr>
        <w:t>Estatus Global de la Meta (acumulado: 6 de 8 proyectos)</w:t>
      </w:r>
    </w:p>
    <w:p w14:paraId="1C9780F7"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Proyectos del trimestre:</w:t>
      </w:r>
      <w:r>
        <w:rPr>
          <w:rFonts w:ascii="Gilroy" w:hAnsi="Gilroy" w:cs="Gilroy"/>
          <w:color w:val="303030"/>
        </w:rPr>
        <w:t xml:space="preserve"> se reportan los 2 proyectos programados: TEKITL, con materiales formativos preparados, y el NODO, con su primera etapa física instalada y probada. Se declara el cumplimiento al </w:t>
      </w:r>
      <w:r>
        <w:rPr>
          <w:rFonts w:ascii="Gilroy" w:hAnsi="Gilroy" w:cs="Gilroy"/>
          <w:b/>
          <w:color w:val="303030"/>
        </w:rPr>
        <w:t>100%</w:t>
      </w:r>
      <w:r>
        <w:rPr>
          <w:rFonts w:ascii="Gilroy" w:hAnsi="Gilroy" w:cs="Gilroy"/>
          <w:color w:val="303030"/>
        </w:rPr>
        <w:t xml:space="preserve"> de la meta trimestral y un acumulado de 6 de 8 proyectos. No se reportan cursos impartidos ni visitas al NODO.</w:t>
      </w:r>
    </w:p>
    <w:sectPr w:rsidR="008D3577">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0476" w14:textId="77777777" w:rsidR="009E4E89" w:rsidRDefault="009E4E89">
      <w:pPr>
        <w:spacing w:after="0" w:line="240" w:lineRule="auto"/>
      </w:pPr>
      <w:r>
        <w:separator/>
      </w:r>
    </w:p>
  </w:endnote>
  <w:endnote w:type="continuationSeparator" w:id="0">
    <w:p w14:paraId="542518D8" w14:textId="77777777" w:rsidR="009E4E89" w:rsidRDefault="009E4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43BE75C-EAFB-48F8-ABBE-10AD7ED97983}"/>
    <w:embedBold r:id="rId2" w:fontKey="{02C86ED9-192B-446A-A91B-22DD0A92DEAB}"/>
    <w:embedItalic r:id="rId3" w:fontKey="{BEF0D961-B678-4EC8-89A7-D37329E4C895}"/>
    <w:embedBoldItalic r:id="rId4" w:fontKey="{24F5CE6B-3056-431E-A486-26C13DCDE268}"/>
  </w:font>
  <w:font w:name="Calibri Light">
    <w:panose1 w:val="020F0302020204030204"/>
    <w:charset w:val="00"/>
    <w:family w:val="swiss"/>
    <w:pitch w:val="variable"/>
    <w:sig w:usb0="E4002EFF" w:usb1="C200247B" w:usb2="00000009" w:usb3="00000000" w:csb0="000001FF" w:csb1="00000000"/>
    <w:embedRegular r:id="rId5" w:fontKey="{77F1A55A-55FD-4F67-B502-D8E693604519}"/>
    <w:embedBold r:id="rId6" w:fontKey="{AB13987B-FFF9-41E3-A2C5-23A6351A50CE}"/>
    <w:embedItalic r:id="rId7" w:fontKey="{425140A6-9405-48E7-ABDC-2144C1012DC5}"/>
    <w:embedBoldItalic r:id="rId8" w:fontKey="{9A55F173-EBA5-4DA3-A0C6-EB15D89DE20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916347D6-379D-4FEE-84F9-2FBE955869D4}"/>
  </w:font>
  <w:font w:name="Bookman Old Style">
    <w:panose1 w:val="02050604050505020204"/>
    <w:charset w:val="00"/>
    <w:family w:val="roman"/>
    <w:pitch w:val="variable"/>
    <w:sig w:usb0="00000287" w:usb1="00000000" w:usb2="00000000" w:usb3="00000000" w:csb0="0000009F" w:csb1="00000000"/>
    <w:embedRegular r:id="rId10" w:fontKey="{900E0080-5A68-4CE7-A994-64E0BAFF6B3C}"/>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SemiBold">
    <w:panose1 w:val="00000700000000000000"/>
    <w:charset w:val="00"/>
    <w:family w:val="modern"/>
    <w:notTrueType/>
    <w:pitch w:val="variable"/>
    <w:sig w:usb0="00000207" w:usb1="00000000" w:usb2="00000000" w:usb3="00000000" w:csb0="00000097" w:csb1="00000000"/>
  </w:font>
  <w:font w:name="Gilroy">
    <w:altName w:val="Calibri"/>
    <w:panose1 w:val="000005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38EC" w14:textId="77777777" w:rsidR="0011730A" w:rsidRDefault="0011730A">
    <w:pPr>
      <w:spacing w:after="0" w:line="240" w:lineRule="auto"/>
      <w:jc w:val="center"/>
      <w:rPr>
        <w:rFonts w:ascii="Gilroy" w:hAnsi="Gilroy"/>
      </w:rPr>
    </w:pPr>
  </w:p>
  <w:p w14:paraId="48BB93FE"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B4EE3" w14:textId="77777777" w:rsidR="009E4E89" w:rsidRDefault="009E4E89">
      <w:pPr>
        <w:spacing w:after="0" w:line="240" w:lineRule="auto"/>
      </w:pPr>
      <w:r>
        <w:separator/>
      </w:r>
    </w:p>
  </w:footnote>
  <w:footnote w:type="continuationSeparator" w:id="0">
    <w:p w14:paraId="1997C11D" w14:textId="77777777" w:rsidR="009E4E89" w:rsidRDefault="009E4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729A"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6C8CE3AA" wp14:editId="7406E7F7">
          <wp:simplePos x="0" y="0"/>
          <wp:positionH relativeFrom="page">
            <wp:posOffset>156845</wp:posOffset>
          </wp:positionH>
          <wp:positionV relativeFrom="page">
            <wp:posOffset>43815</wp:posOffset>
          </wp:positionV>
          <wp:extent cx="7511415" cy="9719945"/>
          <wp:effectExtent l="0" t="0" r="0" b="0"/>
          <wp:wrapNone/>
          <wp:docPr id="535626150"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45F25D1B"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7DEAA281"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4949"/>
    <w:rsid w:val="00065FB9"/>
    <w:rsid w:val="00067583"/>
    <w:rsid w:val="000710A6"/>
    <w:rsid w:val="000717C8"/>
    <w:rsid w:val="00084900"/>
    <w:rsid w:val="00084B4D"/>
    <w:rsid w:val="000A4573"/>
    <w:rsid w:val="000A54DA"/>
    <w:rsid w:val="000E0ACA"/>
    <w:rsid w:val="000E59F3"/>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2963"/>
    <w:rsid w:val="001A41BF"/>
    <w:rsid w:val="001A615E"/>
    <w:rsid w:val="001D2853"/>
    <w:rsid w:val="001D30C7"/>
    <w:rsid w:val="001E03F0"/>
    <w:rsid w:val="001E7CE7"/>
    <w:rsid w:val="00205462"/>
    <w:rsid w:val="00207B9B"/>
    <w:rsid w:val="00212F3D"/>
    <w:rsid w:val="002203B2"/>
    <w:rsid w:val="0022385D"/>
    <w:rsid w:val="00232B60"/>
    <w:rsid w:val="00233E5A"/>
    <w:rsid w:val="00234052"/>
    <w:rsid w:val="002343C3"/>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2FDC"/>
    <w:rsid w:val="00335BCC"/>
    <w:rsid w:val="00336996"/>
    <w:rsid w:val="0034146D"/>
    <w:rsid w:val="0034198F"/>
    <w:rsid w:val="003548DD"/>
    <w:rsid w:val="00355D70"/>
    <w:rsid w:val="00360160"/>
    <w:rsid w:val="00364497"/>
    <w:rsid w:val="00371F2C"/>
    <w:rsid w:val="003A4556"/>
    <w:rsid w:val="003B18D2"/>
    <w:rsid w:val="003B3B42"/>
    <w:rsid w:val="003C46C0"/>
    <w:rsid w:val="003C5DDA"/>
    <w:rsid w:val="003C7005"/>
    <w:rsid w:val="003D04C5"/>
    <w:rsid w:val="003E09DF"/>
    <w:rsid w:val="003E7AB3"/>
    <w:rsid w:val="003F0A81"/>
    <w:rsid w:val="003F477F"/>
    <w:rsid w:val="00412343"/>
    <w:rsid w:val="004147F2"/>
    <w:rsid w:val="00416321"/>
    <w:rsid w:val="00420A5C"/>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2426E"/>
    <w:rsid w:val="00630364"/>
    <w:rsid w:val="00634FD5"/>
    <w:rsid w:val="00636A9C"/>
    <w:rsid w:val="0065437B"/>
    <w:rsid w:val="006622AA"/>
    <w:rsid w:val="006A1C14"/>
    <w:rsid w:val="006A7E08"/>
    <w:rsid w:val="006B469A"/>
    <w:rsid w:val="006B49BC"/>
    <w:rsid w:val="006B5234"/>
    <w:rsid w:val="006B58FB"/>
    <w:rsid w:val="006C19FD"/>
    <w:rsid w:val="006D0B27"/>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2790"/>
    <w:rsid w:val="007B5876"/>
    <w:rsid w:val="007C4ED3"/>
    <w:rsid w:val="007D1B52"/>
    <w:rsid w:val="007E277D"/>
    <w:rsid w:val="007E4E9A"/>
    <w:rsid w:val="007E79D6"/>
    <w:rsid w:val="007F4617"/>
    <w:rsid w:val="007F5DEA"/>
    <w:rsid w:val="007F5EB1"/>
    <w:rsid w:val="007F62BB"/>
    <w:rsid w:val="00807B76"/>
    <w:rsid w:val="00817726"/>
    <w:rsid w:val="00824FDD"/>
    <w:rsid w:val="0085542E"/>
    <w:rsid w:val="00856B84"/>
    <w:rsid w:val="008638C2"/>
    <w:rsid w:val="00875989"/>
    <w:rsid w:val="00875F68"/>
    <w:rsid w:val="00882EAC"/>
    <w:rsid w:val="00883620"/>
    <w:rsid w:val="00885058"/>
    <w:rsid w:val="00890634"/>
    <w:rsid w:val="008922C7"/>
    <w:rsid w:val="008974BD"/>
    <w:rsid w:val="008B02C8"/>
    <w:rsid w:val="008D12BD"/>
    <w:rsid w:val="008D3539"/>
    <w:rsid w:val="008D3577"/>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E89"/>
    <w:rsid w:val="009E4F83"/>
    <w:rsid w:val="009F1BD3"/>
    <w:rsid w:val="009F7A79"/>
    <w:rsid w:val="009F7A83"/>
    <w:rsid w:val="00A1086C"/>
    <w:rsid w:val="00A2741D"/>
    <w:rsid w:val="00A323D8"/>
    <w:rsid w:val="00A43972"/>
    <w:rsid w:val="00A44159"/>
    <w:rsid w:val="00A63279"/>
    <w:rsid w:val="00A96159"/>
    <w:rsid w:val="00AA13E0"/>
    <w:rsid w:val="00AA229F"/>
    <w:rsid w:val="00AA3E75"/>
    <w:rsid w:val="00AB615F"/>
    <w:rsid w:val="00AB654D"/>
    <w:rsid w:val="00AC1E3A"/>
    <w:rsid w:val="00AD3954"/>
    <w:rsid w:val="00AD44A2"/>
    <w:rsid w:val="00AE5FE5"/>
    <w:rsid w:val="00AF1491"/>
    <w:rsid w:val="00AF5204"/>
    <w:rsid w:val="00B11D0A"/>
    <w:rsid w:val="00B159B2"/>
    <w:rsid w:val="00B15EAD"/>
    <w:rsid w:val="00B2537F"/>
    <w:rsid w:val="00B408AD"/>
    <w:rsid w:val="00B55646"/>
    <w:rsid w:val="00B62FA0"/>
    <w:rsid w:val="00B63284"/>
    <w:rsid w:val="00B66F92"/>
    <w:rsid w:val="00B711AE"/>
    <w:rsid w:val="00B87581"/>
    <w:rsid w:val="00B9480A"/>
    <w:rsid w:val="00BA122D"/>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565E2"/>
    <w:rsid w:val="00C613E8"/>
    <w:rsid w:val="00C70EDE"/>
    <w:rsid w:val="00C75093"/>
    <w:rsid w:val="00C7592A"/>
    <w:rsid w:val="00C86A5E"/>
    <w:rsid w:val="00C90AB4"/>
    <w:rsid w:val="00C938F9"/>
    <w:rsid w:val="00C97559"/>
    <w:rsid w:val="00C9757E"/>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49D9"/>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26FD7"/>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2C6B7"/>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Fuerte">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660A3F33-AF47-4E73-8BB0-B4F3CB8F01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1511</Words>
  <Characters>8315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LENOVO</cp:lastModifiedBy>
  <cp:revision>16</cp:revision>
  <cp:lastPrinted>2026-09-21T18:07:00Z</cp:lastPrinted>
  <dcterms:created xsi:type="dcterms:W3CDTF">2026-09-21T18:18:00Z</dcterms:created>
  <dcterms:modified xsi:type="dcterms:W3CDTF">2026-10-06T07:25:00Z</dcterms:modified>
</cp:coreProperties>
</file>