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31F2" w14:textId="77777777" w:rsidR="00A2741D" w:rsidRPr="007F5DEA" w:rsidRDefault="007F62BB" w:rsidP="007F62BB">
      <w:pPr>
        <w:spacing w:after="960" w:line="240" w:lineRule="auto"/>
        <w:jc w:val="center"/>
        <w:rPr>
          <w:rFonts w:ascii="Gilroy" w:hAnsi="Gilroy" w:cs="Gilroy"/>
          <w:b/>
          <w:bCs/>
          <w:color w:val="20604A"/>
          <w:sz w:val="52"/>
          <w:szCs w:val="52"/>
        </w:rPr>
      </w:pPr>
      <w:r>
        <w:rPr>
          <w:rFonts w:ascii="Gilroy" w:hAnsi="Gilroy" w:cs="Gilroy"/>
          <w:b/>
          <w:bCs/>
          <w:color w:val="20604A"/>
          <w:sz w:val="52"/>
          <w:szCs w:val="52"/>
        </w:rPr>
        <w:br/>
      </w:r>
      <w:r w:rsidRPr="007F5DEA">
        <w:rPr>
          <w:rFonts w:ascii="Gilroy" w:hAnsi="Gilroy" w:cs="Gilroy"/>
          <w:b/>
          <w:bCs/>
          <w:color w:val="20604A"/>
          <w:sz w:val="52"/>
          <w:szCs w:val="52"/>
        </w:rPr>
        <w:t>E088 DESARROLLO INTEGRAL DE LOS PUEBLOS INDÍGENAS.</w:t>
      </w:r>
    </w:p>
    <w:p w14:paraId="42B7ED4D" w14:textId="77777777" w:rsidR="00A2741D" w:rsidRPr="007F5DEA" w:rsidRDefault="00000000">
      <w:pPr>
        <w:spacing w:after="720" w:line="240" w:lineRule="auto"/>
        <w:jc w:val="center"/>
        <w:rPr>
          <w:rFonts w:ascii="Gilroy" w:hAnsi="Gilroy" w:cs="Gilroy"/>
          <w:b/>
          <w:bCs/>
          <w:color w:val="6A2C3E"/>
          <w:sz w:val="36"/>
          <w:szCs w:val="36"/>
        </w:rPr>
      </w:pPr>
      <w:r w:rsidRPr="007F5DEA">
        <w:rPr>
          <w:rFonts w:ascii="Gilroy" w:hAnsi="Gilroy" w:cs="Gilroy"/>
          <w:b/>
          <w:bCs/>
          <w:color w:val="6A2C3E"/>
          <w:sz w:val="36"/>
          <w:szCs w:val="36"/>
        </w:rPr>
        <w:t>SUBDIRECCIÓN DE DESARROLLO DE TECNOLOGÍAS DE LA INFORMACIÓN</w:t>
      </w:r>
    </w:p>
    <w:p w14:paraId="25177B64" w14:textId="77777777" w:rsidR="00A2741D" w:rsidRPr="007E277D" w:rsidRDefault="00000000">
      <w:pPr>
        <w:spacing w:after="720" w:line="240" w:lineRule="auto"/>
        <w:jc w:val="center"/>
        <w:rPr>
          <w:rFonts w:ascii="Gilroy" w:hAnsi="Gilroy" w:cs="Gilroy"/>
          <w:b/>
          <w:bCs/>
          <w:color w:val="303030"/>
          <w:sz w:val="36"/>
          <w:szCs w:val="36"/>
        </w:rPr>
      </w:pPr>
      <w:r w:rsidRPr="007E277D">
        <w:rPr>
          <w:rFonts w:ascii="Gilroy" w:hAnsi="Gilroy" w:cs="Gilroy"/>
          <w:b/>
          <w:bCs/>
          <w:color w:val="303030"/>
          <w:sz w:val="36"/>
          <w:szCs w:val="36"/>
        </w:rPr>
        <w:t>COMPONENTE 3: ACCIONES DE PATRIMONIO CULTURAL Y EDUCACIÓN PERTINENTE REALIZADAS.</w:t>
      </w:r>
    </w:p>
    <w:p w14:paraId="10E56BB2" w14:textId="77777777" w:rsidR="00A2741D" w:rsidRPr="007F62BB" w:rsidRDefault="00000000" w:rsidP="007F62BB">
      <w:pPr>
        <w:spacing w:after="720" w:line="240" w:lineRule="auto"/>
        <w:jc w:val="both"/>
        <w:rPr>
          <w:rFonts w:ascii="Gilroy" w:hAnsi="Gilroy" w:cs="Gilroy"/>
          <w:b/>
          <w:bCs/>
          <w:color w:val="20604A"/>
          <w:sz w:val="36"/>
          <w:szCs w:val="36"/>
        </w:rPr>
      </w:pPr>
      <w:r w:rsidRPr="007F62BB">
        <w:rPr>
          <w:rFonts w:ascii="Gilroy" w:hAnsi="Gilroy" w:cs="Gilroy"/>
          <w:b/>
          <w:bCs/>
          <w:color w:val="20604A"/>
          <w:sz w:val="36"/>
          <w:szCs w:val="36"/>
        </w:rPr>
        <w:t>Actividad: 3.9 IMPLEMENTACIÓN DE PROYECTOS TECNOLOGICOS QUE REFLEJEN Y FORTALEZCAN LA COMUNICACIÓN Y LA IDENTIDAD CULTURAL.</w:t>
      </w:r>
    </w:p>
    <w:p w14:paraId="4C614043" w14:textId="77777777" w:rsidR="00A2741D" w:rsidRPr="007F5DEA" w:rsidRDefault="00000000">
      <w:pPr>
        <w:spacing w:after="720" w:line="240" w:lineRule="auto"/>
        <w:jc w:val="both"/>
        <w:rPr>
          <w:rFonts w:ascii="Gilroy" w:hAnsi="Gilroy" w:cs="Gilroy"/>
          <w:b/>
          <w:bCs/>
          <w:color w:val="A08060"/>
          <w:sz w:val="36"/>
          <w:szCs w:val="36"/>
        </w:rPr>
      </w:pPr>
      <w:r w:rsidRPr="007F5DEA">
        <w:rPr>
          <w:rFonts w:ascii="Gilroy" w:hAnsi="Gilroy" w:cs="Gilroy"/>
          <w:b/>
          <w:bCs/>
          <w:color w:val="A08060"/>
          <w:sz w:val="36"/>
          <w:szCs w:val="36"/>
        </w:rPr>
        <w:t>INDICADOR: NÚMERO DE PROYECTOS TECNOLÓGICOS IMPLEMENTADOS PARA FORTALECER LA COMUNICACIÓN E IDENTIDAD CULTURAL.</w:t>
      </w:r>
    </w:p>
    <w:p w14:paraId="49EB37CF" w14:textId="77777777" w:rsidR="007F62BB" w:rsidRPr="007F62BB" w:rsidRDefault="007F62BB">
      <w:pPr>
        <w:spacing w:after="720" w:line="240" w:lineRule="auto"/>
        <w:jc w:val="both"/>
        <w:rPr>
          <w:rFonts w:ascii="Gilroy" w:hAnsi="Gilroy" w:cs="Gilroy"/>
          <w:b/>
          <w:bCs/>
          <w:color w:val="A08060"/>
          <w:sz w:val="36"/>
          <w:szCs w:val="36"/>
        </w:rPr>
      </w:pPr>
    </w:p>
    <w:p w14:paraId="5FC8E87F" w14:textId="77777777" w:rsidR="00A2741D" w:rsidRDefault="00000000">
      <w:pPr>
        <w:spacing w:after="0" w:line="240" w:lineRule="auto"/>
        <w:jc w:val="center"/>
        <w:rPr>
          <w:rFonts w:ascii="Gilroy" w:hAnsi="Gilroy" w:cs="Gilroy"/>
          <w:b/>
          <w:bCs/>
          <w:color w:val="303030"/>
          <w:sz w:val="48"/>
          <w:szCs w:val="48"/>
        </w:rPr>
      </w:pPr>
      <w:r>
        <w:rPr>
          <w:rFonts w:ascii="Gilroy" w:hAnsi="Gilroy" w:cs="Gilroy"/>
          <w:b/>
          <w:bCs/>
          <w:color w:val="303030"/>
          <w:sz w:val="48"/>
          <w:szCs w:val="48"/>
        </w:rPr>
        <w:t>3ER TRIMESTRE 2026</w:t>
      </w:r>
    </w:p>
    <w:p w14:paraId="398C4A58"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560CF59F"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4A37C4EE"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588AB514"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5C519934"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3571BD27" w14:textId="77777777" w:rsidR="00064949" w:rsidRPr="00BA122D" w:rsidRDefault="00064949" w:rsidP="00064949">
      <w:pPr>
        <w:pageBreakBefore/>
        <w:spacing w:after="0" w:line="240" w:lineRule="auto" w:before="3800"/>
        <w:jc w:val="center"/>
        <w:rPr>
          <w:b/>
          <w:bCs/>
          <w:color w:val="6A2C3E"/>
          <w:sz w:val="40"/>
          <w:szCs w:val="40"/>
        </w:rPr>
      </w:pPr>
      <w:r w:rsidRPr="00BA122D">
        <w:rPr>
          <w:b/>
          <w:bCs/>
          <w:color w:val="6A2C3E"/>
          <w:sz w:val="40"/>
          <w:szCs w:val="40"/>
        </w:rPr>
        <w:t>INFORME INSTITUCIONAL ANUAL DE RESULTADOS</w:t>
      </w:r>
    </w:p>
    <w:p w14:paraId="67724E31" w14:textId="77777777" w:rsidR="00064949" w:rsidRPr="00BA122D" w:rsidRDefault="00064949" w:rsidP="00064949">
      <w:pPr>
        <w:spacing w:after="0" w:line="240" w:lineRule="auto"/>
        <w:jc w:val="center"/>
        <w:rPr>
          <w:b/>
          <w:bCs/>
          <w:color w:val="6A2C3E"/>
          <w:sz w:val="40"/>
          <w:szCs w:val="40"/>
        </w:rPr>
      </w:pPr>
      <w:r w:rsidRPr="00BA122D">
        <w:rPr>
          <w:b/>
          <w:bCs/>
          <w:color w:val="6A2C3E"/>
          <w:sz w:val="40"/>
          <w:szCs w:val="40"/>
        </w:rPr>
        <w:t>EJERCICIO FISCAL 2026</w:t>
      </w:r>
    </w:p>
    <w:p w14:paraId="272EA384" w14:textId="77777777" w:rsidR="002343C3" w:rsidRDefault="002343C3" w:rsidP="00064949">
      <w:pPr>
        <w:spacing w:after="0" w:line="240" w:lineRule="auto"/>
        <w:jc w:val="center"/>
        <w:rPr>
          <w:b/>
          <w:bCs/>
          <w:color w:val="6A2C3E"/>
          <w:sz w:val="40"/>
          <w:szCs w:val="40"/>
        </w:rPr>
      </w:pPr>
    </w:p>
    <w:p w14:paraId="4343C024" w14:textId="77777777" w:rsidR="002343C3" w:rsidRDefault="002343C3" w:rsidP="00064949">
      <w:pPr>
        <w:spacing w:after="0" w:line="240" w:lineRule="auto"/>
        <w:jc w:val="center"/>
        <w:rPr>
          <w:b/>
          <w:bCs/>
          <w:color w:val="6A2C3E"/>
          <w:sz w:val="40"/>
          <w:szCs w:val="40"/>
        </w:rPr>
      </w:pPr>
    </w:p>
    <w:p w14:paraId="192EFFF8" w14:textId="77777777" w:rsidR="002343C3" w:rsidRDefault="002343C3" w:rsidP="00064949">
      <w:pPr>
        <w:spacing w:after="0" w:line="240" w:lineRule="auto"/>
        <w:jc w:val="center"/>
        <w:rPr>
          <w:b/>
          <w:bCs/>
          <w:color w:val="6A2C3E"/>
          <w:sz w:val="40"/>
          <w:szCs w:val="40"/>
        </w:rPr>
      </w:pPr>
    </w:p>
    <w:p w14:paraId="3B1E8D3C" w14:textId="77777777" w:rsidR="007F5DEA" w:rsidRDefault="007F5DEA" w:rsidP="00064949">
      <w:pPr>
        <w:spacing w:after="0" w:line="240" w:lineRule="auto"/>
        <w:jc w:val="center"/>
        <w:rPr>
          <w:b/>
          <w:bCs/>
          <w:color w:val="6A2C3E"/>
          <w:sz w:val="40"/>
          <w:szCs w:val="40"/>
        </w:rPr>
      </w:pPr>
    </w:p>
    <w:p w14:paraId="1E1CFCDB" w14:textId="77777777" w:rsidR="007F5DEA" w:rsidRDefault="007F5DEA" w:rsidP="00064949">
      <w:pPr>
        <w:spacing w:after="0" w:line="240" w:lineRule="auto"/>
        <w:jc w:val="center"/>
        <w:rPr>
          <w:b/>
          <w:bCs/>
          <w:color w:val="6A2C3E"/>
          <w:sz w:val="40"/>
          <w:szCs w:val="40"/>
        </w:rPr>
      </w:pPr>
    </w:p>
    <w:p w14:paraId="591D3107" w14:textId="77777777" w:rsidR="007F5DEA" w:rsidRDefault="007F5DEA" w:rsidP="00064949">
      <w:pPr>
        <w:spacing w:after="0" w:line="240" w:lineRule="auto"/>
        <w:jc w:val="center"/>
        <w:rPr>
          <w:b/>
          <w:bCs/>
          <w:color w:val="6A2C3E"/>
          <w:sz w:val="40"/>
          <w:szCs w:val="40"/>
        </w:rPr>
      </w:pPr>
    </w:p>
    <w:p w14:paraId="4FEEC0B8" w14:textId="77777777" w:rsidR="007F5DEA" w:rsidRDefault="007F5DEA" w:rsidP="00064949">
      <w:pPr>
        <w:spacing w:after="0" w:line="240" w:lineRule="auto"/>
        <w:jc w:val="center"/>
        <w:rPr>
          <w:b/>
          <w:bCs/>
          <w:color w:val="6A2C3E"/>
          <w:sz w:val="40"/>
          <w:szCs w:val="40"/>
        </w:rPr>
      </w:pPr>
    </w:p>
    <w:p w14:paraId="15643142" w14:textId="77777777" w:rsidR="007F5DEA" w:rsidRDefault="007F5DEA" w:rsidP="00064949">
      <w:pPr>
        <w:spacing w:after="0" w:line="240" w:lineRule="auto"/>
        <w:jc w:val="center"/>
        <w:rPr>
          <w:b/>
          <w:bCs/>
          <w:color w:val="6A2C3E"/>
          <w:sz w:val="40"/>
          <w:szCs w:val="40"/>
        </w:rPr>
      </w:pPr>
    </w:p>
    <w:p w14:paraId="3FC25F5C"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1ED1109C"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5576EF63"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4ECA8414"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4A39C84F"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25C65EC2"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462E0D12"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6FB84826"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BB4C721"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3147F111" w14:textId="77777777" w:rsidR="002343C3" w:rsidRPr="007F5DEA" w:rsidRDefault="007F5DEA" w:rsidP="002343C3">
      <w:pPr>
        <w:spacing w:after="0" w:line="240" w:lineRule="auto"/>
        <w:rPr>
          <w:b/>
          <w:bCs/>
          <w:sz w:val="24"/>
          <w:szCs w:val="24"/>
        </w:rPr>
      </w:pPr>
      <w:r w:rsidRPr="007F5DEA">
        <w:rPr>
          <w:b/>
          <w:bCs/>
          <w:sz w:val="24"/>
          <w:szCs w:val="24"/>
        </w:rPr>
        <w:t xml:space="preserve">Heroica Puebla de Zaragoza, </w:t>
      </w:r>
      <w:proofErr w:type="gramStart"/>
      <w:r w:rsidRPr="007F5DEA">
        <w:rPr>
          <w:b/>
          <w:bCs/>
          <w:sz w:val="24"/>
          <w:szCs w:val="24"/>
        </w:rPr>
        <w:t>Octubre</w:t>
      </w:r>
      <w:proofErr w:type="gramEnd"/>
      <w:r w:rsidRPr="007F5DEA">
        <w:rPr>
          <w:b/>
          <w:bCs/>
          <w:sz w:val="24"/>
          <w:szCs w:val="24"/>
        </w:rPr>
        <w:t xml:space="preserve"> de 2026.</w:t>
      </w:r>
    </w:p>
    <w:p w14:paraId="2FF7D5DE" w14:textId="77777777" w:rsidR="00F26FD7" w:rsidRDefault="00AA13E0">
      <w:pPr>
        <w:pageBreakBefore/>
        <w:spacing w:after="200" w:line="276" w:lineRule="auto"/>
      </w:pPr>
      <w:r>
        <w:rPr>
          <w:rFonts w:ascii="Gilroy" w:hAnsi="Gilroy" w:cs="Gilroy"/>
          <w:b/>
          <w:color w:val="303030"/>
          <w:sz w:val="24"/>
        </w:rPr>
        <w:lastRenderedPageBreak/>
        <w:br/>
        <w:t>I. PRESENTACIÓN</w:t>
      </w:r>
    </w:p>
    <w:p w14:paraId="51D4846F" w14:textId="77777777" w:rsidR="0062426E" w:rsidRDefault="00000000">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60E9678B" w14:textId="77777777" w:rsidR="0062426E" w:rsidRDefault="00000000">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75363BCD" w14:textId="77777777" w:rsidR="0062426E" w:rsidRDefault="00000000">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3CA10E6D" w14:textId="77777777" w:rsidR="0062426E" w:rsidRDefault="00000000">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09B33541"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3B0EC74B" w14:textId="77777777" w:rsidR="008D3577" w:rsidRDefault="00000000">
      <w:pPr>
        <w:spacing w:line="276" w:lineRule="auto"/>
        <w:jc w:val="both"/>
      </w:pPr>
      <w:r>
        <w:rPr>
          <w:rFonts w:ascii="Gilroy" w:hAnsi="Gilroy" w:cs="Gilroy"/>
          <w:color w:val="303030"/>
        </w:rPr>
        <w:t>Mediante la ejecución de dos proyectos tecnológicos, se entregan los siguientes resultados institucionales:</w:t>
      </w:r>
    </w:p>
    <w:p w14:paraId="4100696E" w14:textId="77777777" w:rsidR="008D3577" w:rsidRDefault="00000000">
      <w:pPr>
        <w:keepNext/>
        <w:spacing w:before="200" w:after="100" w:line="276" w:lineRule="auto"/>
      </w:pPr>
      <w:r>
        <w:rPr>
          <w:rFonts w:ascii="Gilroy" w:hAnsi="Gilroy" w:cs="Gilroy"/>
          <w:b/>
          <w:color w:val="303030"/>
        </w:rPr>
        <w:t>Proyecto 1. TEKITL (formación técnica y comprensión del hardware)</w:t>
      </w:r>
    </w:p>
    <w:p w14:paraId="47D96AFD" w14:textId="77777777" w:rsidR="008D3577" w:rsidRDefault="00000000">
      <w:pPr>
        <w:keepNext/>
        <w:spacing w:before="100" w:after="80" w:line="276" w:lineRule="auto"/>
      </w:pPr>
      <w:r>
        <w:rPr>
          <w:rFonts w:ascii="Gilroy" w:hAnsi="Gilroy" w:cs="Gilroy"/>
          <w:b/>
          <w:i/>
          <w:color w:val="303030"/>
        </w:rPr>
        <w:t>Programa Tekitl Laboratorios (Tekitl-Lab)</w:t>
      </w:r>
    </w:p>
    <w:p w14:paraId="7AEA576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0B2909E8"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con documentación en formato EC0217.01 (carta descriptiva, lista de verificación de requerimientos, lista de asistencia, contrato de aprendizaje, cuestionarios con claves, lista de cotejo, guía de observación, encuesta de satisfacción, informe final y presentación). Cinco cuentan con el paquete completo; </w:t>
      </w:r>
      <w:r>
        <w:rPr>
          <w:rFonts w:ascii="Gilroy" w:hAnsi="Gilroy" w:cs="Gilroy"/>
          <w:b/>
          <w:color w:val="303030"/>
        </w:rPr>
        <w:t>Impulso Lumínico</w:t>
      </w:r>
      <w:r>
        <w:rPr>
          <w:rFonts w:ascii="Gilroy" w:hAnsi="Gilroy" w:cs="Gilroy"/>
          <w:color w:val="303030"/>
        </w:rPr>
        <w:t xml:space="preserve"> cuenta con carta descriptiva y presentación.</w:t>
      </w:r>
    </w:p>
    <w:tbl>
      <w:tblPr>
        <w:tblStyle w:val="Tablaconcuadrcula"/>
        <w:tblW w:w="0" w:type="auto"/>
        <w:tblInd w:w="567" w:type="dxa"/>
        <w:tblLayout w:type="fixed"/>
        <w:tblLook w:val="04A0" w:firstRow="1" w:lastRow="0" w:firstColumn="1" w:lastColumn="0" w:noHBand="0" w:noVBand="1"/>
      </w:tblPr>
      <w:tblGrid>
        <w:gridCol w:w="2608"/>
        <w:gridCol w:w="5783"/>
      </w:tblGrid>
      <w:tr w:rsidR="008D3577" w14:paraId="4C7ADF50" w14:textId="77777777" w:rsidTr="00BA122D">
        <w:tc>
          <w:tcPr>
            <w:tcW w:w="2608" w:type="dxa"/>
            <w:shd w:val="clear" w:color="auto" w:fill="6A2C3E"/>
          </w:tcPr>
          <w:p w14:paraId="406DAEF8" w14:textId="77777777" w:rsidR="008D3577" w:rsidRPr="00BA122D" w:rsidRDefault="00000000">
            <w:pPr>
              <w:spacing w:before="40" w:after="40"/>
              <w:rPr>
                <w:color w:val="FFFFFF" w:themeColor="background1"/>
              </w:rPr>
            </w:pPr>
            <w:r w:rsidRPr="00BA122D">
              <w:rPr>
                <w:rFonts w:ascii="Gilroy" w:hAnsi="Gilroy" w:cs="Gilroy"/>
                <w:b/>
                <w:color w:val="FFFFFF" w:themeColor="background1"/>
                <w:sz w:val="20"/>
              </w:rPr>
              <w:t>Curso</w:t>
            </w:r>
          </w:p>
        </w:tc>
        <w:tc>
          <w:tcPr>
            <w:tcW w:w="5783" w:type="dxa"/>
            <w:shd w:val="clear" w:color="auto" w:fill="6A2C3E"/>
          </w:tcPr>
          <w:p w14:paraId="4ADE47F2" w14:textId="77777777" w:rsidR="008D3577" w:rsidRPr="00BA122D" w:rsidRDefault="00000000">
            <w:pPr>
              <w:spacing w:before="40" w:after="40"/>
              <w:rPr>
                <w:color w:val="FFFFFF" w:themeColor="background1"/>
              </w:rPr>
            </w:pPr>
            <w:r w:rsidRPr="00BA122D">
              <w:rPr>
                <w:rFonts w:ascii="Gilroy" w:hAnsi="Gilroy" w:cs="Gilroy"/>
                <w:b/>
                <w:color w:val="FFFFFF" w:themeColor="background1"/>
                <w:sz w:val="20"/>
              </w:rPr>
              <w:t>Construcción</w:t>
            </w:r>
          </w:p>
        </w:tc>
      </w:tr>
      <w:tr w:rsidR="008D3577" w14:paraId="1DEE15D3" w14:textId="77777777">
        <w:tc>
          <w:tcPr>
            <w:tcW w:w="2608" w:type="dxa"/>
          </w:tcPr>
          <w:p w14:paraId="20D5D615" w14:textId="77777777" w:rsidR="008D3577" w:rsidRDefault="00000000">
            <w:pPr>
              <w:spacing w:before="40" w:after="40"/>
            </w:pPr>
            <w:r>
              <w:rPr>
                <w:rFonts w:ascii="Gilroy" w:hAnsi="Gilroy" w:cs="Gilroy"/>
                <w:color w:val="303030"/>
                <w:sz w:val="20"/>
              </w:rPr>
              <w:t>Ensamblaje H2O</w:t>
            </w:r>
          </w:p>
        </w:tc>
        <w:tc>
          <w:tcPr>
            <w:tcW w:w="5783" w:type="dxa"/>
          </w:tcPr>
          <w:p w14:paraId="4682AB2F" w14:textId="77777777" w:rsidR="008D3577" w:rsidRDefault="00000000">
            <w:pPr>
              <w:spacing w:before="40" w:after="40"/>
            </w:pPr>
            <w:r>
              <w:rPr>
                <w:rFonts w:ascii="Gilroy" w:hAnsi="Gilroy" w:cs="Gilroy"/>
                <w:color w:val="303030"/>
                <w:sz w:val="20"/>
              </w:rPr>
              <w:t>Bombas de agua con motores DC recuperados</w:t>
            </w:r>
          </w:p>
        </w:tc>
      </w:tr>
      <w:tr w:rsidR="008D3577" w14:paraId="24FEFFA2" w14:textId="77777777">
        <w:tc>
          <w:tcPr>
            <w:tcW w:w="2608" w:type="dxa"/>
          </w:tcPr>
          <w:p w14:paraId="51C7FAC5" w14:textId="77777777" w:rsidR="008D3577" w:rsidRDefault="00000000">
            <w:pPr>
              <w:spacing w:before="40" w:after="40"/>
            </w:pPr>
            <w:r>
              <w:rPr>
                <w:rFonts w:ascii="Gilroy" w:hAnsi="Gilroy" w:cs="Gilroy"/>
                <w:color w:val="303030"/>
                <w:sz w:val="20"/>
              </w:rPr>
              <w:t>Dinámica Rotatoria</w:t>
            </w:r>
          </w:p>
        </w:tc>
        <w:tc>
          <w:tcPr>
            <w:tcW w:w="5783" w:type="dxa"/>
          </w:tcPr>
          <w:p w14:paraId="7FEC3D77" w14:textId="77777777" w:rsidR="008D3577" w:rsidRDefault="00000000">
            <w:pPr>
              <w:spacing w:before="40" w:after="40"/>
            </w:pPr>
            <w:r>
              <w:rPr>
                <w:rFonts w:ascii="Gilroy" w:hAnsi="Gilroy" w:cs="Gilroy"/>
                <w:color w:val="303030"/>
                <w:sz w:val="20"/>
              </w:rPr>
              <w:t>Mini taladros comunitarios con fuentes de poder DC</w:t>
            </w:r>
          </w:p>
        </w:tc>
      </w:tr>
      <w:tr w:rsidR="008D3577" w14:paraId="527758E7" w14:textId="77777777">
        <w:tc>
          <w:tcPr>
            <w:tcW w:w="2608" w:type="dxa"/>
          </w:tcPr>
          <w:p w14:paraId="65A1B800" w14:textId="77777777" w:rsidR="008D3577" w:rsidRDefault="00000000">
            <w:pPr>
              <w:spacing w:before="40" w:after="40"/>
            </w:pPr>
            <w:r>
              <w:rPr>
                <w:rFonts w:ascii="Gilroy" w:hAnsi="Gilroy" w:cs="Gilroy"/>
                <w:color w:val="303030"/>
                <w:sz w:val="20"/>
              </w:rPr>
              <w:t>Espectro Audible</w:t>
            </w:r>
          </w:p>
        </w:tc>
        <w:tc>
          <w:tcPr>
            <w:tcW w:w="5783" w:type="dxa"/>
          </w:tcPr>
          <w:p w14:paraId="081CC327" w14:textId="77777777" w:rsidR="008D3577" w:rsidRDefault="00000000">
            <w:pPr>
              <w:spacing w:before="40" w:after="40"/>
            </w:pPr>
            <w:r>
              <w:rPr>
                <w:rFonts w:ascii="Gilroy" w:hAnsi="Gilroy" w:cs="Gilroy"/>
                <w:color w:val="303030"/>
                <w:sz w:val="20"/>
              </w:rPr>
              <w:t>Bocinas comunitarias con imán y bobina de voz</w:t>
            </w:r>
          </w:p>
        </w:tc>
      </w:tr>
      <w:tr w:rsidR="008D3577" w14:paraId="14D15677" w14:textId="77777777">
        <w:tc>
          <w:tcPr>
            <w:tcW w:w="2608" w:type="dxa"/>
          </w:tcPr>
          <w:p w14:paraId="479A766D" w14:textId="77777777" w:rsidR="008D3577" w:rsidRDefault="00000000">
            <w:pPr>
              <w:spacing w:before="40" w:after="40"/>
            </w:pPr>
            <w:r>
              <w:rPr>
                <w:rFonts w:ascii="Gilroy" w:hAnsi="Gilroy" w:cs="Gilroy"/>
                <w:color w:val="303030"/>
                <w:sz w:val="20"/>
              </w:rPr>
              <w:t>Impulso Lumínico</w:t>
            </w:r>
          </w:p>
        </w:tc>
        <w:tc>
          <w:tcPr>
            <w:tcW w:w="5783" w:type="dxa"/>
          </w:tcPr>
          <w:p w14:paraId="0BBE0BA4" w14:textId="77777777" w:rsidR="008D3577" w:rsidRDefault="00000000">
            <w:pPr>
              <w:spacing w:before="40" w:after="40"/>
            </w:pPr>
            <w:r>
              <w:rPr>
                <w:rFonts w:ascii="Gilroy" w:hAnsi="Gilroy" w:cs="Gilroy"/>
                <w:color w:val="303030"/>
                <w:sz w:val="20"/>
              </w:rPr>
              <w:t>Lámparas USB con LED (5 V)</w:t>
            </w:r>
          </w:p>
        </w:tc>
      </w:tr>
      <w:tr w:rsidR="008D3577" w14:paraId="74D12647" w14:textId="77777777">
        <w:tc>
          <w:tcPr>
            <w:tcW w:w="2608" w:type="dxa"/>
          </w:tcPr>
          <w:p w14:paraId="3DEEDC70" w14:textId="77777777" w:rsidR="008D3577" w:rsidRDefault="00000000">
            <w:pPr>
              <w:spacing w:before="40" w:after="40"/>
            </w:pPr>
            <w:r>
              <w:rPr>
                <w:rFonts w:ascii="Gilroy" w:hAnsi="Gilroy" w:cs="Gilroy"/>
                <w:color w:val="303030"/>
                <w:sz w:val="20"/>
              </w:rPr>
              <w:t>Ponte las Pilas</w:t>
            </w:r>
          </w:p>
        </w:tc>
        <w:tc>
          <w:tcPr>
            <w:tcW w:w="5783" w:type="dxa"/>
          </w:tcPr>
          <w:p w14:paraId="0F8B79ED" w14:textId="77777777" w:rsidR="008D3577" w:rsidRDefault="00000000">
            <w:pPr>
              <w:spacing w:before="40" w:after="40"/>
            </w:pPr>
            <w:r>
              <w:rPr>
                <w:rFonts w:ascii="Gilroy" w:hAnsi="Gilroy" w:cs="Gilroy"/>
                <w:color w:val="303030"/>
                <w:sz w:val="20"/>
              </w:rPr>
              <w:t>Cargadores portátiles (powerbank) con baterías recuperadas</w:t>
            </w:r>
          </w:p>
        </w:tc>
      </w:tr>
      <w:tr w:rsidR="008D3577" w14:paraId="153A612F" w14:textId="77777777">
        <w:tc>
          <w:tcPr>
            <w:tcW w:w="2608" w:type="dxa"/>
          </w:tcPr>
          <w:p w14:paraId="16B65FF1" w14:textId="77777777" w:rsidR="008D3577" w:rsidRDefault="00000000">
            <w:pPr>
              <w:spacing w:before="40" w:after="40"/>
            </w:pPr>
            <w:r>
              <w:rPr>
                <w:rFonts w:ascii="Gilroy" w:hAnsi="Gilroy" w:cs="Gilroy"/>
                <w:color w:val="303030"/>
                <w:sz w:val="20"/>
              </w:rPr>
              <w:t>Forja Térmica</w:t>
            </w:r>
          </w:p>
        </w:tc>
        <w:tc>
          <w:tcPr>
            <w:tcW w:w="5783" w:type="dxa"/>
          </w:tcPr>
          <w:p w14:paraId="6D8B54A0" w14:textId="77777777" w:rsidR="008D3577" w:rsidRDefault="00000000">
            <w:pPr>
              <w:spacing w:before="40" w:after="40"/>
            </w:pPr>
            <w:r>
              <w:rPr>
                <w:rFonts w:ascii="Gilroy" w:hAnsi="Gilroy" w:cs="Gilroy"/>
                <w:color w:val="303030"/>
                <w:sz w:val="20"/>
              </w:rPr>
              <w:t>Parrillas eléctricas comunitarias con resistencia (efecto Joule)</w:t>
            </w:r>
          </w:p>
        </w:tc>
      </w:tr>
    </w:tbl>
    <w:p w14:paraId="7BAF00A4" w14:textId="77777777" w:rsidR="008D3577" w:rsidRDefault="00000000">
      <w:pPr>
        <w:spacing w:before="120"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con sensor PIR HC-SR501, Arduino y una aplicación de control en Python para audio, video o relevador, con Manual de instalación y Manual de uso. Se encuentra en </w:t>
      </w:r>
      <w:r>
        <w:rPr>
          <w:rFonts w:ascii="Gilroy" w:hAnsi="Gilroy" w:cs="Gilroy"/>
          <w:b/>
          <w:color w:val="303030"/>
        </w:rPr>
        <w:t>fase de pruebas</w:t>
      </w:r>
      <w:r>
        <w:rPr>
          <w:rFonts w:ascii="Gilroy" w:hAnsi="Gilroy" w:cs="Gilroy"/>
          <w:color w:val="303030"/>
        </w:rPr>
        <w:t>.</w:t>
      </w:r>
    </w:p>
    <w:p w14:paraId="03B8991B" w14:textId="77777777" w:rsidR="008D3577" w:rsidRDefault="00000000">
      <w:pPr>
        <w:keepNext/>
        <w:spacing w:before="100" w:after="80" w:line="276" w:lineRule="auto"/>
      </w:pPr>
      <w:r>
        <w:rPr>
          <w:rFonts w:ascii="Gilroy" w:hAnsi="Gilroy" w:cs="Gilroy"/>
          <w:b/>
          <w:i/>
          <w:color w:val="303030"/>
        </w:rPr>
        <w:t>Curso "Electrónica y Programación Básica" (estudiantes de secundaria)</w:t>
      </w:r>
    </w:p>
    <w:p w14:paraId="5BD6484B"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de programación; entorno Arduino; sensores y dispositivos; integración de hardware y software; prácticas y experimentos; proyectos de aplicación (alumbrado nocturno automático e indicador tricolor); sensores avanzados y actuadores, con proyecto integrador de barrera automática con alerta sonora y ultrasonido; y visualización de datos con pantalla LCD y sensor de temperatura, con proyecto integrador de termostato ambiental. Incluye glosario, conclusiones y referencias.</w:t>
      </w:r>
    </w:p>
    <w:p w14:paraId="46A05AE2"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10CB70B0" w14:textId="77777777" w:rsidR="008D3577" w:rsidRDefault="00000000">
      <w:pPr>
        <w:spacing w:after="100" w:line="276" w:lineRule="auto"/>
        <w:ind w:left="567" w:hanging="283"/>
        <w:jc w:val="both"/>
      </w:pPr>
      <w:r>
        <w:rPr>
          <w:rFonts w:ascii="Gilroy" w:hAnsi="Gilroy" w:cs="Gilroy"/>
          <w:color w:val="303030"/>
        </w:rPr>
        <w:lastRenderedPageBreak/>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67AEC895" w14:textId="77777777" w:rsidR="008D3577" w:rsidRDefault="00000000">
      <w:pPr>
        <w:keepNext/>
        <w:spacing w:before="200" w:after="100" w:line="276" w:lineRule="auto"/>
      </w:pPr>
      <w:r>
        <w:rPr>
          <w:rFonts w:ascii="Gilroy" w:hAnsi="Gilroy" w:cs="Gilroy"/>
          <w:b/>
          <w:color w:val="303030"/>
        </w:rPr>
        <w:t>Proyecto 2. Nodo de Innovación Tecnológica Comunitaria (NODO / NITC)</w:t>
      </w:r>
    </w:p>
    <w:p w14:paraId="3751E242"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(Tekitl-Lab, Plataforma de Autonomía Digital (PADI), Intercambio Digital, Módulos de Apropiación Digital, Yolotl Altépetl, Fábrica de Contenidos, Casa de Proyectos y Promotores Tecnológicos), su gobernanza multinivel, la seguridad de datos y una ruta de implementación de cuatro fases (15 meses).</w:t>
      </w:r>
    </w:p>
    <w:p w14:paraId="5B61C78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51317AA9" w14:textId="62DC291B" w:rsidR="008D3577" w:rsidRDefault="00000000">
      <w:pPr>
        <w:spacing w:after="100" w:line="276" w:lineRule="auto"/>
        <w:ind w:left="1021" w:hanging="283"/>
        <w:jc w:val="both"/>
      </w:pPr>
      <w:r>
        <w:rPr>
          <w:rFonts w:ascii="Gilroy" w:hAnsi="Gilroy" w:cs="Gilroy"/>
          <w:b/>
          <w:color w:val="303030"/>
        </w:rPr>
        <w:t>Zona 1, estudio con pantalla verde:</w:t>
      </w:r>
      <w:r>
        <w:rPr>
          <w:rFonts w:ascii="Gilroy" w:hAnsi="Gilroy" w:cs="Gilroy"/>
          <w:color w:val="303030"/>
        </w:rPr>
        <w:t xml:space="preserve"> fondo croma, dos luces tipo softbox, cámara en tripié y equipo de cómputo con OBS Studio configurado con múltiples escenas.</w:t>
      </w:r>
    </w:p>
    <w:p w14:paraId="723B8AB2" w14:textId="6B3CE9D4" w:rsidR="008D3577" w:rsidRDefault="00000000">
      <w:pPr>
        <w:spacing w:after="100" w:line="276" w:lineRule="auto"/>
        <w:ind w:left="1021" w:hanging="283"/>
        <w:jc w:val="both"/>
      </w:pPr>
      <w:r>
        <w:rPr>
          <w:rFonts w:ascii="Gilroy" w:hAnsi="Gilroy" w:cs="Gilroy"/>
          <w:b/>
          <w:color w:val="303030"/>
        </w:rPr>
        <w:t>Zona 2, set de entrevista:</w:t>
      </w:r>
      <w:r>
        <w:rPr>
          <w:rFonts w:ascii="Gilroy" w:hAnsi="Gilroy" w:cs="Gilroy"/>
          <w:color w:val="303030"/>
        </w:rPr>
        <w:t xml:space="preserve"> escritorio con micrófonos de condensador con brazo y filtro antipop, cámaras en tripié, panel de iluminación LED, mezcladora de audio y consola de conmutación de video, y fondo de pantalla verde, con escenas de conmutación en OBS Studio.</w:t>
      </w:r>
    </w:p>
    <w:p w14:paraId="7144BEAE" w14:textId="1B87D505" w:rsidR="008D3577" w:rsidRDefault="00000000">
      <w:pPr>
        <w:spacing w:after="100" w:line="276" w:lineRule="auto"/>
        <w:ind w:left="1021" w:hanging="283"/>
        <w:jc w:val="both"/>
      </w:pPr>
      <w:r>
        <w:rPr>
          <w:rFonts w:ascii="Gilroy" w:hAnsi="Gilroy" w:cs="Gilroy"/>
          <w:b/>
          <w:color w:val="303030"/>
        </w:rPr>
        <w:t>Zona 3, cabina de grabación y área de sonido:</w:t>
      </w:r>
      <w:r>
        <w:rPr>
          <w:rFonts w:ascii="Gilroy" w:hAnsi="Gilroy" w:cs="Gilroy"/>
          <w:color w:val="303030"/>
        </w:rPr>
        <w:t xml:space="preserve"> cabina acondicionada con espuma acústica, micrófono de condensador con filtro antipop, audífonos y atril; y área de sonido con bocina amplificada, receptores y micrófonos de mano inalámbricos, mezcladora, equipo de cómputo y pantalla de pared.</w:t>
      </w:r>
    </w:p>
    <w:p w14:paraId="75540854" w14:textId="72B780D9" w:rsidR="008D3577" w:rsidRDefault="00000000">
      <w:pPr>
        <w:spacing w:after="100" w:line="276" w:lineRule="auto"/>
        <w:ind w:left="1021" w:hanging="283"/>
        <w:jc w:val="both"/>
      </w:pPr>
      <w:r>
        <w:rPr>
          <w:rFonts w:ascii="Gilroy" w:hAnsi="Gilroy" w:cs="Gilroy"/>
          <w:b/>
          <w:color w:val="303030"/>
        </w:rPr>
        <w:t>Zona 4, sala de capacitación y presentaciones:</w:t>
      </w:r>
      <w:r>
        <w:rPr>
          <w:rFonts w:ascii="Gilroy" w:hAnsi="Gilroy" w:cs="Gilroy"/>
          <w:color w:val="303030"/>
        </w:rPr>
        <w:t xml:space="preserve"> mesas y sillas para grupos, dos pantallas de pared en las que se despliega el portal de la Plataforma de Autonomía Digital (PADI), bocina en tripié y aro de luz. Está dispuesta para sesiones de capacitación, presentaciones y transmisión.</w:t>
      </w:r>
    </w:p>
    <w:p w14:paraId="33D066B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para las funciones previstas, incluidos el recorte de fondo (croma) con fondos virtuales, la conmutación entre escenas y cámaras, y la captura de audio.</w:t>
      </w:r>
    </w:p>
    <w:p w14:paraId="5D0253F9"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se encuentra instalado y probado; aún no ha recibido visitas ni operado con población beneficiaria. Los demás componentes del NITC permanecen en el documento maestro.</w:t>
      </w:r>
    </w:p>
    <w:p w14:paraId="3D5C6634" w14:textId="77777777" w:rsidR="008D3577" w:rsidRDefault="00000000">
      <w:pPr>
        <w:keepNext/>
        <w:spacing w:before="200" w:after="100" w:line="276" w:lineRule="auto"/>
      </w:pPr>
      <w:r>
        <w:rPr>
          <w:rFonts w:ascii="Gilroy" w:hAnsi="Gilroy" w:cs="Gilroy"/>
          <w:b/>
          <w:color w:val="303030"/>
        </w:rPr>
        <w:t>Estatus Global de la Meta (acumulado: 6 de 8 proyectos)</w:t>
      </w:r>
    </w:p>
    <w:p w14:paraId="1CC99E34"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al corte. No se reportan cursos impartidos ni visitas al NODO.</w:t>
      </w:r>
    </w:p>
    <w:sectPr w:rsidR="008D3577">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6121" w14:textId="77777777" w:rsidR="001A2963" w:rsidRDefault="001A2963">
      <w:pPr>
        <w:spacing w:after="0" w:line="240" w:lineRule="auto"/>
      </w:pPr>
      <w:r>
        <w:separator/>
      </w:r>
    </w:p>
  </w:endnote>
  <w:endnote w:type="continuationSeparator" w:id="0">
    <w:p w14:paraId="6EDEF5C7" w14:textId="77777777" w:rsidR="001A2963" w:rsidRDefault="001A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B3C55E-BF74-4116-9ACA-2596AFB1A1CC}"/>
    <w:embedBold r:id="rId2" w:fontKey="{161778BC-D8DF-4160-ABFC-EEE2A51596A4}"/>
    <w:embedItalic r:id="rId3" w:fontKey="{03AF21B6-1EFA-404A-B5A1-244CD0C9D579}"/>
    <w:embedBoldItalic r:id="rId4" w:fontKey="{F82B09ED-280A-4712-A0C7-6A80F6DEC7BA}"/>
  </w:font>
  <w:font w:name="Calibri Light">
    <w:panose1 w:val="020F0302020204030204"/>
    <w:charset w:val="00"/>
    <w:family w:val="swiss"/>
    <w:pitch w:val="variable"/>
    <w:sig w:usb0="E4002EFF" w:usb1="C200247B" w:usb2="00000009" w:usb3="00000000" w:csb0="000001FF" w:csb1="00000000"/>
    <w:embedRegular r:id="rId5" w:fontKey="{3A8E052A-1ADD-43E4-ADDA-3ABE45A329C7}"/>
    <w:embedBold r:id="rId6" w:fontKey="{DEF3AC57-003D-46A1-9784-7886393CBE70}"/>
    <w:embedItalic r:id="rId7" w:fontKey="{D4C6B208-7C3C-45C5-B122-B4C50609C5F2}"/>
    <w:embedBoldItalic r:id="rId8" w:fontKey="{E51DB349-DDC1-4B8F-BC54-A614DD0E38C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0AFD8743-62B5-4A56-A595-42FFF85A8321}"/>
  </w:font>
  <w:font w:name="Bookman Old Style">
    <w:panose1 w:val="02050604050505020204"/>
    <w:charset w:val="00"/>
    <w:family w:val="roman"/>
    <w:pitch w:val="variable"/>
    <w:sig w:usb0="00000287" w:usb1="00000000" w:usb2="00000000" w:usb3="00000000" w:csb0="0000009F" w:csb1="00000000"/>
    <w:embedRegular r:id="rId10" w:fontKey="{270CEAC0-0733-40D0-999D-29ACAF99F2DF}"/>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5A77" w14:textId="77777777" w:rsidR="0011730A" w:rsidRDefault="0011730A">
    <w:pPr>
      <w:spacing w:after="0" w:line="240" w:lineRule="auto"/>
      <w:jc w:val="center"/>
      <w:rPr>
        <w:rFonts w:ascii="Gilroy" w:hAnsi="Gilroy"/>
      </w:rPr>
    </w:pPr>
  </w:p>
  <w:p w14:paraId="552253E2"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4556" w14:textId="77777777" w:rsidR="001A2963" w:rsidRDefault="001A2963">
      <w:pPr>
        <w:spacing w:after="0" w:line="240" w:lineRule="auto"/>
      </w:pPr>
      <w:r>
        <w:separator/>
      </w:r>
    </w:p>
  </w:footnote>
  <w:footnote w:type="continuationSeparator" w:id="0">
    <w:p w14:paraId="1A437E8F" w14:textId="77777777" w:rsidR="001A2963" w:rsidRDefault="001A29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D371"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07CE7597"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1681C5AD"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615E"/>
    <w:rsid w:val="001D2853"/>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122D"/>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5E7B1"/>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1626</Words>
  <Characters>8945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13</cp:revision>
  <cp:lastPrinted>2026-09-21T18:07:00Z</cp:lastPrinted>
  <dcterms:created xsi:type="dcterms:W3CDTF">2026-09-21T18:18:00Z</dcterms:created>
  <dcterms:modified xsi:type="dcterms:W3CDTF">2026-10-06T06:45:00Z</dcterms:modified>
</cp:coreProperties>
</file>