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49D0" w14:textId="77777777" w:rsidR="00A2741D" w:rsidRPr="00C565E2" w:rsidRDefault="007F62BB" w:rsidP="007F62BB">
      <w:pPr>
        <w:spacing w:after="960" w:line="240" w:lineRule="auto"/>
        <w:jc w:val="center"/>
        <w:rPr>
          <w:rFonts w:ascii="Gilroy SemiBold" w:hAnsi="Gilroy SemiBold" w:cs="Gilroy"/>
          <w:b/>
          <w:bCs/>
          <w:color w:val="20604A"/>
          <w:sz w:val="44"/>
          <w:szCs w:val="44"/>
        </w:rPr>
      </w:pPr>
      <w:r>
        <w:rPr>
          <w:rFonts w:ascii="Gilroy" w:hAnsi="Gilroy" w:cs="Gilroy"/>
          <w:b/>
          <w:bCs/>
          <w:color w:val="20604A"/>
          <w:sz w:val="52"/>
          <w:szCs w:val="52"/>
        </w:rPr>
        <w:br/>
      </w:r>
      <w:r w:rsidRPr="001A41BF">
        <w:rPr>
          <w:rFonts w:ascii="Gilroy SemiBold" w:hAnsi="Gilroy SemiBold" w:cs="Gilroy"/>
          <w:b/>
          <w:bCs/>
          <w:color w:val="20604A"/>
          <w:sz w:val="44"/>
          <w:szCs w:val="44"/>
        </w:rPr>
        <w:t>E088 DESARROLLO INTEGRAL DE LOS PUEBLOS INDÍGENAS.</w:t>
      </w:r>
    </w:p>
    <w:p w14:paraId="051B7919" w14:textId="77777777" w:rsidR="00A2741D" w:rsidRPr="00C565E2" w:rsidRDefault="00000000">
      <w:pPr>
        <w:spacing w:after="720" w:line="240" w:lineRule="auto"/>
        <w:jc w:val="center"/>
        <w:rPr>
          <w:rFonts w:ascii="Gilroy SemiBold" w:hAnsi="Gilroy SemiBold" w:cs="Gilroy"/>
          <w:b/>
          <w:bCs/>
          <w:color w:val="6A2C3E"/>
          <w:sz w:val="36"/>
          <w:szCs w:val="36"/>
        </w:rPr>
      </w:pPr>
      <w:r w:rsidRPr="00C565E2">
        <w:rPr>
          <w:rFonts w:ascii="Gilroy SemiBold" w:hAnsi="Gilroy SemiBold" w:cs="Gilroy"/>
          <w:b/>
          <w:bCs/>
          <w:color w:val="6A2C3E"/>
          <w:sz w:val="32"/>
          <w:szCs w:val="32"/>
        </w:rPr>
        <w:t>SUBDIRECCIÓN DE DESARROLLO DE TECNOLOGÍAS DE LA INFORMACIÓN</w:t>
      </w:r>
    </w:p>
    <w:p w14:paraId="0A0160F8" w14:textId="77777777" w:rsidR="00A2741D" w:rsidRPr="00C565E2" w:rsidRDefault="00000000">
      <w:pPr>
        <w:spacing w:after="720" w:line="240" w:lineRule="auto"/>
        <w:jc w:val="center"/>
        <w:rPr>
          <w:rFonts w:ascii="Gilroy SemiBold" w:hAnsi="Gilroy SemiBold" w:cs="Gilroy"/>
          <w:b/>
          <w:bCs/>
          <w:color w:val="303030"/>
          <w:sz w:val="32"/>
          <w:szCs w:val="32"/>
        </w:rPr>
      </w:pPr>
      <w:r w:rsidRPr="00C565E2">
        <w:rPr>
          <w:rFonts w:ascii="Gilroy SemiBold" w:hAnsi="Gilroy SemiBold" w:cs="Gilroy"/>
          <w:b/>
          <w:bCs/>
          <w:color w:val="303030"/>
          <w:sz w:val="32"/>
          <w:szCs w:val="32"/>
        </w:rPr>
        <w:t>COMPONENTE 3: ACCIONES DE PATRIMONIO CULTURAL Y EDUCACIÓN PERTINENTE REALIZADAS.</w:t>
      </w:r>
    </w:p>
    <w:p w14:paraId="71F1B600" w14:textId="77777777" w:rsidR="00A2741D" w:rsidRPr="00C565E2" w:rsidRDefault="00000000" w:rsidP="007F62BB">
      <w:pPr>
        <w:spacing w:after="720" w:line="240" w:lineRule="auto"/>
        <w:jc w:val="both"/>
        <w:rPr>
          <w:rFonts w:ascii="Gilroy SemiBold" w:hAnsi="Gilroy SemiBold" w:cs="Gilroy"/>
          <w:b/>
          <w:bCs/>
          <w:color w:val="20604A"/>
          <w:sz w:val="32"/>
          <w:szCs w:val="32"/>
        </w:rPr>
      </w:pPr>
      <w:r w:rsidRPr="00C565E2">
        <w:rPr>
          <w:rFonts w:ascii="Gilroy SemiBold" w:hAnsi="Gilroy SemiBold" w:cs="Gilroy"/>
          <w:b/>
          <w:bCs/>
          <w:color w:val="20604A"/>
          <w:sz w:val="32"/>
          <w:szCs w:val="32"/>
        </w:rPr>
        <w:t>Actividad: 3.9 IMPLEMENTACIÓN DE PROYECTOS TECNOLOGICOS QUE REFLEJEN Y FORTALEZCAN LA COMUNICACIÓN Y LA IDENTIDAD CULTURAL.</w:t>
      </w:r>
    </w:p>
    <w:p w14:paraId="60E008C5" w14:textId="77777777" w:rsidR="00A2741D" w:rsidRPr="00C565E2" w:rsidRDefault="00000000">
      <w:pPr>
        <w:spacing w:after="720" w:line="240" w:lineRule="auto"/>
        <w:jc w:val="both"/>
        <w:rPr>
          <w:rFonts w:ascii="Gilroy SemiBold" w:hAnsi="Gilroy SemiBold" w:cs="Gilroy"/>
          <w:b/>
          <w:bCs/>
          <w:color w:val="A08060"/>
          <w:sz w:val="32"/>
          <w:szCs w:val="32"/>
        </w:rPr>
      </w:pPr>
      <w:r w:rsidRPr="00C565E2">
        <w:rPr>
          <w:rFonts w:ascii="Gilroy SemiBold" w:hAnsi="Gilroy SemiBold" w:cs="Gilroy"/>
          <w:b/>
          <w:bCs/>
          <w:color w:val="A08060"/>
          <w:sz w:val="32"/>
          <w:szCs w:val="32"/>
        </w:rPr>
        <w:t>INDICADOR: NÚMERO DE PROYECTOS TECNOLÓGICOS IMPLEMENTADOS PARA FORTALECER LA COMUNICACIÓN E IDENTIDAD CULTURAL.</w:t>
      </w:r>
    </w:p>
    <w:p w14:paraId="0DBD67A1" w14:textId="77777777" w:rsidR="007F62BB" w:rsidRPr="007F62BB" w:rsidRDefault="007F62BB">
      <w:pPr>
        <w:spacing w:after="720" w:line="240" w:lineRule="auto"/>
        <w:jc w:val="both"/>
        <w:rPr>
          <w:rFonts w:ascii="Gilroy" w:hAnsi="Gilroy" w:cs="Gilroy"/>
          <w:b/>
          <w:bCs/>
          <w:color w:val="A08060"/>
          <w:sz w:val="36"/>
          <w:szCs w:val="36"/>
        </w:rPr>
      </w:pPr>
    </w:p>
    <w:p w14:paraId="363D3AD8" w14:textId="77777777" w:rsidR="00A2741D" w:rsidRPr="00C565E2" w:rsidRDefault="00000000">
      <w:pPr>
        <w:spacing w:after="0" w:line="240" w:lineRule="auto"/>
        <w:jc w:val="center"/>
        <w:rPr>
          <w:rFonts w:ascii="Gilroy SemiBold" w:hAnsi="Gilroy SemiBold" w:cs="Gilroy"/>
          <w:b/>
          <w:bCs/>
          <w:color w:val="303030"/>
          <w:sz w:val="48"/>
          <w:szCs w:val="48"/>
        </w:rPr>
      </w:pPr>
      <w:r w:rsidRPr="00C565E2">
        <w:rPr>
          <w:rFonts w:ascii="Gilroy SemiBold" w:hAnsi="Gilroy SemiBold" w:cs="Gilroy"/>
          <w:b/>
          <w:bCs/>
          <w:color w:val="303030"/>
          <w:sz w:val="48"/>
          <w:szCs w:val="48"/>
        </w:rPr>
        <w:t>3ER TRIMESTRE 2026</w:t>
      </w:r>
    </w:p>
    <w:p w14:paraId="66074283" w14:textId="77777777" w:rsidR="00F26FD7" w:rsidRDefault="00000000">
      <w:pPr>
        <w:pageBreakBefore/>
        <w:spacing w:after="200" w:line="276" w:lineRule="auto"/>
      </w:pPr>
      <w:r>
        <w:rPr>
          <w:rFonts w:ascii="Gilroy" w:hAnsi="Gilroy" w:cs="Gilroy"/>
          <w:b/>
          <w:color w:val="303030"/>
          <w:sz w:val="24"/>
        </w:rPr>
        <w:lastRenderedPageBreak/>
        <w:t>1. DESCRIPCIÓN DE LA JUSTIFICACIÓN</w:t>
      </w:r>
    </w:p>
    <w:p w14:paraId="3F8F97D2" w14:textId="77777777" w:rsidR="00F26FD7" w:rsidRDefault="00000000">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02C03347" w14:textId="77777777" w:rsidR="00F26FD7" w:rsidRDefault="00000000">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227BD20F" w14:textId="77777777" w:rsidR="00F26FD7" w:rsidRDefault="00000000">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033643D3" w14:textId="77777777" w:rsidR="00F26FD7" w:rsidRDefault="00000000">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53D4ACE0" w14:textId="77777777" w:rsidR="00C9757E" w:rsidRDefault="00C9757E">
      <w:pPr>
        <w:pageBreakBefore/>
        <w:spacing w:after="0" w:line="3700" w:lineRule="exact"/>
      </w:pPr>
    </w:p>
    <w:p w14:paraId="20F8E233" w14:textId="77777777" w:rsidR="00064949" w:rsidRPr="00233E23" w:rsidRDefault="00064949" w:rsidP="00064949">
      <w:pPr>
        <w:spacing w:after="0" w:line="240" w:lineRule="auto"/>
        <w:jc w:val="center"/>
        <w:rPr>
          <w:b/>
          <w:bCs/>
          <w:color w:val="6A2C3E"/>
          <w:sz w:val="40"/>
          <w:szCs w:val="40"/>
        </w:rPr>
      </w:pPr>
      <w:r w:rsidRPr="00BA122D">
        <w:rPr>
          <w:b/>
          <w:bCs/>
          <w:color w:val="6A2C3E"/>
          <w:sz w:val="40"/>
          <w:szCs w:val="40"/>
        </w:rPr>
        <w:t xml:space="preserve">INFORME INSTITUCIONAL </w:t>
      </w:r>
      <w:r w:rsidRPr="00233E23">
        <w:rPr>
          <w:b/>
          <w:bCs/>
          <w:color w:val="6A2C3E"/>
          <w:sz w:val="40"/>
          <w:szCs w:val="40"/>
        </w:rPr>
        <w:t>ANUAL DE RESULTADOS</w:t>
      </w:r>
    </w:p>
    <w:p w14:paraId="070A7A53" w14:textId="77777777" w:rsidR="00064949" w:rsidRPr="00233E23" w:rsidRDefault="00064949" w:rsidP="00064949">
      <w:pPr>
        <w:spacing w:after="0" w:line="240" w:lineRule="auto"/>
        <w:jc w:val="center"/>
        <w:rPr>
          <w:b/>
          <w:bCs/>
          <w:color w:val="6A2C3E"/>
          <w:sz w:val="40"/>
          <w:szCs w:val="40"/>
        </w:rPr>
      </w:pPr>
      <w:r w:rsidRPr="00233E23">
        <w:rPr>
          <w:b/>
          <w:bCs/>
          <w:color w:val="6A2C3E"/>
          <w:sz w:val="40"/>
          <w:szCs w:val="40"/>
        </w:rPr>
        <w:t>EJERCICIO FISCAL 2026</w:t>
      </w:r>
    </w:p>
    <w:p w14:paraId="380373AE" w14:textId="77777777" w:rsidR="002343C3" w:rsidRDefault="002343C3" w:rsidP="00064949">
      <w:pPr>
        <w:spacing w:after="0" w:line="240" w:lineRule="auto"/>
        <w:jc w:val="center"/>
        <w:rPr>
          <w:b/>
          <w:bCs/>
          <w:color w:val="6A2C3E"/>
          <w:sz w:val="40"/>
          <w:szCs w:val="40"/>
        </w:rPr>
      </w:pPr>
    </w:p>
    <w:p w14:paraId="7779B685" w14:textId="77777777" w:rsidR="002343C3" w:rsidRDefault="002343C3" w:rsidP="00064949">
      <w:pPr>
        <w:spacing w:after="0" w:line="240" w:lineRule="auto"/>
        <w:jc w:val="center"/>
        <w:rPr>
          <w:b/>
          <w:bCs/>
          <w:color w:val="6A2C3E"/>
          <w:sz w:val="40"/>
          <w:szCs w:val="40"/>
        </w:rPr>
      </w:pPr>
    </w:p>
    <w:p w14:paraId="135C0421" w14:textId="77777777" w:rsidR="002343C3" w:rsidRDefault="002343C3" w:rsidP="00064949">
      <w:pPr>
        <w:spacing w:after="0" w:line="240" w:lineRule="auto"/>
        <w:jc w:val="center"/>
        <w:rPr>
          <w:b/>
          <w:bCs/>
          <w:color w:val="6A2C3E"/>
          <w:sz w:val="40"/>
          <w:szCs w:val="40"/>
        </w:rPr>
      </w:pPr>
    </w:p>
    <w:p w14:paraId="4C172A8C" w14:textId="77777777" w:rsidR="007F5DEA" w:rsidRDefault="007F5DEA" w:rsidP="00064949">
      <w:pPr>
        <w:spacing w:after="0" w:line="240" w:lineRule="auto"/>
        <w:jc w:val="center"/>
        <w:rPr>
          <w:b/>
          <w:bCs/>
          <w:color w:val="6A2C3E"/>
          <w:sz w:val="40"/>
          <w:szCs w:val="40"/>
        </w:rPr>
      </w:pPr>
    </w:p>
    <w:p w14:paraId="2FC81E6B" w14:textId="77777777" w:rsidR="007F5DEA" w:rsidRDefault="007F5DEA" w:rsidP="00064949">
      <w:pPr>
        <w:spacing w:after="0" w:line="240" w:lineRule="auto"/>
        <w:jc w:val="center"/>
        <w:rPr>
          <w:b/>
          <w:bCs/>
          <w:color w:val="6A2C3E"/>
          <w:sz w:val="40"/>
          <w:szCs w:val="40"/>
        </w:rPr>
      </w:pPr>
    </w:p>
    <w:p w14:paraId="2B43B561" w14:textId="77777777" w:rsidR="007F5DEA" w:rsidRDefault="007F5DEA" w:rsidP="00064949">
      <w:pPr>
        <w:spacing w:after="0" w:line="240" w:lineRule="auto"/>
        <w:jc w:val="center"/>
        <w:rPr>
          <w:b/>
          <w:bCs/>
          <w:color w:val="6A2C3E"/>
          <w:sz w:val="40"/>
          <w:szCs w:val="40"/>
        </w:rPr>
      </w:pPr>
    </w:p>
    <w:p w14:paraId="5F922127" w14:textId="77777777" w:rsidR="007F5DEA" w:rsidRDefault="007F5DEA" w:rsidP="00064949">
      <w:pPr>
        <w:spacing w:after="0" w:line="240" w:lineRule="auto"/>
        <w:jc w:val="center"/>
        <w:rPr>
          <w:b/>
          <w:bCs/>
          <w:color w:val="6A2C3E"/>
          <w:sz w:val="40"/>
          <w:szCs w:val="40"/>
        </w:rPr>
      </w:pPr>
    </w:p>
    <w:p w14:paraId="040EC9FC" w14:textId="77777777" w:rsidR="007F5DEA" w:rsidRDefault="007F5DEA" w:rsidP="00064949">
      <w:pPr>
        <w:spacing w:after="0" w:line="240" w:lineRule="auto"/>
        <w:jc w:val="center"/>
        <w:rPr>
          <w:b/>
          <w:bCs/>
          <w:color w:val="6A2C3E"/>
          <w:sz w:val="40"/>
          <w:szCs w:val="40"/>
        </w:rPr>
      </w:pPr>
    </w:p>
    <w:p w14:paraId="466782D7"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0C135816"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5D26FFA2"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3C29DA2B"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2CA3882D"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18ABF70C"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183152E4"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3745ABE7"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06E083CE"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6E2D22DE" w14:textId="77777777" w:rsidR="002343C3" w:rsidRPr="007F5DEA" w:rsidRDefault="007F5DEA" w:rsidP="002343C3">
      <w:pPr>
        <w:spacing w:after="0" w:line="240" w:lineRule="auto"/>
        <w:rPr>
          <w:b/>
          <w:bCs/>
          <w:sz w:val="24"/>
          <w:szCs w:val="24"/>
        </w:rPr>
      </w:pPr>
      <w:r w:rsidRPr="007F5DEA">
        <w:rPr>
          <w:b/>
          <w:bCs/>
          <w:sz w:val="24"/>
          <w:szCs w:val="24"/>
        </w:rPr>
        <w:t xml:space="preserve">Heroica Puebla de Zaragoza, </w:t>
      </w:r>
      <w:proofErr w:type="gramStart"/>
      <w:r w:rsidRPr="007F5DEA">
        <w:rPr>
          <w:b/>
          <w:bCs/>
          <w:sz w:val="24"/>
          <w:szCs w:val="24"/>
        </w:rPr>
        <w:t>Octubre</w:t>
      </w:r>
      <w:proofErr w:type="gramEnd"/>
      <w:r w:rsidRPr="007F5DEA">
        <w:rPr>
          <w:b/>
          <w:bCs/>
          <w:sz w:val="24"/>
          <w:szCs w:val="24"/>
        </w:rPr>
        <w:t xml:space="preserve"> de 2026.</w:t>
      </w:r>
    </w:p>
    <w:p w14:paraId="549F7EDB" w14:textId="77777777" w:rsidR="00F26FD7" w:rsidRDefault="00AA13E0">
      <w:pPr>
        <w:pageBreakBefore/>
        <w:spacing w:after="200" w:line="276" w:lineRule="auto"/>
      </w:pPr>
      <w:r>
        <w:rPr>
          <w:rFonts w:ascii="Gilroy" w:hAnsi="Gilroy" w:cs="Gilroy"/>
          <w:b/>
          <w:color w:val="303030"/>
          <w:sz w:val="24"/>
        </w:rPr>
        <w:lastRenderedPageBreak/>
        <w:br/>
        <w:t>I. PRESENTACIÓN</w:t>
      </w:r>
    </w:p>
    <w:p w14:paraId="05D27A18" w14:textId="77777777" w:rsidR="0062426E" w:rsidRDefault="00000000">
      <w:pPr>
        <w:spacing w:line="276" w:lineRule="auto"/>
        <w:jc w:val="both"/>
      </w:pPr>
      <w:r>
        <w:rPr>
          <w:rFonts w:ascii="Gilroy" w:hAnsi="Gilroy" w:cs="Gilroy"/>
          <w:color w:val="303030"/>
        </w:rPr>
        <w:t xml:space="preserve">El presente Informe Institucional rinde cuentas sobre la consolidación de los dos proyectos con los que la Subdirección de Desarrollo de Tecnologías de la Información del Instituto Poblano de los Pueblos Indígenas (IPPI) transita, durante el tercer trimestre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diseño de los ecosistemas digitales del Instituto; este periodo concreta materiales formativos preparados y la primera etapa física de un espacio abierto al público.</w:t>
      </w:r>
    </w:p>
    <w:p w14:paraId="76A298B9" w14:textId="77777777" w:rsidR="0062426E" w:rsidRDefault="00000000">
      <w:pPr>
        <w:spacing w:line="276" w:lineRule="auto"/>
        <w:jc w:val="both"/>
      </w:pPr>
      <w:r>
        <w:rPr>
          <w:rFonts w:ascii="Gilroy" w:hAnsi="Gilroy" w:cs="Gilroy"/>
          <w:color w:val="303030"/>
        </w:rPr>
        <w:t xml:space="preserve">La exclusión digital en las zonas indígenas de Puebla no se limita al acceso a internet: incluye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56C9DF47" w14:textId="77777777" w:rsidR="0062426E" w:rsidRDefault="00000000">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del IPPI y está concebido como un espacio abierto al público, de uso bajo la supervisión y con la participación del personal del Instituto.</w:t>
      </w:r>
    </w:p>
    <w:p w14:paraId="19877A31" w14:textId="77777777" w:rsidR="0062426E" w:rsidRDefault="00000000">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octubre y el NODO aún no recibe visitas. El hardware y el conocimiento generado permanecen bajo la custodia pública del IPPI.</w:t>
      </w:r>
    </w:p>
    <w:p w14:paraId="7D6763A4" w14:textId="77777777" w:rsidR="00F26FD7" w:rsidRDefault="00AA13E0">
      <w:pPr>
        <w:pageBreakBefore/>
        <w:spacing w:after="200" w:line="276" w:lineRule="auto"/>
      </w:pPr>
      <w:r>
        <w:rPr>
          <w:rFonts w:ascii="Gilroy" w:hAnsi="Gilroy" w:cs="Gilroy"/>
          <w:b/>
          <w:color w:val="303030"/>
          <w:sz w:val="24"/>
        </w:rPr>
        <w:lastRenderedPageBreak/>
        <w:br/>
        <w:t>II. RESULTADOS ALCANZADOS</w:t>
      </w:r>
    </w:p>
    <w:p w14:paraId="0266937A" w14:textId="77777777" w:rsidR="008D3577" w:rsidRDefault="00000000">
      <w:pPr>
        <w:spacing w:line="276" w:lineRule="auto"/>
        <w:jc w:val="both"/>
      </w:pPr>
      <w:r>
        <w:rPr>
          <w:rFonts w:ascii="Gilroy" w:hAnsi="Gilroy" w:cs="Gilroy"/>
          <w:color w:val="303030"/>
        </w:rPr>
        <w:t>Mediante la ejecución de dos proyectos tecnológicos, se entregan los siguientes resultados institucionales:</w:t>
      </w:r>
    </w:p>
    <w:p w14:paraId="34345D67" w14:textId="77777777" w:rsidR="008D3577" w:rsidRDefault="00000000">
      <w:pPr>
        <w:keepNext/>
        <w:spacing w:before="200" w:after="100" w:line="276" w:lineRule="auto"/>
      </w:pPr>
      <w:r>
        <w:rPr>
          <w:rFonts w:ascii="Gilroy" w:hAnsi="Gilroy" w:cs="Gilroy"/>
          <w:b/>
          <w:color w:val="303030"/>
        </w:rPr>
        <w:t>Proyecto 1. TEKITL (formación técnica y comprensión del hardware)</w:t>
      </w:r>
    </w:p>
    <w:p w14:paraId="57F00718" w14:textId="77777777" w:rsidR="008D3577" w:rsidRDefault="00000000">
      <w:pPr>
        <w:keepNext/>
        <w:spacing w:before="100" w:after="80" w:line="276" w:lineRule="auto"/>
      </w:pPr>
      <w:r>
        <w:rPr>
          <w:rFonts w:ascii="Gilroy" w:hAnsi="Gilroy" w:cs="Gilroy"/>
          <w:b/>
          <w:i/>
          <w:color w:val="303030"/>
        </w:rPr>
        <w:t>Programa Tekitl Laboratorios (Tekitl-Lab)</w:t>
      </w:r>
    </w:p>
    <w:p w14:paraId="2E4D09EC"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(junio de 2026):</w:t>
      </w:r>
      <w:r>
        <w:rPr>
          <w:rFonts w:ascii="Gilroy" w:hAnsi="Gilroy" w:cs="Gilroy"/>
          <w:color w:val="303030"/>
        </w:rPr>
        <w:t xml:space="preserve"> diagnóstico, fundamento jurídico, modelo pedagógico y diferencia respecto de los Módulos Interculturales Digitales.</w:t>
      </w:r>
    </w:p>
    <w:p w14:paraId="5C827348"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Seis cursos de construcción con residuos electrónicos, elaborados entre marzo y mayo de 2026:</w:t>
      </w:r>
      <w:r>
        <w:rPr>
          <w:rFonts w:ascii="Gilroy" w:hAnsi="Gilroy" w:cs="Gilroy"/>
          <w:color w:val="303030"/>
        </w:rPr>
        <w:t xml:space="preserve"> Ensamblaje H2O (bombas de agua), Dinámica Rotatoria (mini taladros), Espectro Audible (bocinas), Impulso Lumínico (lámparas USB), Ponte las Pilas (cargadores portátiles) y Forja Térmica (parrillas eléctricas). Cuentan con documentación en formato EC0217.01 (carta descriptiva, instrumentos de evaluación, listas de verificación, asistencia y cotejo, contrato de aprendizaje, guía de observación, encuesta de satisfacción, informe final y presentación); cinco con el paquete completo e </w:t>
      </w:r>
      <w:r>
        <w:rPr>
          <w:rFonts w:ascii="Gilroy" w:hAnsi="Gilroy" w:cs="Gilroy"/>
          <w:b/>
          <w:color w:val="303030"/>
        </w:rPr>
        <w:t>Impulso Lumínico</w:t>
      </w:r>
      <w:r>
        <w:rPr>
          <w:rFonts w:ascii="Gilroy" w:hAnsi="Gilroy" w:cs="Gilroy"/>
          <w:color w:val="303030"/>
        </w:rPr>
        <w:t xml:space="preserve"> solo con carta descriptiva y presentación.</w:t>
      </w:r>
    </w:p>
    <w:p w14:paraId="138D751D"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Hardware "Centinela":</w:t>
      </w:r>
      <w:r>
        <w:rPr>
          <w:rFonts w:ascii="Gilroy" w:hAnsi="Gilroy" w:cs="Gilroy"/>
          <w:color w:val="303030"/>
        </w:rPr>
        <w:t xml:space="preserve"> prototipo de automatización comunitaria (sensor PIR, Arduino y aplicación de control en Python), con Manual de instalación y Manual de uso. Se encuentra en </w:t>
      </w:r>
      <w:r>
        <w:rPr>
          <w:rFonts w:ascii="Gilroy" w:hAnsi="Gilroy" w:cs="Gilroy"/>
          <w:b/>
          <w:color w:val="303030"/>
        </w:rPr>
        <w:t>fase de pruebas</w:t>
      </w:r>
      <w:r>
        <w:rPr>
          <w:rFonts w:ascii="Gilroy" w:hAnsi="Gilroy" w:cs="Gilroy"/>
          <w:color w:val="303030"/>
        </w:rPr>
        <w:t>.</w:t>
      </w:r>
    </w:p>
    <w:p w14:paraId="34D298DA" w14:textId="77777777" w:rsidR="008D3577" w:rsidRDefault="00000000">
      <w:pPr>
        <w:keepNext/>
        <w:spacing w:before="100" w:after="80" w:line="276" w:lineRule="auto"/>
      </w:pPr>
      <w:r>
        <w:rPr>
          <w:rFonts w:ascii="Gilroy" w:hAnsi="Gilroy" w:cs="Gilroy"/>
          <w:b/>
          <w:i/>
          <w:color w:val="303030"/>
        </w:rPr>
        <w:t>Curso "Electrónica y Programación Básica" (estudiantes de secundaria)</w:t>
      </w:r>
    </w:p>
    <w:p w14:paraId="0E3EA955"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Manual didáctico de 10 capítulos (septiembre de 2026):</w:t>
      </w:r>
      <w:r>
        <w:rPr>
          <w:rFonts w:ascii="Gilroy" w:hAnsi="Gilroy" w:cs="Gilroy"/>
          <w:color w:val="303030"/>
        </w:rPr>
        <w:t xml:space="preserve"> fundamentos de electrónica y programación, entorno Arduino, sensores, integración de hardware y software, prácticas, proyectos de aplicación (alumbrado nocturno automático e indicador tricolor) y proyectos integradores (barrera automática con alerta sonora y ultrasonido; termostato ambiental con pantalla LCD). Incluye glosario, conclusiones y referencias.</w:t>
      </w:r>
    </w:p>
    <w:p w14:paraId="14F2D5F5"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Guía de armado de 8 proyectos con Arduino Uno (66 láminas, septiembre de 2026):</w:t>
      </w:r>
      <w:r>
        <w:rPr>
          <w:rFonts w:ascii="Gilroy" w:hAnsi="Gilroy" w:cs="Gilroy"/>
          <w:color w:val="303030"/>
        </w:rPr>
        <w:t xml:space="preserve"> LEDs, LED con pulsador, sensor ultrasónico con buzzer, servomotor SG90, semáforo, dado de 7 LED, ventilador DC con transistor y potenciómetro.</w:t>
      </w:r>
    </w:p>
    <w:p w14:paraId="4306D4B2"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Impartición programada:</w:t>
      </w:r>
      <w:r>
        <w:rPr>
          <w:rFonts w:ascii="Gilroy" w:hAnsi="Gilroy" w:cs="Gilroy"/>
          <w:color w:val="303030"/>
        </w:rPr>
        <w:t xml:space="preserve"> 25 y 26 de noviembre de 2026, en Eloxochitlán, Puebla. Se reporta como material preparado, no como curso impartido.</w:t>
      </w:r>
    </w:p>
    <w:p w14:paraId="781A8F72" w14:textId="77777777" w:rsidR="008D3577" w:rsidRDefault="00000000">
      <w:pPr>
        <w:keepNext/>
        <w:spacing w:before="200" w:after="100" w:line="276" w:lineRule="auto"/>
      </w:pPr>
      <w:r>
        <w:rPr>
          <w:rFonts w:ascii="Gilroy" w:hAnsi="Gilroy" w:cs="Gilroy"/>
          <w:b/>
          <w:color w:val="303030"/>
        </w:rPr>
        <w:t>Proyecto 2. Nodo de Innovación Tecnológica Comunitaria (NODO / NITC)</w:t>
      </w:r>
    </w:p>
    <w:p w14:paraId="2DFE0000"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y Dossier del NITC (julio y agosto de 2026):</w:t>
      </w:r>
      <w:r>
        <w:rPr>
          <w:rFonts w:ascii="Gilroy" w:hAnsi="Gilroy" w:cs="Gilroy"/>
          <w:color w:val="303030"/>
        </w:rPr>
        <w:t xml:space="preserve"> define ocho componentes que integran los proyectos del Instituto, su gobernanza multinivel, la seguridad de datos y una ruta de implementación de cuatro fases (15 meses).</w:t>
      </w:r>
    </w:p>
    <w:p w14:paraId="0452D5F2" w14:textId="77777777" w:rsidR="008D3577" w:rsidRDefault="00000000">
      <w:pPr>
        <w:spacing w:after="100" w:line="276" w:lineRule="auto"/>
        <w:ind w:left="567" w:hanging="283"/>
        <w:jc w:val="both"/>
      </w:pPr>
      <w:r>
        <w:rPr>
          <w:rFonts w:ascii="Gilroy" w:hAnsi="Gilroy" w:cs="Gilroy"/>
          <w:color w:val="303030"/>
        </w:rPr>
        <w:lastRenderedPageBreak/>
        <w:t>•</w:t>
      </w:r>
      <w:r>
        <w:rPr>
          <w:rFonts w:ascii="Gilroy" w:hAnsi="Gilroy" w:cs="Gilroy"/>
          <w:color w:val="303030"/>
        </w:rPr>
        <w:tab/>
      </w:r>
      <w:r>
        <w:rPr>
          <w:rFonts w:ascii="Gilroy" w:hAnsi="Gilroy" w:cs="Gilroy"/>
          <w:b/>
          <w:color w:val="303030"/>
        </w:rPr>
        <w:t>Instalación física en el edificio del IPPI, el 14 de septiembre de 2026</w:t>
      </w:r>
      <w:r>
        <w:rPr>
          <w:rFonts w:ascii="Gilroy" w:hAnsi="Gilroy" w:cs="Gilroy"/>
          <w:color w:val="303030"/>
        </w:rPr>
        <w:t xml:space="preserve"> (Blvd. Atlixco 2103, col. Belisario Domínguez, 72180, Heroica Puebla de Zaragoza, Pue.), en cuatro zonas:</w:t>
      </w:r>
    </w:p>
    <w:p w14:paraId="78E66580" w14:textId="77777777" w:rsidR="008D3577" w:rsidRPr="001A41BF" w:rsidRDefault="00000000">
      <w:pPr>
        <w:spacing w:after="100" w:line="276" w:lineRule="auto"/>
        <w:ind w:left="1021" w:hanging="283"/>
        <w:jc w:val="both"/>
        <w:rPr>
          <w:bCs/>
        </w:rPr>
      </w:pPr>
      <w:r w:rsidRPr="001A41BF">
        <w:rPr>
          <w:rFonts w:ascii="Gilroy" w:hAnsi="Gilroy" w:cs="Gilroy"/>
          <w:b/>
          <w:color w:val="303030"/>
        </w:rPr>
        <w:t>Zona 1</w:t>
      </w:r>
      <w:r w:rsidRPr="001A41BF">
        <w:rPr>
          <w:rFonts w:ascii="Gilroy" w:hAnsi="Gilroy" w:cs="Gilroy"/>
          <w:bCs/>
          <w:color w:val="303030"/>
        </w:rPr>
        <w:t>, estudio con pantalla verde: fondo croma, dos luces tipo softbox, cámara en tripié y equipo de cómputo con OBS Studio configurado con múltiples escenas.</w:t>
      </w:r>
    </w:p>
    <w:p w14:paraId="39D0CF5E" w14:textId="77777777" w:rsidR="008D3577" w:rsidRDefault="00000000">
      <w:pPr>
        <w:spacing w:after="100" w:line="276" w:lineRule="auto"/>
        <w:ind w:left="1021" w:hanging="283"/>
        <w:jc w:val="both"/>
      </w:pPr>
      <w:r>
        <w:rPr>
          <w:rFonts w:ascii="Gilroy" w:hAnsi="Gilroy" w:cs="Gilroy"/>
          <w:b/>
          <w:color w:val="303030"/>
        </w:rPr>
        <w:t>Zona 2</w:t>
      </w:r>
      <w:r w:rsidRPr="001A41BF">
        <w:rPr>
          <w:rFonts w:ascii="Gilroy" w:hAnsi="Gilroy" w:cs="Gilroy"/>
          <w:bCs/>
          <w:color w:val="303030"/>
        </w:rPr>
        <w:t>, set de entrevista: escritorio con micrófonos de condensador con brazo y filtro antipop, cámaras en tripié, panel de iluminación LED, mezcladora de audio y consola de conmutación de video, con fondo verde y escenas de conmutación en OBS Studio.</w:t>
      </w:r>
    </w:p>
    <w:p w14:paraId="1AB02A55" w14:textId="77777777" w:rsidR="008D3577" w:rsidRPr="001A41BF" w:rsidRDefault="00000000">
      <w:pPr>
        <w:spacing w:after="100" w:line="276" w:lineRule="auto"/>
        <w:ind w:left="1021" w:hanging="283"/>
        <w:jc w:val="both"/>
        <w:rPr>
          <w:bCs/>
        </w:rPr>
      </w:pPr>
      <w:r>
        <w:rPr>
          <w:rFonts w:ascii="Gilroy" w:hAnsi="Gilroy" w:cs="Gilroy"/>
          <w:b/>
          <w:color w:val="303030"/>
        </w:rPr>
        <w:t>Zona 3</w:t>
      </w:r>
      <w:r w:rsidRPr="001A41BF">
        <w:rPr>
          <w:rFonts w:ascii="Gilroy" w:hAnsi="Gilroy" w:cs="Gilroy"/>
          <w:bCs/>
          <w:color w:val="303030"/>
        </w:rPr>
        <w:t>, cabina de grabación y área de sonido: cabina acondicionada con espuma acústica, micrófono de condensador con filtro antipop, audífonos y atril; y área de sonido con bocina amplificada, receptores y micrófonos de mano inalámbricos, mezcladora, equipo de cómputo y pantalla de pared.</w:t>
      </w:r>
    </w:p>
    <w:p w14:paraId="7354C8E8" w14:textId="77777777" w:rsidR="008D3577" w:rsidRPr="001A41BF" w:rsidRDefault="00000000">
      <w:pPr>
        <w:spacing w:after="100" w:line="276" w:lineRule="auto"/>
        <w:ind w:left="1021" w:hanging="283"/>
        <w:jc w:val="both"/>
        <w:rPr>
          <w:bCs/>
        </w:rPr>
      </w:pPr>
      <w:r>
        <w:rPr>
          <w:rFonts w:ascii="Gilroy" w:hAnsi="Gilroy" w:cs="Gilroy"/>
          <w:b/>
          <w:color w:val="303030"/>
        </w:rPr>
        <w:t>Zona 4</w:t>
      </w:r>
      <w:r w:rsidRPr="001A41BF">
        <w:rPr>
          <w:rFonts w:ascii="Gilroy" w:hAnsi="Gilroy" w:cs="Gilroy"/>
          <w:bCs/>
          <w:color w:val="303030"/>
        </w:rPr>
        <w:t>, sala de capacitación y presentaciones: mesas y sillas para grupos, dos pantallas de pared en las que se despliega el portal de la Plataforma de Autonomía Digital (PADI), bocina en tripié y aro de luz.</w:t>
      </w:r>
    </w:p>
    <w:p w14:paraId="16AC57CE"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Pruebas de funcionamiento (inicios de octubre de 2026):</w:t>
      </w:r>
      <w:r>
        <w:rPr>
          <w:rFonts w:ascii="Gilroy" w:hAnsi="Gilroy" w:cs="Gilroy"/>
          <w:color w:val="303030"/>
        </w:rPr>
        <w:t xml:space="preserve"> se verificó el funcionamiento de los equipos, incluidos el recorte de fondo (croma) con fondos virtuales, la conmutación entre escenas y cámaras, y la captura de audio.</w:t>
      </w:r>
    </w:p>
    <w:p w14:paraId="6CB1467C"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Estatus:</w:t>
      </w:r>
      <w:r>
        <w:rPr>
          <w:rFonts w:ascii="Gilroy" w:hAnsi="Gilroy" w:cs="Gilroy"/>
          <w:color w:val="303030"/>
        </w:rPr>
        <w:t xml:space="preserve"> el NODO está instalado y probado; aún no recibe visitas ni opera con población beneficiaria. Los demás componentes del NITC permanecen en el documento maestro.</w:t>
      </w:r>
    </w:p>
    <w:p w14:paraId="67E9FC47" w14:textId="77777777" w:rsidR="008D3577" w:rsidRDefault="00000000">
      <w:pPr>
        <w:keepNext/>
        <w:spacing w:before="200" w:after="100" w:line="276" w:lineRule="auto"/>
      </w:pPr>
      <w:r>
        <w:rPr>
          <w:rFonts w:ascii="Gilroy" w:hAnsi="Gilroy" w:cs="Gilroy"/>
          <w:b/>
          <w:color w:val="303030"/>
        </w:rPr>
        <w:t>Estatus Global de la Meta (acumulado: 6 de 8 proyectos)</w:t>
      </w:r>
    </w:p>
    <w:p w14:paraId="16802C1A"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Proyectos del trimestre:</w:t>
      </w:r>
      <w:r>
        <w:rPr>
          <w:rFonts w:ascii="Gilroy" w:hAnsi="Gilroy" w:cs="Gilroy"/>
          <w:color w:val="303030"/>
        </w:rPr>
        <w:t xml:space="preserve"> se reportan los 2 proyectos programados: TEKITL, con materiales formativos preparados, y el NODO, con su primera etapa física instalada y probada. Se declara el cumplimiento al </w:t>
      </w:r>
      <w:r>
        <w:rPr>
          <w:rFonts w:ascii="Gilroy" w:hAnsi="Gilroy" w:cs="Gilroy"/>
          <w:b/>
          <w:color w:val="303030"/>
        </w:rPr>
        <w:t>100%</w:t>
      </w:r>
      <w:r>
        <w:rPr>
          <w:rFonts w:ascii="Gilroy" w:hAnsi="Gilroy" w:cs="Gilroy"/>
          <w:color w:val="303030"/>
        </w:rPr>
        <w:t xml:space="preserve"> de la meta trimestral y un acumulado de 6 de 8 proyectos. No se reportan cursos impartidos ni visitas al NODO.</w:t>
      </w:r>
    </w:p>
    <w:p w14:paraId="4E28A208" w14:textId="77777777" w:rsidR="00F26FD7" w:rsidRDefault="00AA13E0">
      <w:pPr>
        <w:keepNext/>
        <w:spacing w:after="200" w:line="276" w:lineRule="auto"/>
      </w:pPr>
      <w:r>
        <w:rPr>
          <w:rFonts w:ascii="Gilroy" w:hAnsi="Gilroy" w:cs="Gilroy"/>
          <w:b/>
          <w:color w:val="303030"/>
          <w:sz w:val="24"/>
        </w:rPr>
        <w:lastRenderedPageBreak/>
        <w:br/>
        <w:t>III. ACCIONES REALIZADAS</w:t>
      </w:r>
    </w:p>
    <w:p w14:paraId="07DCFCC7" w14:textId="77777777" w:rsidR="00434BA1" w:rsidRDefault="00000000">
      <w:pPr>
        <w:keepNext/>
        <w:keepLines/>
        <w:spacing w:line="276" w:lineRule="auto"/>
        <w:jc w:val="both"/>
      </w:pPr>
      <w:r>
        <w:rPr>
          <w:rFonts w:ascii="Gilroy" w:hAnsi="Gilroy" w:cs="Gilroy"/>
          <w:color w:val="303030"/>
        </w:rPr>
        <w:t>Para el cumplimiento del 100% de la meta trimestral, correspondiente a los dos proyectos programados, se ejecutaron las siguientes líneas de acción técnica y administrativa:</w:t>
      </w:r>
    </w:p>
    <w:p w14:paraId="43DA1909" w14:textId="77777777" w:rsidR="00434BA1" w:rsidRDefault="00000000">
      <w:pPr>
        <w:keepLines/>
        <w:spacing w:after="100" w:line="276" w:lineRule="auto"/>
        <w:ind w:left="567" w:hanging="340"/>
        <w:jc w:val="both"/>
      </w:pPr>
      <w:r>
        <w:rPr>
          <w:rFonts w:ascii="Gilroy" w:hAnsi="Gilroy" w:cs="Gilroy"/>
          <w:color w:val="303030"/>
        </w:rPr>
        <w:t>1.</w:t>
      </w:r>
      <w:r>
        <w:rPr>
          <w:rFonts w:ascii="Gilroy" w:hAnsi="Gilroy" w:cs="Gilroy"/>
          <w:color w:val="303030"/>
        </w:rPr>
        <w:tab/>
      </w:r>
      <w:r>
        <w:rPr>
          <w:rFonts w:ascii="Gilroy" w:hAnsi="Gilroy" w:cs="Gilroy"/>
          <w:b/>
          <w:color w:val="303030"/>
        </w:rPr>
        <w:t>Consolidación del programa Tekitl-Lab (marzo a junio de 2026):</w:t>
      </w:r>
      <w:r>
        <w:rPr>
          <w:rFonts w:ascii="Gilroy" w:hAnsi="Gilroy" w:cs="Gilroy"/>
          <w:color w:val="303030"/>
        </w:rPr>
        <w:t xml:space="preserve"> diseño instruccional de seis cursos de construcción con residuos electrónicos (cartas descriptivas, instrumentos de evaluación y contratos de aprendizaje en formato EC0217.01), selección de componentes recuperados y de bajo costo, e integración del Documento Maestro Ejecutivo del programa (junio). El prototipo "Centinela" (sensor PIR, relevador y control de audio y video por comunicación serial con Arduino) se encuentra en fase de pruebas.</w:t>
      </w:r>
    </w:p>
    <w:p w14:paraId="20FF57B2" w14:textId="77777777" w:rsidR="00434BA1" w:rsidRDefault="00000000">
      <w:pPr>
        <w:keepLines/>
        <w:spacing w:after="100" w:line="276" w:lineRule="auto"/>
        <w:ind w:left="567" w:hanging="340"/>
        <w:jc w:val="both"/>
      </w:pPr>
      <w:r>
        <w:rPr>
          <w:rFonts w:ascii="Gilroy" w:hAnsi="Gilroy" w:cs="Gilroy"/>
          <w:color w:val="303030"/>
        </w:rPr>
        <w:t>2.</w:t>
      </w:r>
      <w:r>
        <w:rPr>
          <w:rFonts w:ascii="Gilroy" w:hAnsi="Gilroy" w:cs="Gilroy"/>
          <w:color w:val="303030"/>
        </w:rPr>
        <w:tab/>
      </w:r>
      <w:r>
        <w:rPr>
          <w:rFonts w:ascii="Gilroy" w:hAnsi="Gilroy" w:cs="Gilroy"/>
          <w:b/>
          <w:color w:val="303030"/>
        </w:rPr>
        <w:t>Gestión de la adquisición de los equipos del NODO (mayo de 2026):</w:t>
      </w:r>
      <w:r>
        <w:rPr>
          <w:rFonts w:ascii="Gilroy" w:hAnsi="Gilroy" w:cs="Gilroy"/>
          <w:color w:val="303030"/>
        </w:rPr>
        <w:t xml:space="preserve"> solicitudes de suficiencia presupuestal para la adquisición de los equipos que integran el NODO, presentadas el 11 de mayo de 2026 con folios IPPI/SDTI/003/2026 e IPPI/SDTI/004/2026, como paso previo a la requisición de compra ante Recursos Materiales.</w:t>
      </w:r>
    </w:p>
    <w:p w14:paraId="7ED410F1" w14:textId="77777777" w:rsidR="00434BA1" w:rsidRDefault="00000000">
      <w:pPr>
        <w:keepLines/>
        <w:spacing w:after="100" w:line="276" w:lineRule="auto"/>
        <w:ind w:left="567" w:hanging="340"/>
        <w:jc w:val="both"/>
      </w:pPr>
      <w:r>
        <w:rPr>
          <w:rFonts w:ascii="Gilroy" w:hAnsi="Gilroy" w:cs="Gilroy"/>
          <w:color w:val="303030"/>
        </w:rPr>
        <w:t>3.</w:t>
      </w:r>
      <w:r>
        <w:rPr>
          <w:rFonts w:ascii="Gilroy" w:hAnsi="Gilroy" w:cs="Gilroy"/>
          <w:color w:val="303030"/>
        </w:rPr>
        <w:tab/>
      </w:r>
      <w:r>
        <w:rPr>
          <w:rFonts w:ascii="Gilroy" w:hAnsi="Gilroy" w:cs="Gilroy"/>
          <w:b/>
          <w:color w:val="303030"/>
        </w:rPr>
        <w:t>Elaboración del curso "Electrónica y Programación Básica" (julio a septiembre de 2026):</w:t>
      </w:r>
      <w:r>
        <w:rPr>
          <w:rFonts w:ascii="Gilroy" w:hAnsi="Gilroy" w:cs="Gilroy"/>
          <w:color w:val="303030"/>
        </w:rPr>
        <w:t xml:space="preserve"> el trabajo inició en julio y agosto. El 11 de septiembre se integró el manual didáctico de 10 capítulos y, del 11 al 22 de septiembre, la guía de armado de 8 proyectos con Arduino Uno, dirigidos a estudiantes de secundaria.</w:t>
      </w:r>
    </w:p>
    <w:p w14:paraId="289AE01E" w14:textId="77777777" w:rsidR="00434BA1" w:rsidRDefault="00000000">
      <w:pPr>
        <w:keepLines/>
        <w:spacing w:after="100" w:line="276" w:lineRule="auto"/>
        <w:ind w:left="567" w:hanging="340"/>
        <w:jc w:val="both"/>
      </w:pPr>
      <w:r>
        <w:rPr>
          <w:rFonts w:ascii="Gilroy" w:hAnsi="Gilroy" w:cs="Gilroy"/>
          <w:color w:val="303030"/>
        </w:rPr>
        <w:t>4.</w:t>
      </w:r>
      <w:r>
        <w:rPr>
          <w:rFonts w:ascii="Gilroy" w:hAnsi="Gilroy" w:cs="Gilroy"/>
          <w:color w:val="303030"/>
        </w:rPr>
        <w:tab/>
      </w:r>
      <w:r>
        <w:rPr>
          <w:rFonts w:ascii="Gilroy" w:hAnsi="Gilroy" w:cs="Gilroy"/>
          <w:b/>
          <w:color w:val="303030"/>
        </w:rPr>
        <w:t>Definición de la sede de la primera impartición (julio y agosto de 2026):</w:t>
      </w:r>
      <w:r>
        <w:rPr>
          <w:rFonts w:ascii="Gilroy" w:hAnsi="Gilroy" w:cs="Gilroy"/>
          <w:color w:val="303030"/>
        </w:rPr>
        <w:t xml:space="preserve"> se definió el municipio de Eloxochitlán, Puebla, como sede del curso, con impartición programada el 25 y 26 de noviembre de 2026.</w:t>
      </w:r>
    </w:p>
    <w:p w14:paraId="5894AE65" w14:textId="77777777" w:rsidR="00434BA1" w:rsidRDefault="00000000">
      <w:pPr>
        <w:keepLines/>
        <w:spacing w:after="100" w:line="276" w:lineRule="auto"/>
        <w:ind w:left="567" w:hanging="340"/>
        <w:jc w:val="both"/>
      </w:pPr>
      <w:r>
        <w:rPr>
          <w:rFonts w:ascii="Gilroy" w:hAnsi="Gilroy" w:cs="Gilroy"/>
          <w:color w:val="303030"/>
        </w:rPr>
        <w:t>5.</w:t>
      </w:r>
      <w:r>
        <w:rPr>
          <w:rFonts w:ascii="Gilroy" w:hAnsi="Gilroy" w:cs="Gilroy"/>
          <w:color w:val="303030"/>
        </w:rPr>
        <w:tab/>
      </w:r>
      <w:r>
        <w:rPr>
          <w:rFonts w:ascii="Gilroy" w:hAnsi="Gilroy" w:cs="Gilroy"/>
          <w:b/>
          <w:color w:val="303030"/>
        </w:rPr>
        <w:t>Integración del Documento Maestro y Dossier del NITC (julio y agosto de 2026):</w:t>
      </w:r>
      <w:r>
        <w:rPr>
          <w:rFonts w:ascii="Gilroy" w:hAnsi="Gilroy" w:cs="Gilroy"/>
          <w:color w:val="303030"/>
        </w:rPr>
        <w:t xml:space="preserve"> articulación de los ocho proyectos institucionales en un espacio físico de co-gestión comunitaria, con su gobernanza multinivel, la seguridad de datos y una ruta de implementación de cuatro fases. La primera versión es del 24 de julio y las versiones del Documento Maestro y del Dossier, del 12 al 19 de agosto.</w:t>
      </w:r>
    </w:p>
    <w:p w14:paraId="5AF34E2D" w14:textId="77777777" w:rsidR="00434BA1" w:rsidRDefault="00000000">
      <w:pPr>
        <w:keepLines/>
        <w:spacing w:after="100" w:line="276" w:lineRule="auto"/>
        <w:ind w:left="567" w:hanging="340"/>
        <w:jc w:val="both"/>
      </w:pPr>
      <w:r>
        <w:rPr>
          <w:rFonts w:ascii="Gilroy" w:hAnsi="Gilroy" w:cs="Gilroy"/>
          <w:color w:val="303030"/>
        </w:rPr>
        <w:t>6.</w:t>
      </w:r>
      <w:r>
        <w:rPr>
          <w:rFonts w:ascii="Gilroy" w:hAnsi="Gilroy" w:cs="Gilroy"/>
          <w:color w:val="303030"/>
        </w:rPr>
        <w:tab/>
      </w:r>
      <w:r>
        <w:rPr>
          <w:rFonts w:ascii="Gilroy" w:hAnsi="Gilroy" w:cs="Gilroy"/>
          <w:b/>
          <w:color w:val="303030"/>
        </w:rPr>
        <w:t>Instalación del NODO en el edificio del IPPI (14 de septiembre de 2026):</w:t>
      </w:r>
      <w:r>
        <w:rPr>
          <w:rFonts w:ascii="Gilroy" w:hAnsi="Gilroy" w:cs="Gilroy"/>
          <w:color w:val="303030"/>
        </w:rPr>
        <w:t xml:space="preserve"> montaje del estudio con pantalla verde, el set de entrevista, la cabina de grabación con área de sonido y la sala de capacitación y presentaciones.</w:t>
      </w:r>
    </w:p>
    <w:p w14:paraId="430B0D5B" w14:textId="77777777" w:rsidR="00434BA1" w:rsidRDefault="00000000">
      <w:pPr>
        <w:keepLines/>
        <w:spacing w:after="100" w:line="276" w:lineRule="auto"/>
        <w:ind w:left="567" w:hanging="340"/>
        <w:jc w:val="both"/>
      </w:pPr>
      <w:r>
        <w:rPr>
          <w:rFonts w:ascii="Gilroy" w:hAnsi="Gilroy" w:cs="Gilroy"/>
          <w:color w:val="303030"/>
        </w:rPr>
        <w:t>7.</w:t>
      </w:r>
      <w:r>
        <w:rPr>
          <w:rFonts w:ascii="Gilroy" w:hAnsi="Gilroy" w:cs="Gilroy"/>
          <w:color w:val="303030"/>
        </w:rPr>
        <w:tab/>
      </w:r>
      <w:r>
        <w:rPr>
          <w:rFonts w:ascii="Gilroy" w:hAnsi="Gilroy" w:cs="Gilroy"/>
          <w:b/>
          <w:color w:val="303030"/>
        </w:rPr>
        <w:t>Configuración y pruebas de los equipos (inicios de octubre de 2026):</w:t>
      </w:r>
      <w:r>
        <w:rPr>
          <w:rFonts w:ascii="Gilroy" w:hAnsi="Gilroy" w:cs="Gilroy"/>
          <w:color w:val="303030"/>
        </w:rPr>
        <w:t xml:space="preserve"> configuración de OBS Studio con escenas por zona y verificación del funcionamiento de cámaras, iluminación, audio, recorte de fondo (croma) y despliegue del portal PADI en las pantallas de la sala de capacitación.</w:t>
      </w:r>
    </w:p>
    <w:p w14:paraId="1A0C4350" w14:textId="77777777" w:rsidR="00F26FD7" w:rsidRDefault="00AA13E0">
      <w:pPr>
        <w:keepNext/>
        <w:pageBreakBefore/>
        <w:spacing w:after="200" w:line="276" w:lineRule="auto"/>
      </w:pPr>
      <w:r>
        <w:rPr>
          <w:rFonts w:ascii="Gilroy" w:hAnsi="Gilroy" w:cs="Gilroy"/>
          <w:b/>
          <w:color w:val="303030"/>
          <w:sz w:val="24"/>
        </w:rPr>
        <w:lastRenderedPageBreak/>
        <w:br/>
        <w:t>IV. CONCLUSIONES Y RELACIÓN DE EVIDENCIA DOCUMENTAL</w:t>
      </w:r>
    </w:p>
    <w:p w14:paraId="637F1313" w14:textId="77777777" w:rsidR="00434BA1" w:rsidRDefault="00000000">
      <w:pPr>
        <w:spacing w:after="120" w:line="276" w:lineRule="auto"/>
        <w:jc w:val="both"/>
      </w:pPr>
      <w:r>
        <w:rPr>
          <w:rFonts w:ascii="Gilroy" w:hAnsi="Gilroy" w:cs="Gilroy"/>
          <w:color w:val="303030"/>
        </w:rPr>
        <w:t>Tras la preparación de los materiales formativos y la instalación de la primera etapa del NODO, se derivan las siguientes conclusiones:</w:t>
      </w:r>
    </w:p>
    <w:p w14:paraId="1D0BB6E4"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Del diseño a la implementación:</w:t>
      </w:r>
      <w:r>
        <w:rPr>
          <w:rFonts w:ascii="Gilroy" w:hAnsi="Gilroy" w:cs="Gilroy"/>
          <w:color w:val="303030"/>
        </w:rPr>
        <w:t xml:space="preserve"> el Instituto cuenta con una primera infraestructura física instalada (NODO) y con materiales formativos preparados (TEKITL), lo que traslada los proyectos de la fase documental a la fase operativa.</w:t>
      </w:r>
    </w:p>
    <w:p w14:paraId="65740D63"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Autonomía técnica y cultural:</w:t>
      </w:r>
      <w:r>
        <w:rPr>
          <w:rFonts w:ascii="Gilroy" w:hAnsi="Gilroy" w:cs="Gilroy"/>
          <w:color w:val="303030"/>
        </w:rPr>
        <w:t xml:space="preserve"> los cursos de Tekitl-Lab permitirán transformar la chatarra electrónica en equipamiento útil para las comunidades, y las zonas de producción del NODO permitirán documentar su patrimonio y producir contenidos en lenguas originarias.</w:t>
      </w:r>
    </w:p>
    <w:p w14:paraId="30327086"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Capacidad instalada para operar:</w:t>
      </w:r>
      <w:r>
        <w:rPr>
          <w:rFonts w:ascii="Gilroy" w:hAnsi="Gilroy" w:cs="Gilroy"/>
          <w:color w:val="303030"/>
        </w:rPr>
        <w:t xml:space="preserve"> los materiales y los equipos están disponibles; la primera impartición del curso "Electrónica y Programación Básica" está programada para el 25 y 26 de noviembre de 2026 en Eloxochitlán, Puebla, y el NODO queda en condiciones de iniciar visitas bajo la supervisión y con la participación del personal del Instituto.</w:t>
      </w:r>
    </w:p>
    <w:p w14:paraId="1A138B31"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Siguientes etapas:</w:t>
      </w:r>
      <w:r>
        <w:rPr>
          <w:rFonts w:ascii="Gilroy" w:hAnsi="Gilroy" w:cs="Gilroy"/>
          <w:color w:val="303030"/>
        </w:rPr>
        <w:t xml:space="preserve"> instalación progresiva de los demás componentes del Nodo de Innovación Tecnológica Comunitaria, conforme a la ruta de implementación de su documento maestro.</w:t>
      </w:r>
    </w:p>
    <w:p w14:paraId="7ACF875A" w14:textId="77777777" w:rsidR="00434BA1" w:rsidRDefault="00000000">
      <w:pPr>
        <w:keepNext/>
        <w:spacing w:before="200" w:after="100" w:line="276" w:lineRule="auto"/>
      </w:pPr>
      <w:r>
        <w:rPr>
          <w:rFonts w:ascii="Gilroy" w:hAnsi="Gilroy" w:cs="Gilroy"/>
          <w:b/>
          <w:color w:val="303030"/>
        </w:rPr>
        <w:t>RELACIÓN DE EVIDENCIA DOCUMENTAL</w:t>
      </w:r>
    </w:p>
    <w:p w14:paraId="06887C83" w14:textId="77777777" w:rsidR="00434BA1" w:rsidRDefault="00000000">
      <w:pPr>
        <w:spacing w:after="120" w:line="276" w:lineRule="auto"/>
        <w:jc w:val="both"/>
      </w:pPr>
      <w:r>
        <w:rPr>
          <w:rFonts w:ascii="Gilroy" w:hAnsi="Gilroy" w:cs="Gilroy"/>
          <w:color w:val="303030"/>
        </w:rPr>
        <w:t>Para sustentar el cumplimiento del 100% de la meta trimestral, se presenta el siguiente expediente de evidencia:</w:t>
      </w:r>
    </w:p>
    <w:p w14:paraId="3D1D67F6" w14:textId="77777777" w:rsidR="00434BA1" w:rsidRDefault="00000000">
      <w:pPr>
        <w:keepNext/>
        <w:spacing w:before="200" w:after="100" w:line="276" w:lineRule="auto"/>
      </w:pPr>
      <w:r>
        <w:rPr>
          <w:rFonts w:ascii="Gilroy" w:hAnsi="Gilroy" w:cs="Gilroy"/>
          <w:b/>
          <w:color w:val="303030"/>
        </w:rPr>
        <w:t>1. PROYECTO: TEKITL</w:t>
      </w:r>
    </w:p>
    <w:p w14:paraId="2C2A0EF4"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A:</w:t>
      </w:r>
      <w:r>
        <w:rPr>
          <w:rFonts w:ascii="Gilroy" w:hAnsi="Gilroy" w:cs="Gilroy"/>
          <w:color w:val="303030"/>
        </w:rPr>
        <w:t xml:space="preserve"> </w:t>
      </w:r>
      <w:r>
        <w:rPr>
          <w:rFonts w:ascii="Gilroy" w:hAnsi="Gilroy" w:cs="Gilroy"/>
          <w:i/>
          <w:color w:val="303030"/>
        </w:rPr>
        <w:t>Documento Maestro Ejecutivo "Laboratorios Tekitl"</w:t>
      </w:r>
      <w:r>
        <w:rPr>
          <w:rFonts w:ascii="Gilroy" w:hAnsi="Gilroy" w:cs="Gilroy"/>
          <w:color w:val="303030"/>
        </w:rPr>
        <w:t xml:space="preserve"> (junio de 2026): diagnóstico, fundamento jurídico, modelo pedagógico y diferencia respecto de los Módulos Interculturales Digitales.</w:t>
      </w:r>
    </w:p>
    <w:p w14:paraId="648C5E29"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B:</w:t>
      </w:r>
      <w:r>
        <w:rPr>
          <w:rFonts w:ascii="Gilroy" w:hAnsi="Gilroy" w:cs="Gilroy"/>
          <w:color w:val="303030"/>
        </w:rPr>
        <w:t xml:space="preserve"> </w:t>
      </w:r>
      <w:r>
        <w:rPr>
          <w:rFonts w:ascii="Gilroy" w:hAnsi="Gilroy" w:cs="Gilroy"/>
          <w:i/>
          <w:color w:val="303030"/>
        </w:rPr>
        <w:t>Paquetes documentales EC0217.01 de los seis cursos Tekitl-Lab</w:t>
      </w:r>
      <w:r>
        <w:rPr>
          <w:rFonts w:ascii="Gilroy" w:hAnsi="Gilroy" w:cs="Gilroy"/>
          <w:color w:val="303030"/>
        </w:rPr>
        <w:t xml:space="preserve"> (Ensamblaje H2O, Dinámica Rotatoria, Espectro Audible, Impulso Lumínico, Ponte las Pilas y Forja Térmica), elaborados de marzo a mayo de 2026. Impulso Lumínico incluye carta descriptiva y presentación.</w:t>
      </w:r>
    </w:p>
    <w:p w14:paraId="78053B95"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C:</w:t>
      </w:r>
      <w:r>
        <w:rPr>
          <w:rFonts w:ascii="Gilroy" w:hAnsi="Gilroy" w:cs="Gilroy"/>
          <w:color w:val="303030"/>
        </w:rPr>
        <w:t xml:space="preserve"> </w:t>
      </w:r>
      <w:r>
        <w:rPr>
          <w:rFonts w:ascii="Gilroy" w:hAnsi="Gilroy" w:cs="Gilroy"/>
          <w:i/>
          <w:color w:val="303030"/>
        </w:rPr>
        <w:t>Código y hardware "Centinela"</w:t>
      </w:r>
      <w:r>
        <w:rPr>
          <w:rFonts w:ascii="Gilroy" w:hAnsi="Gilroy" w:cs="Gilroy"/>
          <w:color w:val="303030"/>
        </w:rPr>
        <w:t>: programa de Arduino para el sensor PIR, aplicación de control en Python, Manual de instalación y Manual de uso. Fase de pruebas.</w:t>
      </w:r>
    </w:p>
    <w:p w14:paraId="7BCBCA85"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D:</w:t>
      </w:r>
      <w:r>
        <w:rPr>
          <w:rFonts w:ascii="Gilroy" w:hAnsi="Gilroy" w:cs="Gilroy"/>
          <w:color w:val="303030"/>
        </w:rPr>
        <w:t xml:space="preserve"> </w:t>
      </w:r>
      <w:r>
        <w:rPr>
          <w:rFonts w:ascii="Gilroy" w:hAnsi="Gilroy" w:cs="Gilroy"/>
          <w:i/>
          <w:color w:val="303030"/>
        </w:rPr>
        <w:t>Manual "Electrónica y Programación Básica"</w:t>
      </w:r>
      <w:r>
        <w:rPr>
          <w:rFonts w:ascii="Gilroy" w:hAnsi="Gilroy" w:cs="Gilroy"/>
          <w:color w:val="303030"/>
        </w:rPr>
        <w:t xml:space="preserve"> (10 capítulos, septiembre de 2026).</w:t>
      </w:r>
    </w:p>
    <w:p w14:paraId="54255936"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E:</w:t>
      </w:r>
      <w:r>
        <w:rPr>
          <w:rFonts w:ascii="Gilroy" w:hAnsi="Gilroy" w:cs="Gilroy"/>
          <w:color w:val="303030"/>
        </w:rPr>
        <w:t xml:space="preserve"> </w:t>
      </w:r>
      <w:r>
        <w:rPr>
          <w:rFonts w:ascii="Gilroy" w:hAnsi="Gilroy" w:cs="Gilroy"/>
          <w:i/>
          <w:color w:val="303030"/>
        </w:rPr>
        <w:t>Guía de armado "Proyectos Electrónica Básica"</w:t>
      </w:r>
      <w:r>
        <w:rPr>
          <w:rFonts w:ascii="Gilroy" w:hAnsi="Gilroy" w:cs="Gilroy"/>
          <w:color w:val="303030"/>
        </w:rPr>
        <w:t xml:space="preserve"> (8 proyectos con Arduino Uno, 66 láminas; del 11 al 22 de septiembre de 2026).</w:t>
      </w:r>
    </w:p>
    <w:p w14:paraId="37DC4110" w14:textId="77777777" w:rsidR="00434BA1" w:rsidRDefault="00000000">
      <w:pPr>
        <w:keepNext/>
        <w:spacing w:before="200" w:after="100" w:line="276" w:lineRule="auto"/>
      </w:pPr>
      <w:r>
        <w:rPr>
          <w:rFonts w:ascii="Gilroy" w:hAnsi="Gilroy" w:cs="Gilroy"/>
          <w:b/>
          <w:color w:val="303030"/>
        </w:rPr>
        <w:lastRenderedPageBreak/>
        <w:t>2. PROYECTO: NODO DE INNOVACIÓN TECNOLÓGICA COMUNITARIA (NITC)</w:t>
      </w:r>
    </w:p>
    <w:p w14:paraId="17B8D17D"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F:</w:t>
      </w:r>
      <w:r>
        <w:rPr>
          <w:rFonts w:ascii="Gilroy" w:hAnsi="Gilroy" w:cs="Gilroy"/>
          <w:color w:val="303030"/>
        </w:rPr>
        <w:t xml:space="preserve"> </w:t>
      </w:r>
      <w:r>
        <w:rPr>
          <w:rFonts w:ascii="Gilroy" w:hAnsi="Gilroy" w:cs="Gilroy"/>
          <w:i/>
          <w:color w:val="303030"/>
        </w:rPr>
        <w:t>Documento Maestro Ejecutivo del NITC, Dossier y Tríptico informativo</w:t>
      </w:r>
      <w:r>
        <w:rPr>
          <w:rFonts w:ascii="Gilroy" w:hAnsi="Gilroy" w:cs="Gilroy"/>
          <w:color w:val="303030"/>
        </w:rPr>
        <w:t xml:space="preserve"> (julio y agosto de 2026): ocho componentes, gobernanza multinivel, seguridad de datos y ruta de implementación de cuatro fases.</w:t>
      </w:r>
    </w:p>
    <w:p w14:paraId="2849779C"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G:</w:t>
      </w:r>
      <w:r>
        <w:rPr>
          <w:rFonts w:ascii="Gilroy" w:hAnsi="Gilroy" w:cs="Gilroy"/>
          <w:color w:val="303030"/>
        </w:rPr>
        <w:t xml:space="preserve"> </w:t>
      </w:r>
      <w:r>
        <w:rPr>
          <w:rFonts w:ascii="Gilroy" w:hAnsi="Gilroy" w:cs="Gilroy"/>
          <w:i/>
          <w:color w:val="303030"/>
        </w:rPr>
        <w:t>Solicitudes de suficiencia presupuestal para la adquisición de los equipos del NODO</w:t>
      </w:r>
      <w:r>
        <w:rPr>
          <w:rFonts w:ascii="Gilroy" w:hAnsi="Gilroy" w:cs="Gilroy"/>
          <w:color w:val="303030"/>
        </w:rPr>
        <w:t xml:space="preserve"> (11 de mayo de 2026), folios IPPI/SDTI/003/2026 e IPPI/SDTI/004/2026.</w:t>
      </w:r>
    </w:p>
    <w:p w14:paraId="257E754A"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H:</w:t>
      </w:r>
      <w:r>
        <w:rPr>
          <w:rFonts w:ascii="Gilroy" w:hAnsi="Gilroy" w:cs="Gilroy"/>
          <w:color w:val="303030"/>
        </w:rPr>
        <w:t xml:space="preserve"> </w:t>
      </w:r>
      <w:r>
        <w:rPr>
          <w:rFonts w:ascii="Gilroy" w:hAnsi="Gilroy" w:cs="Gilroy"/>
          <w:i/>
          <w:color w:val="303030"/>
        </w:rPr>
        <w:t>Fotografías de la Zona 1, estudio con pantalla verde</w:t>
      </w:r>
      <w:r>
        <w:rPr>
          <w:rFonts w:ascii="Gilroy" w:hAnsi="Gilroy" w:cs="Gilroy"/>
          <w:color w:val="303030"/>
        </w:rPr>
        <w:t>.</w:t>
      </w:r>
    </w:p>
    <w:p w14:paraId="7F6654A5"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I:</w:t>
      </w:r>
      <w:r>
        <w:rPr>
          <w:rFonts w:ascii="Gilroy" w:hAnsi="Gilroy" w:cs="Gilroy"/>
          <w:color w:val="303030"/>
        </w:rPr>
        <w:t xml:space="preserve"> </w:t>
      </w:r>
      <w:r>
        <w:rPr>
          <w:rFonts w:ascii="Gilroy" w:hAnsi="Gilroy" w:cs="Gilroy"/>
          <w:i/>
          <w:color w:val="303030"/>
        </w:rPr>
        <w:t>Fotografías de la Zona 2, set de entrevista</w:t>
      </w:r>
      <w:r>
        <w:rPr>
          <w:rFonts w:ascii="Gilroy" w:hAnsi="Gilroy" w:cs="Gilroy"/>
          <w:color w:val="303030"/>
        </w:rPr>
        <w:t>.</w:t>
      </w:r>
    </w:p>
    <w:p w14:paraId="13CA4A0F"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J:</w:t>
      </w:r>
      <w:r>
        <w:rPr>
          <w:rFonts w:ascii="Gilroy" w:hAnsi="Gilroy" w:cs="Gilroy"/>
          <w:color w:val="303030"/>
        </w:rPr>
        <w:t xml:space="preserve"> </w:t>
      </w:r>
      <w:r>
        <w:rPr>
          <w:rFonts w:ascii="Gilroy" w:hAnsi="Gilroy" w:cs="Gilroy"/>
          <w:i/>
          <w:color w:val="303030"/>
        </w:rPr>
        <w:t>Fotografías de la Zona 3, cabina de grabación y área de sonido</w:t>
      </w:r>
      <w:r>
        <w:rPr>
          <w:rFonts w:ascii="Gilroy" w:hAnsi="Gilroy" w:cs="Gilroy"/>
          <w:color w:val="303030"/>
        </w:rPr>
        <w:t xml:space="preserve"> (2 de octubre de 2026).</w:t>
      </w:r>
    </w:p>
    <w:p w14:paraId="5287EEB3"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K:</w:t>
      </w:r>
      <w:r>
        <w:rPr>
          <w:rFonts w:ascii="Gilroy" w:hAnsi="Gilroy" w:cs="Gilroy"/>
          <w:color w:val="303030"/>
        </w:rPr>
        <w:t xml:space="preserve"> </w:t>
      </w:r>
      <w:r>
        <w:rPr>
          <w:rFonts w:ascii="Gilroy" w:hAnsi="Gilroy" w:cs="Gilroy"/>
          <w:i/>
          <w:color w:val="303030"/>
        </w:rPr>
        <w:t>Fotografías de la Zona 4, sala de capacitación y presentaciones</w:t>
      </w:r>
      <w:r>
        <w:rPr>
          <w:rFonts w:ascii="Gilroy" w:hAnsi="Gilroy" w:cs="Gilroy"/>
          <w:color w:val="303030"/>
        </w:rPr>
        <w:t xml:space="preserve"> (4 de octubre de 2026).</w:t>
      </w:r>
    </w:p>
    <w:p w14:paraId="43DD2D48" w14:textId="77777777" w:rsidR="00434BA1" w:rsidRDefault="00000000">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L:</w:t>
      </w:r>
      <w:r>
        <w:rPr>
          <w:rFonts w:ascii="Gilroy" w:hAnsi="Gilroy" w:cs="Gilroy"/>
          <w:color w:val="303030"/>
        </w:rPr>
        <w:t xml:space="preserve"> </w:t>
      </w:r>
      <w:r>
        <w:rPr>
          <w:rFonts w:ascii="Gilroy" w:hAnsi="Gilroy" w:cs="Gilroy"/>
          <w:i/>
          <w:color w:val="303030"/>
        </w:rPr>
        <w:t>Capturas de pantalla de OBS Studio de las pruebas de funcionamiento</w:t>
      </w:r>
      <w:r>
        <w:rPr>
          <w:rFonts w:ascii="Gilroy" w:hAnsi="Gilroy" w:cs="Gilroy"/>
          <w:color w:val="303030"/>
        </w:rPr>
        <w:t xml:space="preserve"> (2 de octubre de 2026).</w:t>
      </w:r>
    </w:p>
    <w:p w14:paraId="171EFE59" w14:textId="77777777" w:rsidR="00434BA1" w:rsidRDefault="00434BA1">
      <w:pPr>
        <w:spacing w:after="120" w:line="276" w:lineRule="auto"/>
        <w:jc w:val="both"/>
      </w:pPr>
    </w:p>
    <w:tbl>
      <w:tblPr>
        <w:tblStyle w:val="Tablaconcuadrcula"/>
        <w:tblW w:w="0" w:type="auto"/>
        <w:tblLayout w:type="fixed"/>
        <w:tblLook w:val="04A0" w:firstRow="1" w:lastRow="0" w:firstColumn="1" w:lastColumn="0" w:noHBand="0" w:noVBand="1"/>
      </w:tblPr>
      <w:tblGrid>
        <w:gridCol w:w="4422"/>
        <w:gridCol w:w="4422"/>
      </w:tblGrid>
      <w:tr w:rsidR="00434BA1" w14:paraId="34FA083B" w14:textId="77777777" w:rsidTr="00233E23">
        <w:trPr>
          <w:cantSplit/>
        </w:trPr>
        <w:tc>
          <w:tcPr>
            <w:tcW w:w="4422" w:type="dxa"/>
            <w:shd w:val="clear" w:color="auto" w:fill="6A2C3E"/>
          </w:tcPr>
          <w:p w14:paraId="1B1051FC" w14:textId="77777777" w:rsidR="00434BA1" w:rsidRPr="00233E23" w:rsidRDefault="00000000">
            <w:pPr>
              <w:keepNext/>
              <w:spacing w:before="60" w:after="60"/>
              <w:jc w:val="center"/>
              <w:rPr>
                <w:color w:val="FFFFFF" w:themeColor="background1"/>
              </w:rPr>
            </w:pPr>
            <w:r w:rsidRPr="00233E23">
              <w:rPr>
                <w:rFonts w:ascii="Gilroy" w:hAnsi="Gilroy" w:cs="Gilroy"/>
                <w:b/>
                <w:color w:val="FFFFFF" w:themeColor="background1"/>
              </w:rPr>
              <w:t>ELABORÓ</w:t>
            </w:r>
          </w:p>
        </w:tc>
        <w:tc>
          <w:tcPr>
            <w:tcW w:w="4422" w:type="dxa"/>
            <w:shd w:val="clear" w:color="auto" w:fill="6A2C3E"/>
          </w:tcPr>
          <w:p w14:paraId="5C25E61F" w14:textId="77777777" w:rsidR="00434BA1" w:rsidRPr="00233E23" w:rsidRDefault="00000000">
            <w:pPr>
              <w:keepNext/>
              <w:spacing w:before="60" w:after="60"/>
              <w:jc w:val="center"/>
              <w:rPr>
                <w:color w:val="FFFFFF" w:themeColor="background1"/>
              </w:rPr>
            </w:pPr>
            <w:r w:rsidRPr="00233E23">
              <w:rPr>
                <w:rFonts w:ascii="Gilroy" w:hAnsi="Gilroy" w:cs="Gilroy"/>
                <w:b/>
                <w:color w:val="FFFFFF" w:themeColor="background1"/>
              </w:rPr>
              <w:t>VALIDÓ</w:t>
            </w:r>
          </w:p>
        </w:tc>
      </w:tr>
      <w:tr w:rsidR="00434BA1" w14:paraId="67596FED" w14:textId="77777777">
        <w:trPr>
          <w:cantSplit/>
          <w:trHeight w:val="1100"/>
        </w:trPr>
        <w:tc>
          <w:tcPr>
            <w:tcW w:w="4422" w:type="dxa"/>
          </w:tcPr>
          <w:p w14:paraId="771A9885" w14:textId="77777777" w:rsidR="00434BA1" w:rsidRDefault="00434BA1">
            <w:pPr>
              <w:keepNext/>
              <w:spacing w:before="60" w:after="60"/>
              <w:jc w:val="center"/>
            </w:pPr>
          </w:p>
        </w:tc>
        <w:tc>
          <w:tcPr>
            <w:tcW w:w="4422" w:type="dxa"/>
          </w:tcPr>
          <w:p w14:paraId="525A2565" w14:textId="77777777" w:rsidR="00434BA1" w:rsidRDefault="00434BA1">
            <w:pPr>
              <w:keepNext/>
              <w:spacing w:before="60" w:after="60"/>
              <w:jc w:val="center"/>
            </w:pPr>
          </w:p>
        </w:tc>
      </w:tr>
      <w:tr w:rsidR="00434BA1" w14:paraId="4920A5D2" w14:textId="77777777">
        <w:trPr>
          <w:cantSplit/>
        </w:trPr>
        <w:tc>
          <w:tcPr>
            <w:tcW w:w="4422" w:type="dxa"/>
          </w:tcPr>
          <w:p w14:paraId="6D27C7F0" w14:textId="77777777" w:rsidR="00434BA1" w:rsidRDefault="00000000">
            <w:pPr>
              <w:spacing w:before="60" w:after="60"/>
              <w:jc w:val="center"/>
            </w:pPr>
            <w:r>
              <w:rPr>
                <w:rFonts w:ascii="Gilroy" w:hAnsi="Gilroy" w:cs="Gilroy"/>
                <w:color w:val="303030"/>
              </w:rPr>
              <w:t>C. LUIS ANTONIO MOLINA SALDAÑA</w:t>
            </w:r>
            <w:r>
              <w:br/>
            </w:r>
            <w:r>
              <w:rPr>
                <w:rFonts w:ascii="Gilroy" w:hAnsi="Gilroy" w:cs="Gilroy"/>
                <w:b/>
                <w:color w:val="303030"/>
              </w:rPr>
              <w:t>ANALISTA DE LA SUBDIRECCIÓN DE DESARROLLO DE TECNOLOGÍAS DE LA INFORMACIÓN</w:t>
            </w:r>
          </w:p>
        </w:tc>
        <w:tc>
          <w:tcPr>
            <w:tcW w:w="4422" w:type="dxa"/>
          </w:tcPr>
          <w:p w14:paraId="2A2E3128" w14:textId="77777777" w:rsidR="00434BA1" w:rsidRDefault="00000000">
            <w:pPr>
              <w:spacing w:before="60" w:after="60"/>
              <w:jc w:val="center"/>
            </w:pPr>
            <w:r>
              <w:rPr>
                <w:rFonts w:ascii="Gilroy" w:hAnsi="Gilroy" w:cs="Gilroy"/>
                <w:color w:val="303030"/>
              </w:rPr>
              <w:t>C. MIGUEL TRINIDAD GÓMEZ HERNÁNDEZ</w:t>
            </w:r>
            <w:r>
              <w:br/>
            </w:r>
            <w:r>
              <w:rPr>
                <w:rFonts w:ascii="Gilroy" w:hAnsi="Gilroy" w:cs="Gilroy"/>
                <w:b/>
                <w:color w:val="303030"/>
              </w:rPr>
              <w:t>ENCARGADO DE DESPACHO DE LA SUBDIRECCIÓN DE DESARROLLO DE TECNOLOGÍAS DE LA INFORMACIÓN</w:t>
            </w:r>
          </w:p>
        </w:tc>
      </w:tr>
    </w:tbl>
    <w:p w14:paraId="04863E69" w14:textId="77777777" w:rsidR="00B273CD" w:rsidRDefault="00B273CD"/>
    <w:sectPr w:rsidR="00B273CD">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159B" w14:textId="77777777" w:rsidR="00B273CD" w:rsidRDefault="00B273CD">
      <w:pPr>
        <w:spacing w:after="0" w:line="240" w:lineRule="auto"/>
      </w:pPr>
      <w:r>
        <w:separator/>
      </w:r>
    </w:p>
  </w:endnote>
  <w:endnote w:type="continuationSeparator" w:id="0">
    <w:p w14:paraId="4C635508" w14:textId="77777777" w:rsidR="00B273CD" w:rsidRDefault="00B2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DFB25EF-CF4C-4F01-92FA-90849249EB7D}"/>
    <w:embedBold r:id="rId2" w:fontKey="{55337ED8-418A-4455-93FD-FD124870B44F}"/>
    <w:embedItalic r:id="rId3" w:fontKey="{F8EE1CCA-F7E8-4E85-99B2-CB85CC61DFC8}"/>
    <w:embedBoldItalic r:id="rId4" w:fontKey="{DDCAD826-DA45-4ABC-8A56-294C266CE8EA}"/>
  </w:font>
  <w:font w:name="Calibri Light">
    <w:panose1 w:val="020F0302020204030204"/>
    <w:charset w:val="00"/>
    <w:family w:val="swiss"/>
    <w:pitch w:val="variable"/>
    <w:sig w:usb0="E4002EFF" w:usb1="C200247B" w:usb2="00000009" w:usb3="00000000" w:csb0="000001FF" w:csb1="00000000"/>
    <w:embedRegular r:id="rId5" w:fontKey="{907CF08F-F1E2-4B01-B355-7132C4266AFF}"/>
    <w:embedBold r:id="rId6" w:fontKey="{E9F0F1BC-2002-4849-A66E-9632B4C3068F}"/>
    <w:embedItalic r:id="rId7" w:fontKey="{03C0625E-9D04-4F39-95EF-DC27B0CCB99F}"/>
    <w:embedBoldItalic r:id="rId8" w:fontKey="{13D185E3-B5D0-4E61-9655-95DBA42A6CF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7D156B9D-46A2-43A6-B954-E039C1287B11}"/>
  </w:font>
  <w:font w:name="Bookman Old Style">
    <w:panose1 w:val="02050604050505020204"/>
    <w:charset w:val="00"/>
    <w:family w:val="roman"/>
    <w:pitch w:val="variable"/>
    <w:sig w:usb0="00000287" w:usb1="00000000" w:usb2="00000000" w:usb3="00000000" w:csb0="0000009F" w:csb1="00000000"/>
    <w:embedRegular r:id="rId10" w:fontKey="{DDC3ABD2-4876-4C57-977A-5D780D5BAB15}"/>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SemiBold">
    <w:panose1 w:val="00000700000000000000"/>
    <w:charset w:val="00"/>
    <w:family w:val="modern"/>
    <w:notTrueType/>
    <w:pitch w:val="variable"/>
    <w:sig w:usb0="00000207" w:usb1="00000000" w:usb2="00000000" w:usb3="00000000" w:csb0="00000097" w:csb1="00000000"/>
  </w:font>
  <w:font w:name="Gilroy">
    <w:altName w:val="Calibri"/>
    <w:panose1 w:val="000005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5890" w14:textId="77777777" w:rsidR="0011730A" w:rsidRDefault="0011730A">
    <w:pPr>
      <w:spacing w:after="0" w:line="240" w:lineRule="auto"/>
      <w:jc w:val="center"/>
      <w:rPr>
        <w:rFonts w:ascii="Gilroy" w:hAnsi="Gilroy"/>
      </w:rPr>
    </w:pPr>
  </w:p>
  <w:p w14:paraId="090B682E"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158F2" w14:textId="77777777" w:rsidR="00B273CD" w:rsidRDefault="00B273CD">
      <w:pPr>
        <w:spacing w:after="0" w:line="240" w:lineRule="auto"/>
      </w:pPr>
      <w:r>
        <w:separator/>
      </w:r>
    </w:p>
  </w:footnote>
  <w:footnote w:type="continuationSeparator" w:id="0">
    <w:p w14:paraId="3579EFDB" w14:textId="77777777" w:rsidR="00B273CD" w:rsidRDefault="00B2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3EFB"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32172722"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3D45183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2963"/>
    <w:rsid w:val="001A41BF"/>
    <w:rsid w:val="001A615E"/>
    <w:rsid w:val="001D2853"/>
    <w:rsid w:val="001D30C7"/>
    <w:rsid w:val="001E03F0"/>
    <w:rsid w:val="001E7CE7"/>
    <w:rsid w:val="00205462"/>
    <w:rsid w:val="00207B9B"/>
    <w:rsid w:val="00212F3D"/>
    <w:rsid w:val="002203B2"/>
    <w:rsid w:val="0022385D"/>
    <w:rsid w:val="00232B60"/>
    <w:rsid w:val="00233E23"/>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A4556"/>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4BA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234"/>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638C2"/>
    <w:rsid w:val="00875989"/>
    <w:rsid w:val="00875F68"/>
    <w:rsid w:val="00882EAC"/>
    <w:rsid w:val="00883620"/>
    <w:rsid w:val="00885058"/>
    <w:rsid w:val="00890634"/>
    <w:rsid w:val="008922C7"/>
    <w:rsid w:val="008974BD"/>
    <w:rsid w:val="008B02C8"/>
    <w:rsid w:val="008D12BD"/>
    <w:rsid w:val="008D3539"/>
    <w:rsid w:val="008D3577"/>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E89"/>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15F"/>
    <w:rsid w:val="00AB654D"/>
    <w:rsid w:val="00AC1E3A"/>
    <w:rsid w:val="00AD3954"/>
    <w:rsid w:val="00AD44A2"/>
    <w:rsid w:val="00AD710D"/>
    <w:rsid w:val="00AE5FE5"/>
    <w:rsid w:val="00AF1491"/>
    <w:rsid w:val="00AF5204"/>
    <w:rsid w:val="00B11D0A"/>
    <w:rsid w:val="00B159B2"/>
    <w:rsid w:val="00B15EAD"/>
    <w:rsid w:val="00B2537F"/>
    <w:rsid w:val="00B273CD"/>
    <w:rsid w:val="00B408AD"/>
    <w:rsid w:val="00B55646"/>
    <w:rsid w:val="00B62FA0"/>
    <w:rsid w:val="00B63284"/>
    <w:rsid w:val="00B66F92"/>
    <w:rsid w:val="00B711AE"/>
    <w:rsid w:val="00B87581"/>
    <w:rsid w:val="00B9480A"/>
    <w:rsid w:val="00BA122D"/>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565E2"/>
    <w:rsid w:val="00C613E8"/>
    <w:rsid w:val="00C70EDE"/>
    <w:rsid w:val="00C75093"/>
    <w:rsid w:val="00C7592A"/>
    <w:rsid w:val="00C86A5E"/>
    <w:rsid w:val="00C90AB4"/>
    <w:rsid w:val="00C938F9"/>
    <w:rsid w:val="00C97559"/>
    <w:rsid w:val="00C9757E"/>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9601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2413</Words>
  <Characters>13274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LENOVO</cp:lastModifiedBy>
  <cp:revision>17</cp:revision>
  <cp:lastPrinted>2026-09-21T18:07:00Z</cp:lastPrinted>
  <dcterms:created xsi:type="dcterms:W3CDTF">2026-09-21T18:18:00Z</dcterms:created>
  <dcterms:modified xsi:type="dcterms:W3CDTF">2026-10-06T07:54:00Z</dcterms:modified>
</cp:coreProperties>
</file>