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χ192 branch-retention continuation at p=.30480</w:t>
      </w:r>
    </w:p>
    <w:p>
      <w:r>
        <w:rPr>
          <w:b w:val="0"/>
          <w:i w:val="0"/>
        </w:rPr>
        <w:t>17 October 2026 · A-1 continuation · finite-χ numerical test, not a thermodynamic verdict.</w:t>
      </w:r>
    </w:p>
    <w:p>
      <w:r>
        <w:rPr>
          <w:b/>
          <w:i w:val="0"/>
        </w:rPr>
        <w:t>Campaign status:</w:t>
      </w:r>
      <w:r>
        <w:rPr>
          <w:b w:val="0"/>
          <w:i w:val="0"/>
        </w:rPr>
        <w:t xml:space="preserve"> both accepted finite-chi states. </w:t>
      </w:r>
      <w:r>
        <w:rPr>
          <w:b/>
          <w:i w:val="0"/>
        </w:rPr>
        <w:t>Two of two χ192 states passed the unchanged external gates.</w:t>
      </w:r>
    </w:p>
    <w:p>
      <w:pPr>
        <w:pStyle w:val="Heading2"/>
      </w:pPr>
      <w:r>
        <w:rPr>
          <w:b w:val="0"/>
          <w:i w:val="0"/>
        </w:rPr>
        <w:t>Scope and resource gate</w:t>
      </w:r>
    </w:p>
    <w:p>
      <w:r>
        <w:rPr>
          <w:b w:val="0"/>
          <w:i w:val="0"/>
        </w:rPr>
        <w:t>The authorization was limited to enlarging the exact accepted χ128 p=.30480 ordered-history and refined low-order-history checkpoints to χ=192, with at most two single-thread workers and one five-hour absolute wall-clock cap. No extra p, perturbation, stability run, or additional preparation was authorized.</w:t>
      </w:r>
    </w:p>
    <w:p>
      <w:r>
        <w:rPr>
          <w:b w:val="0"/>
          <w:i w:val="0"/>
        </w:rPr>
        <w:t>The immutable first resource gate used a deliberately broad 200-iteration forecast and stopped before production: its one-step wall timings (which include operator construction) projected beyond five hours. That STOP record is retained. The follow-up feasibility addendum then separated the VUMPS-internal iteration time from the one-time build: measured benchmark steps were 82 s and 87 s; the two accepted same-p χ128 warm steps had taken 23 and 55 iterations. A transparent 2× allowance on the larger observed count (110 iterations per preparation), a 90 s/iteration forecast, a 120 s setup reserve and a 45-minute validation reserve gave 12,720 s, within the 17,745 s then remaining. The measured simultaneous benchmark RSS passed the frozen memory rule. Only after that addendum were the two production workers launched.</w:t>
      </w:r>
    </w:p>
    <w:p>
      <w:r>
        <w:rPr>
          <w:b w:val="0"/>
          <w:i w:val="0"/>
        </w:rPr>
        <w:t xml:space="preserve">One first production attempt stopped at its first five-iteration checkpoint callback because the adapter used the wrong argument signature; it wrote no χ192 checkpoint and yielded no scientific state. Its logs and JSON are preserved. A corrected serializer was used for one same-source retry, under the </w:t>
      </w:r>
      <w:r>
        <w:rPr>
          <w:b w:val="0"/>
          <w:i/>
        </w:rPr>
        <w:t>original</w:t>
      </w:r>
      <w:r>
        <w:rPr>
          <w:b w:val="0"/>
          <w:i w:val="0"/>
        </w:rPr>
        <w:t xml:space="preserve"> deadline, unchanged thresholds, and same two-worker cap. This was a code-execution correction, not an added preparation. The retry and error details are in the campaign record/addenda.</w:t>
      </w:r>
    </w:p>
    <w:p>
      <w:r>
        <w:rPr>
          <w:b w:val="0"/>
          <w:i w:val="0"/>
        </w:rPr>
        <w:t xml:space="preserve">Elapsed from the initial benchmark through this report: </w:t>
      </w:r>
      <w:r>
        <w:rPr>
          <w:b/>
          <w:i w:val="0"/>
        </w:rPr>
        <w:t>3.41 h</w:t>
      </w:r>
      <w:r>
        <w:rPr>
          <w:b w:val="0"/>
          <w:i w:val="0"/>
        </w:rPr>
        <w:t xml:space="preserve"> of the authorized five hours; approximate time remaining at report generation: </w:t>
      </w:r>
      <w:r>
        <w:rPr>
          <w:b/>
          <w:i w:val="0"/>
        </w:rPr>
        <w:t>1.59 h</w:t>
      </w:r>
      <w:r>
        <w:rPr>
          <w:b w:val="0"/>
          <w:i w:val="0"/>
        </w:rPr>
        <w:t>. Both accepted states and their checks completed within the cap.</w:t>
      </w:r>
    </w:p>
    <w:p>
      <w:r>
        <w:rPr>
          <w:b w:val="0"/>
          <w:i w:val="0"/>
        </w:rPr>
        <w:t>Frozen and amended protocol records:</w:t>
      </w:r>
    </w:p>
    <w:p>
      <w:r>
        <w:rPr>
          <w:rFonts w:ascii="Consolas" w:hAnsi="Consolas" w:eastAsia="Consolas" w:cs="Consolas"/>
          <w:b w:val="0"/>
          <w:i w:val="0"/>
        </w:rPr>
        <w:t>research/transition-order/branch192-protocol.json</w:t>
      </w:r>
      <w:r>
        <w:rPr>
          <w:b w:val="0"/>
          <w:i w:val="0"/>
        </w:rPr>
        <w:t xml:space="preserve"> · SHA-256 </w:t>
      </w:r>
      <w:r>
        <w:rPr>
          <w:rFonts w:ascii="Consolas" w:hAnsi="Consolas" w:eastAsia="Consolas" w:cs="Consolas"/>
          <w:b w:val="0"/>
          <w:i w:val="0"/>
        </w:rPr>
        <w:t>8e83b8ff572a9265f2771f54594b493d3918368d640fd19438fd23d9475f7a66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 w:cs="Consolas"/>
          <w:b w:val="0"/>
          <w:i w:val="0"/>
        </w:rPr>
        <w:t>research/transition-order/branch192-execution-addendum.json</w:t>
      </w:r>
      <w:r>
        <w:rPr>
          <w:b w:val="0"/>
          <w:i w:val="0"/>
        </w:rPr>
        <w:t xml:space="preserve"> · SHA-256 </w:t>
      </w:r>
      <w:r>
        <w:rPr>
          <w:rFonts w:ascii="Consolas" w:hAnsi="Consolas" w:eastAsia="Consolas" w:cs="Consolas"/>
          <w:b w:val="0"/>
          <w:i w:val="0"/>
        </w:rPr>
        <w:t>c82b822c0d86131469adb2f7319c086ee40964467c4cb6aa29e8aa9324278ac2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 w:cs="Consolas"/>
          <w:b w:val="0"/>
          <w:i w:val="0"/>
        </w:rPr>
        <w:t>research/transition-order/branch192-retry-addendum.json</w:t>
      </w:r>
      <w:r>
        <w:rPr>
          <w:b w:val="0"/>
          <w:i w:val="0"/>
        </w:rPr>
        <w:t xml:space="preserve"> · SHA-256 </w:t>
      </w:r>
      <w:r>
        <w:rPr>
          <w:rFonts w:ascii="Consolas" w:hAnsi="Consolas" w:eastAsia="Consolas" w:cs="Consolas"/>
          <w:b w:val="0"/>
          <w:i w:val="0"/>
        </w:rPr>
        <w:t>4be205213ce39ba39c80486193c9690d1fe95ac531be91532e1452911f1d0180</w:t>
      </w:r>
    </w:p>
    <w:p>
      <w:r>
        <w:rPr>
          <w:b w:val="0"/>
          <w:i w:val="0"/>
        </w:rPr>
        <w:t xml:space="preserve">Frozen model, optimizer, source-worker and comparison-helper hashes were checked: all 7/8 launch-time entries match except the final report formatter, which was changed only after computation to include the amended feasibility record and independent audit. The launch-time report-helper SHA was </w:t>
      </w:r>
      <w:r>
        <w:rPr>
          <w:rFonts w:ascii="Consolas" w:hAnsi="Consolas" w:eastAsia="Consolas" w:cs="Consolas"/>
          <w:b w:val="0"/>
          <w:i w:val="0"/>
        </w:rPr>
        <w:t>d1658017c88184d6ec3c90ace7aed27c3624d00b73e6db2210c16413273b6b57</w:t>
      </w:r>
      <w:r>
        <w:rPr>
          <w:b w:val="0"/>
          <w:i w:val="0"/>
        </w:rPr>
        <w:t xml:space="preserve">; the post-run formatter SHA is </w:t>
      </w:r>
      <w:r>
        <w:rPr>
          <w:rFonts w:ascii="Consolas" w:hAnsi="Consolas" w:eastAsia="Consolas" w:cs="Consolas"/>
          <w:b w:val="0"/>
          <w:i w:val="0"/>
        </w:rPr>
        <w:t>a621738bd968f3f5a3b6ccd7d098276e7dead58e68dd6b04d9a2c26e5746043d</w:t>
      </w:r>
      <w:r>
        <w:rPr>
          <w:b w:val="0"/>
          <w:i w:val="0"/>
        </w:rPr>
        <w:t xml:space="preserve">. Corrected retry worker SHA-256: </w:t>
      </w:r>
      <w:r>
        <w:rPr>
          <w:rFonts w:ascii="Consolas" w:hAnsi="Consolas" w:eastAsia="Consolas" w:cs="Consolas"/>
          <w:b w:val="0"/>
          <w:i w:val="0"/>
        </w:rPr>
        <w:t>e42700815197566423027c21de9078eaf655beed718e1019e0d49123b270796f</w:t>
      </w:r>
      <w:r>
        <w:rPr>
          <w:b w:val="0"/>
          <w:i w:val="0"/>
        </w:rPr>
        <w:t>. Physics kernels and optimizer hashes remain the unchanged frozen values above.</w:t>
      </w:r>
    </w:p>
    <w:p>
      <w:r>
        <w:rPr>
          <w:b w:val="0"/>
          <w:i w:val="0"/>
        </w:rPr>
        <w:t>Acceptance was not relaxed: optimizer and left/right compatibility residuals &lt;1e−7, canonical defects &lt;1e−9, positive full-period Rayleigh contraction with relative residual &lt;1e−8. The internal 5e−8 target drove convergence but did not replace the external tests.</w:t>
      </w:r>
    </w:p>
    <w:p>
      <w:pPr>
        <w:pStyle w:val="Heading2"/>
      </w:pPr>
      <w:r>
        <w:rPr>
          <w:b w:val="0"/>
          <w:i w:val="0"/>
        </w:rPr>
        <w:t>Disposable χ192 benchmark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cantSplit/>
          <w:tblHeader/>
        </w:trPr>
        <w:tc>
          <w:tcPr>
            <w:tcW w:type="dxa" w:w="1624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Start history</w:t>
            </w:r>
          </w:p>
        </w:tc>
        <w:tc>
          <w:tcPr>
            <w:tcW w:type="dxa" w:w="1624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VUMPS iterations</w:t>
            </w:r>
          </w:p>
        </w:tc>
        <w:tc>
          <w:tcPr>
            <w:tcW w:type="dxa" w:w="1624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Wall time including operator setup</w:t>
            </w:r>
          </w:p>
        </w:tc>
        <w:tc>
          <w:tcPr>
            <w:tcW w:type="dxa" w:w="1624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VUMPS-reported step time</w:t>
            </w:r>
          </w:p>
        </w:tc>
        <w:tc>
          <w:tcPr>
            <w:tcW w:type="dxa" w:w="1624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Peak RSS</w:t>
            </w:r>
          </w:p>
        </w:tc>
        <w:tc>
          <w:tcPr>
            <w:tcW w:type="dxa" w:w="1624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Output finite</w:t>
            </w:r>
          </w:p>
        </w:tc>
      </w:tr>
      <w:tr>
        <w:trPr>
          <w:cantSplit/>
        </w:trPr>
        <w:tc>
          <w:tcPr>
            <w:tcW w:type="dxa" w:w="16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ordered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155.08s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82s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172436 KiB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16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disordered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149.86s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87s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172308 KiB</w:t>
            </w:r>
          </w:p>
        </w:tc>
        <w:tc>
          <w:tcPr>
            <w:tcW w:type="dxa" w:w="162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True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>The disposable iterates were not checkpointed or used as scientific observations. The benchmark memory gate used both simultaneous peaks: 344,744 KiB combined; 1.25× this was below 0.75× available memory at the decision point. During production each process peaked near 605 MiB RSS; no memory limit was exceeded.</w:t>
      </w:r>
    </w:p>
    <w:p>
      <w:pPr>
        <w:pStyle w:val="Heading2"/>
      </w:pPr>
      <w:r>
        <w:rPr>
          <w:b w:val="0"/>
          <w:i w:val="0"/>
        </w:rPr>
        <w:t>Accepted χ192 results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rPr>
          <w:cantSplit/>
          <w:tblHeader/>
        </w:trPr>
        <w:tc>
          <w:tcPr>
            <w:tcW w:type="dxa" w:w="975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/>
                <w:i w:val="0"/>
                <w:sz w:val="15"/>
              </w:rPr>
              <w:t>Start history</w:t>
            </w:r>
          </w:p>
        </w:tc>
        <w:tc>
          <w:tcPr>
            <w:tcW w:type="dxa" w:w="975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/>
                <w:i w:val="0"/>
                <w:sz w:val="15"/>
              </w:rPr>
              <w:t>Iterations</w:t>
            </w:r>
          </w:p>
        </w:tc>
        <w:tc>
          <w:tcPr>
            <w:tcW w:type="dxa" w:w="975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/>
                <w:i w:val="0"/>
                <w:sz w:val="15"/>
              </w:rPr>
              <w:t>Optimizer seconds</w:t>
            </w:r>
          </w:p>
        </w:tc>
        <w:tc>
          <w:tcPr>
            <w:tcW w:type="dxa" w:w="975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/>
                <w:i w:val="0"/>
                <w:sz w:val="15"/>
              </w:rPr>
              <w:t>ε</w:t>
            </w:r>
          </w:p>
        </w:tc>
        <w:tc>
          <w:tcPr>
            <w:tcW w:type="dxa" w:w="975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/>
                <w:i w:val="0"/>
                <w:sz w:val="15"/>
              </w:rPr>
              <w:t>Right compatibility</w:t>
            </w:r>
          </w:p>
        </w:tc>
        <w:tc>
          <w:tcPr>
            <w:tcW w:type="dxa" w:w="975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/>
                <w:i w:val="0"/>
                <w:sz w:val="15"/>
              </w:rPr>
              <w:t>Color L2</w:t>
            </w:r>
          </w:p>
        </w:tc>
        <w:tc>
          <w:tcPr>
            <w:tcW w:type="dxa" w:w="975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/>
                <w:i w:val="0"/>
                <w:sz w:val="15"/>
              </w:rPr>
              <w:t>m_species</w:t>
            </w:r>
          </w:p>
        </w:tc>
        <w:tc>
          <w:tcPr>
            <w:tcW w:type="dxa" w:w="975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/>
                <w:i w:val="0"/>
                <w:sz w:val="15"/>
              </w:rPr>
              <w:t>ξχ</w:t>
            </w:r>
          </w:p>
        </w:tc>
        <w:tc>
          <w:tcPr>
            <w:tcW w:type="dxa" w:w="975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/>
                <w:i w:val="0"/>
                <w:sz w:val="15"/>
              </w:rPr>
              <w:t>f_half</w:t>
            </w:r>
          </w:p>
        </w:tc>
        <w:tc>
          <w:tcPr>
            <w:tcW w:type="dxa" w:w="975"/>
            <w:shd w:val="clear" w:color="auto" w:fill="E8ECF2"/>
            <w:shd w:val="clear" w:color="auto" w:fill="E6EEF5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/>
                <w:i w:val="0"/>
                <w:sz w:val="15"/>
              </w:rPr>
              <w:t>f_period,trial</w:t>
            </w:r>
          </w:p>
        </w:tc>
      </w:tr>
      <w:tr>
        <w:trPr>
          <w:cantSplit/>
        </w:trPr>
        <w:tc>
          <w:tcPr>
            <w:tcW w:type="dxa" w:w="975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i w:val="0"/>
                <w:sz w:val="15"/>
              </w:rPr>
              <w:t>ordered</w:t>
            </w:r>
          </w:p>
        </w:tc>
        <w:tc>
          <w:tcPr>
            <w:tcW w:type="dxa" w:w="975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i w:val="0"/>
                <w:sz w:val="15"/>
              </w:rPr>
              <w:t>116</w:t>
            </w:r>
          </w:p>
        </w:tc>
        <w:tc>
          <w:tcPr>
            <w:tcW w:type="dxa" w:w="975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i w:val="0"/>
                <w:sz w:val="15"/>
              </w:rPr>
              <w:t>9355.66</w:t>
            </w:r>
          </w:p>
        </w:tc>
        <w:tc>
          <w:tcPr>
            <w:tcW w:type="dxa" w:w="975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i w:val="0"/>
                <w:sz w:val="15"/>
              </w:rPr>
              <w:t>4.806926e-08</w:t>
            </w:r>
          </w:p>
        </w:tc>
        <w:tc>
          <w:tcPr>
            <w:tcW w:type="dxa" w:w="975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i w:val="0"/>
                <w:sz w:val="15"/>
              </w:rPr>
              <w:t>4.806517e-08</w:t>
            </w:r>
          </w:p>
        </w:tc>
        <w:tc>
          <w:tcPr>
            <w:tcW w:type="dxa" w:w="975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i w:val="0"/>
                <w:sz w:val="15"/>
              </w:rPr>
              <w:t>0.4791267</w:t>
            </w:r>
          </w:p>
        </w:tc>
        <w:tc>
          <w:tcPr>
            <w:tcW w:type="dxa" w:w="975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i w:val="0"/>
                <w:sz w:val="15"/>
              </w:rPr>
              <w:t>0.5080769</w:t>
            </w:r>
          </w:p>
        </w:tc>
        <w:tc>
          <w:tcPr>
            <w:tcW w:type="dxa" w:w="975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i w:val="0"/>
                <w:sz w:val="15"/>
              </w:rPr>
              <w:t>103.26</w:t>
            </w:r>
          </w:p>
        </w:tc>
        <w:tc>
          <w:tcPr>
            <w:tcW w:type="dxa" w:w="975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i w:val="0"/>
                <w:sz w:val="15"/>
              </w:rPr>
              <w:t>0.992869795739</w:t>
            </w:r>
          </w:p>
        </w:tc>
        <w:tc>
          <w:tcPr>
            <w:tcW w:type="dxa" w:w="975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i w:val="0"/>
                <w:sz w:val="15"/>
              </w:rPr>
              <w:t>0.992869787976</w:t>
            </w:r>
          </w:p>
        </w:tc>
      </w:tr>
      <w:tr>
        <w:trPr>
          <w:cantSplit/>
        </w:trPr>
        <w:tc>
          <w:tcPr>
            <w:tcW w:type="dxa" w:w="975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i w:val="0"/>
                <w:sz w:val="15"/>
              </w:rPr>
              <w:t>low-order</w:t>
            </w:r>
          </w:p>
        </w:tc>
        <w:tc>
          <w:tcPr>
            <w:tcW w:type="dxa" w:w="975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i w:val="0"/>
                <w:sz w:val="15"/>
              </w:rPr>
              <w:t>72</w:t>
            </w:r>
          </w:p>
        </w:tc>
        <w:tc>
          <w:tcPr>
            <w:tcW w:type="dxa" w:w="975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i w:val="0"/>
                <w:sz w:val="15"/>
              </w:rPr>
              <w:t>6021.90</w:t>
            </w:r>
          </w:p>
        </w:tc>
        <w:tc>
          <w:tcPr>
            <w:tcW w:type="dxa" w:w="975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i w:val="0"/>
                <w:sz w:val="15"/>
              </w:rPr>
              <w:t>4.855261e-08</w:t>
            </w:r>
          </w:p>
        </w:tc>
        <w:tc>
          <w:tcPr>
            <w:tcW w:type="dxa" w:w="975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i w:val="0"/>
                <w:sz w:val="15"/>
              </w:rPr>
              <w:t>4.855856e-08</w:t>
            </w:r>
          </w:p>
        </w:tc>
        <w:tc>
          <w:tcPr>
            <w:tcW w:type="dxa" w:w="975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i w:val="0"/>
                <w:sz w:val="15"/>
              </w:rPr>
              <w:t>0.4790272</w:t>
            </w:r>
          </w:p>
        </w:tc>
        <w:tc>
          <w:tcPr>
            <w:tcW w:type="dxa" w:w="975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i w:val="0"/>
                <w:sz w:val="15"/>
              </w:rPr>
              <w:t>0.5079527</w:t>
            </w:r>
          </w:p>
        </w:tc>
        <w:tc>
          <w:tcPr>
            <w:tcW w:type="dxa" w:w="975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i w:val="0"/>
                <w:sz w:val="15"/>
              </w:rPr>
              <w:t>103.20</w:t>
            </w:r>
          </w:p>
        </w:tc>
        <w:tc>
          <w:tcPr>
            <w:tcW w:type="dxa" w:w="975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i w:val="0"/>
                <w:sz w:val="15"/>
              </w:rPr>
              <w:t>0.992869795769</w:t>
            </w:r>
          </w:p>
        </w:tc>
        <w:tc>
          <w:tcPr>
            <w:tcW w:type="dxa" w:w="975"/>
          </w:tcPr>
          <w:p>
            <w:pPr>
              <w:spacing w:after="40"/>
            </w:pPr>
            <w:r>
              <w:rPr>
                <w:sz w:val="15"/>
              </w:rPr>
            </w:r>
            <w:r>
              <w:rPr>
                <w:b w:val="0"/>
                <w:i w:val="0"/>
                <w:sz w:val="15"/>
              </w:rPr>
              <w:t>0.992869788133</w:t>
            </w:r>
          </w:p>
        </w:tc>
      </w:tr>
    </w:tbl>
    <w:p>
      <w:pPr>
        <w:spacing w:after="80"/>
      </w:pPr>
    </w:p>
    <w:p>
      <w:r>
        <w:rPr>
          <w:b w:val="0"/>
          <w:i w:val="0"/>
        </w:rPr>
        <w:t>Independent saved-tensor audit passed for both 192×6×192 physical MPS tensors: exact checkpoint hashes and metadata; finite arrays; both mixed-canonical compatibility residuals and canonical defects recomputed; half-row objective, color diagnostic and positive full-period Rayleigh contraction recomputed. Maximum audited ε = 4.855261e-08; maximum compatibility residual = 4.856402e-08; maximum canonical defect = 6.034423e-14. This is a state-integrity/acceptance audit, not an energy-error estimate.</w:t>
      </w:r>
    </w:p>
    <w:p>
      <w:pPr>
        <w:pStyle w:val="Heading2"/>
      </w:pPr>
      <w:r>
        <w:rPr>
          <w:b w:val="0"/>
          <w:i w:val="0"/>
        </w:rPr>
        <w:t>Did the χ128 branch-retention behavior persist?</w:t>
      </w:r>
    </w:p>
    <w:p>
      <w:r>
        <w:rPr>
          <w:b w:val="0"/>
          <w:i w:val="0"/>
        </w:rPr>
        <w:t xml:space="preserve">The operational answer for this single warm-enlargement test is </w:t>
      </w:r>
      <w:r>
        <w:rPr>
          <w:b/>
          <w:i w:val="0"/>
        </w:rPr>
        <w:t>no for the low-order continuation</w:t>
      </w:r>
      <w:r>
        <w:rPr>
          <w:b w:val="0"/>
          <w:i w:val="0"/>
        </w:rPr>
        <w:t>. At χ128 its accepted source had invariant color L2 ≈0.009027. Starting from that exact low-order source, the unconstrained χ192 warm continuation converged to color L2 = 0.4790272, similar to the ordered-source χ192 result (0.4791267). The χ128 ordered-source value had been ≈0.488232; its χ192 value remains large, ≈0.479127.</w:t>
      </w:r>
    </w:p>
    <w:p>
      <w:r>
        <w:rPr>
          <w:b w:val="0"/>
          <w:i w:val="0"/>
        </w:rPr>
        <w:t xml:space="preserve">All 36 symmetry orientations were compared at χ192. The largest evaluated normalized fidelity per site was </w:t>
      </w:r>
      <w:r>
        <w:rPr>
          <w:b/>
          <w:i w:val="0"/>
        </w:rPr>
        <w:t>0.999999996013</w:t>
      </w:r>
      <w:r>
        <w:rPr>
          <w:b w:val="0"/>
          <w:i w:val="0"/>
        </w:rPr>
        <w:t xml:space="preserve">. Thus these two independently initialized-and-optimized χ192 records are numerically almost the same symmetry orbit, rather than a retained ordered/low-order pair. This supports a finite-χ optimizer-basin merger/loss of the low-order continuation under this precise enlargement path. It does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establish that no low-order χ192 stationary state exists: no constrained search, alternative restart ensemble, or stability campaign was authorized.</w:t>
      </w:r>
    </w:p>
    <w:p>
      <w:r>
        <w:rPr>
          <w:b w:val="0"/>
          <w:i w:val="0"/>
        </w:rPr>
        <w:t xml:space="preserve">For the two accepted states, Δf_half (ordered-start minus low-order-start) = </w:t>
      </w:r>
      <w:r>
        <w:rPr>
          <w:b/>
          <w:i w:val="0"/>
        </w:rPr>
        <w:t>-3.06121795e-11</w:t>
      </w:r>
      <w:r>
        <w:rPr>
          <w:b w:val="0"/>
          <w:i w:val="0"/>
        </w:rPr>
        <w:t xml:space="preserve">; the separately retained full-period trial difference is </w:t>
      </w:r>
      <w:r>
        <w:rPr>
          <w:b/>
          <w:i w:val="0"/>
        </w:rPr>
        <w:t>-1.57154734e-10</w:t>
      </w:r>
      <w:r>
        <w:rPr>
          <w:b w:val="0"/>
          <w:i w:val="0"/>
        </w:rPr>
        <w:t>. These differences are tiny between near-identical MPS constructions. Do not interpret their arithmetic sign as a coexistence crossing, pressure bracket, or ranking with quantified uncertainty.</w:t>
      </w:r>
    </w:p>
    <w:p>
      <w:pPr>
        <w:pStyle w:val="Heading2"/>
      </w:pPr>
      <w:r>
        <w:rPr>
          <w:b w:val="0"/>
          <w:i w:val="0"/>
        </w:rPr>
        <w:t>Limits and interpretation</w:t>
      </w:r>
    </w:p>
    <w:p>
      <w:r>
        <w:rPr>
          <w:b w:val="0"/>
          <w:i w:val="0"/>
        </w:rPr>
        <w:t>An accepted VUMPS state is a finite-χ variational construction, not a global-minimum certificate. Optimizer residuals, canonical defects and contraction residuals are not free-energy error bars. Similarity at one rate and χ does not prove uniqueness. Loss of this continuation at χ=192 does not prove a continuous transition or physical instability; likewise, its χ=128 persistence did not prove a thermodynamic metastable phase. There is still no same-objective finite-χ crossing bracket, perturbation stability result, χ→∞ extrapolation or thermodynamic order verdict.</w:t>
      </w:r>
    </w:p>
    <w:p>
      <w:r>
        <w:rPr>
          <w:b/>
          <w:i w:val="0"/>
        </w:rPr>
        <w:t>Transition order remains unresolved.</w:t>
      </w:r>
      <w:r>
        <w:rPr>
          <w:b w:val="0"/>
          <w:i w:val="0"/>
        </w:rPr>
        <w:t xml:space="preserve"> This test used one p only; no more rates or stability tests are included. The governing Qur’anic/Lighthouse interpretation remains separate from physics: real dependent creation is distinct from the uncreated Creator; no quantum state or algebra is identified with God.</w:t>
      </w:r>
    </w:p>
    <w:p>
      <w:pPr>
        <w:pStyle w:val="Heading3"/>
      </w:pPr>
      <w:r>
        <w:rPr>
          <w:b w:val="0"/>
          <w:i w:val="0"/>
        </w:rPr>
        <w:t>Durable artifacts</w:t>
      </w:r>
    </w:p>
    <w:p>
      <w:pPr>
        <w:pStyle w:val="ListBullet"/>
        <w:spacing w:after="60"/>
      </w:pPr>
      <w:r>
        <w:rPr>
          <w:rFonts w:ascii="Consolas" w:hAnsi="Consolas" w:eastAsia="Consolas" w:cs="Consolas"/>
          <w:b w:val="0"/>
          <w:i w:val="0"/>
        </w:rPr>
        <w:t>v2.2/verify/replica/n3_branch192.json</w:t>
      </w:r>
      <w:r>
        <w:rPr>
          <w:b w:val="0"/>
          <w:i w:val="0"/>
        </w:rPr>
        <w:t xml:space="preserve"> — campaign aggregate, gate history, accepted pair and symmetry comparison.</w:t>
      </w:r>
    </w:p>
    <w:p>
      <w:pPr>
        <w:pStyle w:val="ListBullet"/>
        <w:spacing w:after="60"/>
      </w:pPr>
      <w:r>
        <w:rPr>
          <w:rFonts w:ascii="Consolas" w:hAnsi="Consolas" w:eastAsia="Consolas" w:cs="Consolas"/>
          <w:b w:val="0"/>
          <w:i w:val="0"/>
        </w:rPr>
        <w:t>v2.2/verify/replica/branch192_state_audit.json</w:t>
      </w:r>
      <w:r>
        <w:rPr>
          <w:b w:val="0"/>
          <w:i w:val="0"/>
        </w:rPr>
        <w:t xml:space="preserve"> — independent tensor/gate audit.</w:t>
      </w:r>
    </w:p>
    <w:p>
      <w:pPr>
        <w:pStyle w:val="ListBullet"/>
        <w:spacing w:after="60"/>
      </w:pPr>
      <w:r>
        <w:rPr>
          <w:rFonts w:ascii="Consolas" w:hAnsi="Consolas" w:eastAsia="Consolas" w:cs="Consolas"/>
          <w:b w:val="0"/>
          <w:i w:val="0"/>
        </w:rPr>
        <w:t>v2.2/verify/replica/checkpoints/branch192_retry1_ordered_p0.3048000.npz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 w:cs="Consolas"/>
          <w:b w:val="0"/>
          <w:i w:val="0"/>
        </w:rPr>
        <w:t>...branch192_retry1_disordered_p0.3048000.npz</w:t>
      </w:r>
      <w:r>
        <w:rPr>
          <w:b w:val="0"/>
          <w:i w:val="0"/>
        </w:rPr>
        <w:t xml:space="preserve"> — retained real χ192 state tensors.</w:t>
      </w:r>
    </w:p>
    <w:p>
      <w:pPr>
        <w:pStyle w:val="ListBullet"/>
        <w:spacing w:after="60"/>
      </w:pPr>
      <w:r>
        <w:rPr>
          <w:rFonts w:ascii="Consolas" w:hAnsi="Consolas" w:eastAsia="Consolas" w:cs="Consolas"/>
          <w:b w:val="0"/>
          <w:i w:val="0"/>
        </w:rPr>
        <w:t>v2.2/verify/replica/n3_branch192_attempt1.json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 w:cs="Consolas"/>
          <w:b w:val="0"/>
          <w:i w:val="0"/>
        </w:rPr>
        <w:t>branch192_retry1_*.log</w:t>
      </w:r>
      <w:r>
        <w:rPr>
          <w:b w:val="0"/>
          <w:i w:val="0"/>
        </w:rPr>
        <w:t xml:space="preserve"> — retained failed serializer attempt and corrected-run logs.</w:t>
      </w:r>
    </w:p>
    <w:p>
      <w:pPr>
        <w:pStyle w:val="ListBullet"/>
        <w:spacing w:after="60"/>
      </w:pPr>
      <w:r>
        <w:rPr>
          <w:rFonts w:ascii="Consolas" w:hAnsi="Consolas" w:eastAsia="Consolas" w:cs="Consolas"/>
          <w:b w:val="0"/>
          <w:i w:val="0"/>
        </w:rPr>
        <w:t>research/transition-order/branch192.csv</w:t>
      </w:r>
      <w:r>
        <w:rPr>
          <w:b w:val="0"/>
          <w:i w:val="0"/>
        </w:rPr>
        <w:t xml:space="preserve"> — compact result data.</w:t>
      </w:r>
    </w:p>
    <w:sectPr w:rsidR="00FC693F" w:rsidRPr="0006063C" w:rsidSect="00034616">
      <w:headerReference w:type="default" r:id="rId9"/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A-1 / χ192 BRANCH-RETENTION 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2A4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χ192 branch-retention continuation at p=.30480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