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running: recovered after session interruption. </w:t>
      </w:r>
      <w:r>
        <w:rPr>
          <w:b/>
          <w:i w:val="0"/>
        </w:rPr>
        <w:t>Accepted paired rates:</w:t>
      </w:r>
      <w:r>
        <w:rPr>
          <w:b w:val="0"/>
          <w:i w:val="0"/>
        </w:rPr>
        <w:t xml:space="preserve"> 6/6. </w:t>
      </w:r>
      <w:r>
        <w:rPr>
          <w:b/>
          <w:i w:val="0"/>
        </w:rPr>
        <w:t>New terminal preparation records:</w:t>
      </w:r>
      <w:r>
        <w:rPr>
          <w:b w:val="0"/>
          <w:i w:val="0"/>
        </w:rPr>
        <w:t xml:space="preserve"> 10/10;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9.79e-08</w:t>
            </w:r>
          </w:p>
        </w:tc>
        <w:tc>
          <w:tcPr>
            <w:tcW w:type="dxa" w:w="1218"/>
          </w:tcPr>
          <w:p>
            <w:pPr>
              <w:spacing w:after="40"/>
            </w:pPr>
            <w:r>
              <w:rPr>
                <w:sz w:val="16"/>
              </w:rPr>
            </w:r>
            <w:r>
              <w:rPr>
                <w:b w:val="0"/>
                <w:i w:val="0"/>
                <w:sz w:val="16"/>
              </w:rPr>
              <w:t>0.9902621372</w:t>
            </w:r>
          </w:p>
        </w:tc>
        <w:tc>
          <w:tcPr>
            <w:tcW w:type="dxa" w:w="1218"/>
          </w:tcPr>
          <w:p>
            <w:pPr>
              <w:spacing w:after="40"/>
            </w:pPr>
            <w:r>
              <w:rPr>
                <w:sz w:val="16"/>
              </w:rPr>
            </w:r>
            <w:r>
              <w:rPr>
                <w:b w:val="0"/>
                <w:i w:val="0"/>
                <w:sz w:val="16"/>
              </w:rPr>
              <w:t>0.631456</w:t>
            </w:r>
          </w:p>
        </w:tc>
        <w:tc>
          <w:tcPr>
            <w:tcW w:type="dxa" w:w="1218"/>
          </w:tcPr>
          <w:p>
            <w:pPr>
              <w:spacing w:after="40"/>
            </w:pPr>
            <w:r>
              <w:rPr>
                <w:sz w:val="16"/>
              </w:rPr>
            </w:r>
            <w:r>
              <w:rPr>
                <w:b w:val="0"/>
                <w:i w:val="0"/>
                <w:sz w:val="16"/>
              </w:rPr>
              <w:t>0.599904</w:t>
            </w:r>
          </w:p>
        </w:tc>
        <w:tc>
          <w:tcPr>
            <w:tcW w:type="dxa" w:w="1218"/>
          </w:tcPr>
          <w:p>
            <w:pPr>
              <w:spacing w:after="40"/>
            </w:pPr>
            <w:r>
              <w:rPr>
                <w:sz w:val="16"/>
              </w:rPr>
            </w:r>
            <w:r>
              <w:rPr>
                <w:b w:val="0"/>
                <w:i w:val="0"/>
                <w:sz w:val="16"/>
              </w:rPr>
              <w:t>20.81</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8.51e-08</w:t>
            </w:r>
          </w:p>
        </w:tc>
        <w:tc>
          <w:tcPr>
            <w:tcW w:type="dxa" w:w="1218"/>
            <w:shd w:val="clear" w:color="auto" w:fill="F5F7FA"/>
          </w:tcPr>
          <w:p>
            <w:pPr>
              <w:spacing w:after="40"/>
            </w:pPr>
            <w:r>
              <w:rPr>
                <w:sz w:val="16"/>
              </w:rPr>
            </w:r>
            <w:r>
              <w:rPr>
                <w:b w:val="0"/>
                <w:i w:val="0"/>
                <w:sz w:val="16"/>
              </w:rPr>
              <w:t>0.9902621372</w:t>
            </w:r>
          </w:p>
        </w:tc>
        <w:tc>
          <w:tcPr>
            <w:tcW w:type="dxa" w:w="1218"/>
            <w:shd w:val="clear" w:color="auto" w:fill="F5F7FA"/>
          </w:tcPr>
          <w:p>
            <w:pPr>
              <w:spacing w:after="40"/>
            </w:pPr>
            <w:r>
              <w:rPr>
                <w:sz w:val="16"/>
              </w:rPr>
            </w:r>
            <w:r>
              <w:rPr>
                <w:b w:val="0"/>
                <w:i w:val="0"/>
                <w:sz w:val="16"/>
              </w:rPr>
              <w:t>0.631456</w:t>
            </w:r>
          </w:p>
        </w:tc>
        <w:tc>
          <w:tcPr>
            <w:tcW w:type="dxa" w:w="1218"/>
            <w:shd w:val="clear" w:color="auto" w:fill="F5F7FA"/>
          </w:tcPr>
          <w:p>
            <w:pPr>
              <w:spacing w:after="40"/>
            </w:pPr>
            <w:r>
              <w:rPr>
                <w:sz w:val="16"/>
              </w:rPr>
            </w:r>
            <w:r>
              <w:rPr>
                <w:b w:val="0"/>
                <w:i w:val="0"/>
                <w:sz w:val="16"/>
              </w:rPr>
              <w:t>0.599904</w:t>
            </w:r>
          </w:p>
        </w:tc>
        <w:tc>
          <w:tcPr>
            <w:tcW w:type="dxa" w:w="1218"/>
            <w:shd w:val="clear" w:color="auto" w:fill="F5F7FA"/>
          </w:tcPr>
          <w:p>
            <w:pPr>
              <w:spacing w:after="40"/>
            </w:pPr>
            <w:r>
              <w:rPr>
                <w:sz w:val="16"/>
              </w:rPr>
            </w:r>
            <w:r>
              <w:rPr>
                <w:b w:val="0"/>
                <w:i w:val="0"/>
                <w:sz w:val="16"/>
              </w:rPr>
              <w:t>20.82</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9.54e-08</w:t>
            </w:r>
          </w:p>
        </w:tc>
        <w:tc>
          <w:tcPr>
            <w:tcW w:type="dxa" w:w="1218"/>
          </w:tcPr>
          <w:p>
            <w:pPr>
              <w:spacing w:after="40"/>
            </w:pPr>
            <w:r>
              <w:rPr>
                <w:sz w:val="16"/>
              </w:rPr>
            </w:r>
            <w:r>
              <w:rPr>
                <w:b w:val="0"/>
                <w:i w:val="0"/>
                <w:sz w:val="16"/>
              </w:rPr>
              <w:t>0.9918951764</w:t>
            </w:r>
          </w:p>
        </w:tc>
        <w:tc>
          <w:tcPr>
            <w:tcW w:type="dxa" w:w="1218"/>
          </w:tcPr>
          <w:p>
            <w:pPr>
              <w:spacing w:after="40"/>
            </w:pPr>
            <w:r>
              <w:rPr>
                <w:sz w:val="16"/>
              </w:rPr>
            </w:r>
            <w:r>
              <w:rPr>
                <w:b w:val="0"/>
                <w:i w:val="0"/>
                <w:sz w:val="16"/>
              </w:rPr>
              <w:t>0.592863</w:t>
            </w:r>
          </w:p>
        </w:tc>
        <w:tc>
          <w:tcPr>
            <w:tcW w:type="dxa" w:w="1218"/>
          </w:tcPr>
          <w:p>
            <w:pPr>
              <w:spacing w:after="40"/>
            </w:pPr>
            <w:r>
              <w:rPr>
                <w:sz w:val="16"/>
              </w:rPr>
            </w:r>
            <w:r>
              <w:rPr>
                <w:b w:val="0"/>
                <w:i w:val="0"/>
                <w:sz w:val="16"/>
              </w:rPr>
              <w:t>0.561663</w:t>
            </w:r>
          </w:p>
        </w:tc>
        <w:tc>
          <w:tcPr>
            <w:tcW w:type="dxa" w:w="1218"/>
          </w:tcPr>
          <w:p>
            <w:pPr>
              <w:spacing w:after="40"/>
            </w:pPr>
            <w:r>
              <w:rPr>
                <w:sz w:val="16"/>
              </w:rPr>
            </w:r>
            <w:r>
              <w:rPr>
                <w:b w:val="0"/>
                <w:i w:val="0"/>
                <w:sz w:val="16"/>
              </w:rPr>
              <w:t>32.81</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9.68e-08</w:t>
            </w:r>
          </w:p>
        </w:tc>
        <w:tc>
          <w:tcPr>
            <w:tcW w:type="dxa" w:w="1218"/>
            <w:shd w:val="clear" w:color="auto" w:fill="F5F7FA"/>
          </w:tcPr>
          <w:p>
            <w:pPr>
              <w:spacing w:after="40"/>
            </w:pPr>
            <w:r>
              <w:rPr>
                <w:sz w:val="16"/>
              </w:rPr>
            </w:r>
            <w:r>
              <w:rPr>
                <w:b w:val="0"/>
                <w:i w:val="0"/>
                <w:sz w:val="16"/>
              </w:rPr>
              <w:t>0.9918951764</w:t>
            </w:r>
          </w:p>
        </w:tc>
        <w:tc>
          <w:tcPr>
            <w:tcW w:type="dxa" w:w="1218"/>
            <w:shd w:val="clear" w:color="auto" w:fill="F5F7FA"/>
          </w:tcPr>
          <w:p>
            <w:pPr>
              <w:spacing w:after="40"/>
            </w:pPr>
            <w:r>
              <w:rPr>
                <w:sz w:val="16"/>
              </w:rPr>
            </w:r>
            <w:r>
              <w:rPr>
                <w:b w:val="0"/>
                <w:i w:val="0"/>
                <w:sz w:val="16"/>
              </w:rPr>
              <w:t>0.592863</w:t>
            </w:r>
          </w:p>
        </w:tc>
        <w:tc>
          <w:tcPr>
            <w:tcW w:type="dxa" w:w="1218"/>
            <w:shd w:val="clear" w:color="auto" w:fill="F5F7FA"/>
          </w:tcPr>
          <w:p>
            <w:pPr>
              <w:spacing w:after="40"/>
            </w:pPr>
            <w:r>
              <w:rPr>
                <w:sz w:val="16"/>
              </w:rPr>
            </w:r>
            <w:r>
              <w:rPr>
                <w:b w:val="0"/>
                <w:i w:val="0"/>
                <w:sz w:val="16"/>
              </w:rPr>
              <w:t>0.561665</w:t>
            </w:r>
          </w:p>
        </w:tc>
        <w:tc>
          <w:tcPr>
            <w:tcW w:type="dxa" w:w="1218"/>
            <w:shd w:val="clear" w:color="auto" w:fill="F5F7FA"/>
          </w:tcPr>
          <w:p>
            <w:pPr>
              <w:spacing w:after="40"/>
            </w:pPr>
            <w:r>
              <w:rPr>
                <w:sz w:val="16"/>
              </w:rPr>
            </w:r>
            <w:r>
              <w:rPr>
                <w:b w:val="0"/>
                <w:i w:val="0"/>
                <w:sz w:val="16"/>
              </w:rPr>
              <w:t>32.80</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9.91e-08</w:t>
            </w:r>
          </w:p>
        </w:tc>
        <w:tc>
          <w:tcPr>
            <w:tcW w:type="dxa" w:w="1218"/>
          </w:tcPr>
          <w:p>
            <w:pPr>
              <w:spacing w:after="40"/>
            </w:pPr>
            <w:r>
              <w:rPr>
                <w:sz w:val="16"/>
              </w:rPr>
            </w:r>
            <w:r>
              <w:rPr>
                <w:b w:val="0"/>
                <w:i w:val="0"/>
                <w:sz w:val="16"/>
              </w:rPr>
              <w:t>0.9950840479</w:t>
            </w:r>
          </w:p>
        </w:tc>
        <w:tc>
          <w:tcPr>
            <w:tcW w:type="dxa" w:w="1218"/>
          </w:tcPr>
          <w:p>
            <w:pPr>
              <w:spacing w:after="40"/>
            </w:pPr>
            <w:r>
              <w:rPr>
                <w:sz w:val="16"/>
              </w:rPr>
            </w:r>
            <w:r>
              <w:rPr>
                <w:b w:val="0"/>
                <w:i w:val="0"/>
                <w:sz w:val="16"/>
              </w:rPr>
              <w:t>0.000015</w:t>
            </w:r>
          </w:p>
        </w:tc>
        <w:tc>
          <w:tcPr>
            <w:tcW w:type="dxa" w:w="1218"/>
          </w:tcPr>
          <w:p>
            <w:pPr>
              <w:spacing w:after="40"/>
            </w:pPr>
            <w:r>
              <w:rPr>
                <w:sz w:val="16"/>
              </w:rPr>
            </w:r>
            <w:r>
              <w:rPr>
                <w:b w:val="0"/>
                <w:i w:val="0"/>
                <w:sz w:val="16"/>
              </w:rPr>
              <w:t>0.000013</w:t>
            </w:r>
          </w:p>
        </w:tc>
        <w:tc>
          <w:tcPr>
            <w:tcW w:type="dxa" w:w="1218"/>
          </w:tcPr>
          <w:p>
            <w:pPr>
              <w:spacing w:after="40"/>
            </w:pPr>
            <w:r>
              <w:rPr>
                <w:sz w:val="16"/>
              </w:rPr>
            </w:r>
            <w:r>
              <w:rPr>
                <w:b w:val="0"/>
                <w:i w:val="0"/>
                <w:sz w:val="16"/>
              </w:rPr>
              <w:t>33.57</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0.9950840539</w:t>
            </w:r>
          </w:p>
        </w:tc>
        <w:tc>
          <w:tcPr>
            <w:tcW w:type="dxa" w:w="1218"/>
            <w:shd w:val="clear" w:color="auto" w:fill="F5F7FA"/>
          </w:tcPr>
          <w:p>
            <w:pPr>
              <w:spacing w:after="40"/>
            </w:pPr>
            <w:r>
              <w:rPr>
                <w:sz w:val="16"/>
              </w:rPr>
            </w:r>
            <w:r>
              <w:rPr>
                <w:b w:val="0"/>
                <w:i w:val="0"/>
                <w:sz w:val="16"/>
              </w:rPr>
              <w:t>0.000161</w:t>
            </w:r>
          </w:p>
        </w:tc>
        <w:tc>
          <w:tcPr>
            <w:tcW w:type="dxa" w:w="1218"/>
            <w:shd w:val="clear" w:color="auto" w:fill="F5F7FA"/>
          </w:tcPr>
          <w:p>
            <w:pPr>
              <w:spacing w:after="40"/>
            </w:pPr>
            <w:r>
              <w:rPr>
                <w:sz w:val="16"/>
              </w:rPr>
            </w:r>
            <w:r>
              <w:rPr>
                <w:b w:val="0"/>
                <w:i w:val="0"/>
                <w:sz w:val="16"/>
              </w:rPr>
              <w:t>0.000143</w:t>
            </w:r>
          </w:p>
        </w:tc>
        <w:tc>
          <w:tcPr>
            <w:tcW w:type="dxa" w:w="1218"/>
            <w:shd w:val="clear" w:color="auto" w:fill="F5F7FA"/>
          </w:tcPr>
          <w:p>
            <w:pPr>
              <w:spacing w:after="40"/>
            </w:pPr>
            <w:r>
              <w:rPr>
                <w:sz w:val="16"/>
              </w:rPr>
            </w:r>
            <w:r>
              <w:rPr>
                <w:b w:val="0"/>
                <w:i w:val="0"/>
                <w:sz w:val="16"/>
              </w:rPr>
              <w:t>33.17</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9.08e-12</w:t>
            </w:r>
          </w:p>
        </w:tc>
        <w:tc>
          <w:tcPr>
            <w:tcW w:type="dxa" w:w="2436"/>
          </w:tcPr>
          <w:p>
            <w:pPr>
              <w:spacing w:after="40"/>
            </w:pPr>
            <w:r>
              <w:rPr>
                <w:sz w:val="18"/>
              </w:rPr>
            </w:r>
            <w:r>
              <w:rPr>
                <w:b w:val="0"/>
                <w:i w:val="0"/>
                <w:sz w:val="18"/>
              </w:rPr>
              <w:t>0.9999999999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4.77e-11</w:t>
            </w:r>
          </w:p>
        </w:tc>
        <w:tc>
          <w:tcPr>
            <w:tcW w:type="dxa" w:w="2436"/>
            <w:shd w:val="clear" w:color="auto" w:fill="F5F7FA"/>
          </w:tcPr>
          <w:p>
            <w:pPr>
              <w:spacing w:after="40"/>
            </w:pPr>
            <w:r>
              <w:rPr>
                <w:sz w:val="18"/>
              </w:rPr>
            </w:r>
            <w:r>
              <w:rPr>
                <w:b w:val="0"/>
                <w:i w:val="0"/>
                <w:sz w:val="18"/>
              </w:rPr>
              <w:t>0.9999999992</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-5.99e-09</w:t>
            </w:r>
          </w:p>
        </w:tc>
        <w:tc>
          <w:tcPr>
            <w:tcW w:type="dxa" w:w="2436"/>
            <w:shd w:val="clear" w:color="auto" w:fill="F5F7FA"/>
          </w:tcPr>
          <w:p>
            <w:pPr>
              <w:spacing w:after="40"/>
            </w:pPr>
            <w:r>
              <w:rPr>
                <w:sz w:val="18"/>
              </w:rPr>
            </w:r>
            <w:r>
              <w:rPr>
                <w:b w:val="0"/>
                <w:i w:val="0"/>
                <w:sz w:val="18"/>
              </w:rPr>
              <w:t>0.9999999588</w:t>
            </w:r>
          </w:p>
        </w:tc>
        <w:tc>
          <w:tcPr>
            <w:tcW w:type="dxa" w:w="2436"/>
            <w:shd w:val="clear" w:color="auto" w:fill="F5F7FA"/>
          </w:tcPr>
          <w:p>
            <w:pPr>
              <w:spacing w:after="40"/>
            </w:pPr>
            <w:r>
              <w:rPr>
                <w:sz w:val="18"/>
              </w:rPr>
            </w:r>
            <w:r>
              <w:rPr>
                <w:b w:val="0"/>
                <w:i w:val="0"/>
                <w:sz w:val="18"/>
              </w:rPr>
              <w:t>all 36 symmetry orientations evaluated</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Small sign changes of f_period,O−f_period,D between nearly equivalent solutions do not identify a branch crossing: O/D are initialization labels, not certified ordered/disordered branches. Symmetry-related ordered orientations also have equal bulk pressure away from a thermal transition.</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