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χ128 second-common-rate test: p=.30485</w:t>
      </w:r>
    </w:p>
    <w:p>
      <w:r>
        <w:rPr>
          <w:b w:val="0"/>
          <w:i w:val="0"/>
        </w:rPr>
        <w:t>16 October 2026 · A-1 continuation · one paired rate only.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running: one common upper rate. The user authorized exactly one additional common rate, warm-continued from the accepted .30480 pair. No χ192, additional rate or stability production is included.</w:t>
      </w:r>
    </w:p>
    <w:p>
      <w:pPr>
        <w:pStyle w:val="Heading2"/>
      </w:pPr>
      <w:r>
        <w:rPr>
          <w:b w:val="0"/>
          <w:i w:val="0"/>
        </w:rPr>
        <w:t>Prospective protocol</w:t>
      </w:r>
    </w:p>
    <w:p>
      <w:r>
        <w:rPr>
          <w:b w:val="0"/>
          <w:i w:val="0"/>
        </w:rPr>
        <w:t>Both accepted .30480 physical MPS states initialize the same zero-bias operator at .30485. The external gates are unchanged: primary and both compatibility residuals &lt;1e-7, canonical defects &lt;1e-9, positive period contraction with relative defect &lt;1e-8. The internal driving goal is 5e-8 for a safety margin, not a new external criterion. Maximum overall allocation is 60 minutes, with two single-thread CPU workers; 55 minutes are available to optimization and time is reserved for validation/comparison.</w:t>
      </w:r>
    </w:p>
    <w:p>
      <w:r>
        <w:rPr>
          <w:b w:val="0"/>
          <w:i w:val="0"/>
        </w:rPr>
        <w:t>A failed gate is not rounded into a pass. If the internal driving budget ends, the actual saved state is evaluated under the original external gates; a numerical state is accepted only if those complete checks pass. No pinning field or phase constraint forces a family to persist.</w:t>
      </w:r>
    </w:p>
    <w:p>
      <w:pPr>
        <w:pStyle w:val="Heading2"/>
      </w:pPr>
      <w:r>
        <w:rPr>
          <w:b w:val="0"/>
          <w:i w:val="0"/>
        </w:rPr>
        <w:t>Upper-rate numerical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  <w:tblHeader/>
        </w:trPr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History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Status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Primary residual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Right compatibility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Color L2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m_species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xi_chi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ordered-start history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disordered-start history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pending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History labels are not automatically phase identities. An observed change/merger or numerical failure is not a measured physical spinodal or a bound on a thermodynamic metastability-window width.</w:t>
      </w:r>
    </w:p>
    <w:p>
      <w:pPr>
        <w:pStyle w:val="Heading2"/>
      </w:pPr>
      <w:r>
        <w:rPr>
          <w:b w:val="0"/>
          <w:i w:val="0"/>
        </w:rPr>
        <w:t>Same-objective pressure estimates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cantSplit/>
          <w:tblHeader/>
        </w:trPr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p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Half-row O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Half-row D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Δf_half (O−D)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Period trial O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Period trial D</w:t>
            </w:r>
          </w:p>
        </w:tc>
        <w:tc>
          <w:tcPr>
            <w:tcW w:type="dxa" w:w="1392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</w:rPr>
              <w:t>Δf_period,trial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0.30480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0.992869885471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0.992871751622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-1.866150e-06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0.992869864438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0.992871518919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-1.654481e-06</w:t>
            </w:r>
          </w:p>
        </w:tc>
      </w:tr>
      <w:tr>
        <w:trPr>
          <w:cantSplit/>
        </w:trPr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0.30485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 accepted pair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The primary stationary objective is the Hermitian half-row functional. Full-period values are separate trial evaluations, not independently converged full-period branch optima. Do not mix the two columns into one pressure bracket. Last digits are numerical contraction outputs, not global error bars.</w:t>
      </w:r>
    </w:p>
    <w:p>
      <w:pPr>
        <w:pStyle w:val="Heading2"/>
      </w:pPr>
      <w:r>
        <w:rPr>
          <w:b w:val="0"/>
          <w:i w:val="0"/>
        </w:rPr>
        <w:t>Interpretation safeguards</w:t>
      </w:r>
    </w:p>
    <w:p>
      <w:r>
        <w:rPr>
          <w:b w:val="0"/>
          <w:i w:val="0"/>
        </w:rPr>
        <w:t>A candidate finite-χ pressure bracket requires two distinguishable, symmetry-inequivalent numerical families retained at BOTH endpoints and compared using the SAME objective. A sign change between nearly equivalent outputs after a history has merged is not such a branch crossing. A direct warm step that loses character does not locate a physical spinodal or prove how wide the retention window is.</w:t>
      </w:r>
    </w:p>
    <w:p>
      <w:r>
        <w:rPr>
          <w:b w:val="0"/>
          <w:i w:val="0"/>
        </w:rPr>
        <w:t>Even if endpoint data support a candidate finite-χ bracket, this allocation does not supply local perturbation stability, global optimality, a physical coexistence point, a thermodynamic order-parameter jump, or χ/size-extrapolated transition order. Those are separately gated. If ordering does not flip, only the ranking of these computed trial states at these rates is known; no theorem places the thermodynamic transition further up.</w:t>
      </w:r>
    </w:p>
    <w:p>
      <w:r>
        <w:rPr>
          <w:b w:val="0"/>
          <w:i w:val="0"/>
        </w:rPr>
        <w:t>Optimizer residuals are NOT free-energy-error bars. Comparing a pressure difference numerically to a residual does not yield a calibrated signal-to-error ratio. A lower trial functional among two states does not certify a global minimum, even at this χ. Finite-χ bias and optimizer systematics remain unbounded globally.</w:t>
      </w:r>
    </w:p>
    <w:p>
      <w:r>
        <w:rPr>
          <w:b/>
          <w:i w:val="0"/>
        </w:rPr>
        <w:t>Thermodynamic verdict remains unresolved.</w:t>
      </w:r>
      <w:r>
        <w:rPr>
          <w:b w:val="0"/>
          <w:i w:val="0"/>
        </w:rPr>
        <w:t xml:space="preserve"> The earlier six-rate data and original stopped pilot are preserved; the accepted same-point refinement is a separate numerical amendment. The Qur’anic/Lighthouse creator–creation interpretation and mathematical statements are not changed by these numerical outcomes.</w:t>
      </w:r>
    </w:p>
    <w:sectPr w:rsidR="00FC693F" w:rsidRPr="0006063C" w:rsidSect="00034616">
      <w:head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A-1 / χ128 SECOND COMMON 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χ128 second-common-rate test at p=.30485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