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A χ192 lower-edge campaign began at p=.30481, selected closer to .30480 than .304815. Disposable benchmarks measured 101.90 s/step for the ordered source and 99.23 s/step for the small-order source; the memory gate passed. The first ordered process ended before a checkpoint. Its recovery reached iteration 5 (ε=4.7849577×10⁻⁶; 354.871 optimizer seconds), then the same ordered history advanced to cumulative iteration 9 (ε=2.0541316×10⁻⁶; 656.516 optimizer seconds). The latest valid p=.30481 checkpoint has SHA-256 `3c8cca2f0980188fd485cf8c8465d08a45af41dc6df2a4909219820a62a08167`. That worker caught SIGTERM and stopped; the exact sender/cause is unknown. The same ordered preparation is resuming from iteration 9, with an atomic checkpoint each iteration; no accepted result is available, and the small-order history has not started. The original absolute 14-hour deadline is unchanged. On 18 October 2026, the user issued standing authorization for χ192 rates .30481, .304815, .30482, .30483, and .30484 only as needed, with both ordered and small-order histories at each tested rate, one heavy worker, and no per-rate confirmation. Stop when the sampled interval is resolved, the original deadline is reached, or a saved-state audit fails; if a pair cannot finish within budget, stop at a clean checkpoint and report. The current benchmark-based forecast exceeds the remaining deadline by about 34 minutes before the 10-minute safety allowance; actual runtime is uncertain. Partial residuals will be preserved but not called accepted branch retention unless all established gates pass. No χ256 or rates outside the authorized list. Provenance is in `chi192-p30481/ordered-attempt1-interruption.json`, `ordered-attempt2-interruption.json`, `ordered-attempt3-interruption.json`, and `ordered-attempt4-resume.json`. This campaign cannot restore the missing p=.304825 tensors.</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