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χ128 six-rate, two-preparation scan</w:t>
      </w:r>
    </w:p>
    <w:p>
      <w:r>
        <w:rPr>
          <w:b w:val="0"/>
          <w:i w:val="0"/>
        </w:rPr>
        <w:t>16 October 2026 · A-1 continuation, not a new Lighthouse clue.</w:t>
      </w:r>
    </w:p>
    <w:p>
      <w:r>
        <w:rPr>
          <w:b/>
          <w:i w:val="0"/>
        </w:rPr>
        <w:t>Campaign status:</w:t>
      </w:r>
      <w:r>
        <w:rPr>
          <w:b w:val="0"/>
          <w:i w:val="0"/>
        </w:rPr>
        <w:t xml:space="preserve"> running: recovered after session interruption. </w:t>
      </w:r>
      <w:r>
        <w:rPr>
          <w:b/>
          <w:i w:val="0"/>
        </w:rPr>
        <w:t>Accepted paired rates:</w:t>
      </w:r>
      <w:r>
        <w:rPr>
          <w:b w:val="0"/>
          <w:i w:val="0"/>
        </w:rPr>
        <w:t xml:space="preserve"> 4/6. </w:t>
      </w:r>
      <w:r>
        <w:rPr>
          <w:b/>
          <w:i w:val="0"/>
        </w:rPr>
        <w:t>New terminal preparation records:</w:t>
      </w:r>
      <w:r>
        <w:rPr>
          <w:b w:val="0"/>
          <w:i w:val="0"/>
        </w:rPr>
        <w:t xml:space="preserve"> 6/10; the two previously accepted p=.30486 states are reused, not reoptimized.</w:t>
      </w:r>
    </w:p>
    <w:p>
      <w:pPr>
        <w:pStyle w:val="Heading2"/>
      </w:pPr>
      <w:r>
        <w:rPr>
          <w:b w:val="0"/>
          <w:i w:val="0"/>
        </w:rPr>
        <w:t>Method, allocation and scope</w:t>
      </w:r>
    </w:p>
    <w:p>
      <w:r>
        <w:rPr>
          <w:b w:val="0"/>
          <w:i w:val="0"/>
        </w:rPr>
        <w:t xml:space="preserve">The grid is p={.3040,.3045,.3047,.30486,.3050,.3055}. Each target uses the same two immutable χ128 warm sources as the verified single-point experiment, with the same Hermitian half-row optimizer and 1e-7 residual tolerance. Thus this is a fixed-initial-state matrix, </w:t>
      </w:r>
      <w:r>
        <w:rPr>
          <w:b/>
          <w:i w:val="0"/>
        </w:rPr>
        <w:t>not a bidirectional continuation/hysteresis experiment</w:t>
      </w:r>
      <w:r>
        <w:rPr>
          <w:b w:val="0"/>
          <w:i w:val="0"/>
        </w:rPr>
        <w:t>. The old sources are initializers, not accepted phase observations. No χ96 production or automatic χ192 is scheduled.</w:t>
      </w:r>
    </w:p>
    <w:p>
      <w:r>
        <w:rPr>
          <w:b w:val="0"/>
          <w:i w:val="0"/>
        </w:rPr>
        <w:t>Authorized allocation: at most two single-thread CPU workers, 90 minutes per paired new rate, up to 7.5 hours overall. Real AL/AR/AC/C arrays are atomically checkpointed; FL/FR are omitted caches, recomputed on a restart. This serialization policy was checked against the unchanged optimizer. Compact review ZIPs omit the bulk scan states; the full repository preserves them.</w:t>
      </w:r>
    </w:p>
    <w:p>
      <w:r>
        <w:rPr>
          <w:b w:val="0"/>
          <w:i w:val="0"/>
        </w:rPr>
        <w:t>Session recovery is recorded separately when processes do not survive a pause. Real partial states, prior JSON segments and source hashes are retained; recomputable environments are rebuilt. Checkpoint timings are lower bounds for saved optimizer segments, not an exact total including lost work or downtime. The original overall campaign deadline is not silently reset.</w:t>
      </w:r>
    </w:p>
    <w:p>
      <w:pPr>
        <w:pStyle w:val="Heading2"/>
      </w:pPr>
      <w:r>
        <w:rPr>
          <w:b w:val="0"/>
          <w:i w:val="0"/>
        </w:rPr>
        <w:t>Results</w:t>
      </w:r>
    </w:p>
    <w:p>
      <w:r>
        <w:rPr>
          <w:b w:val="0"/>
          <w:i w:val="0"/>
        </w:rPr>
        <w:t>Preparation labels describe initial histories, not guaranteed physical phases. Only accepted rows enter observable comparisons. Missing values are not zero. Optimizer residuals and contraction defects are not global free-energy error bounds.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218"/>
        <w:gridCol w:w="1218"/>
        <w:gridCol w:w="1218"/>
        <w:gridCol w:w="1218"/>
        <w:gridCol w:w="1218"/>
        <w:gridCol w:w="1218"/>
        <w:gridCol w:w="1218"/>
        <w:gridCol w:w="1218"/>
      </w:tblGrid>
      <w:tr>
        <w:trPr>
          <w:cantSplit/>
          <w:tblHeader/>
        </w:trPr>
        <w:tc>
          <w:tcPr>
            <w:tcW w:type="dxa" w:w="1218"/>
            <w:shd w:val="clear" w:color="auto" w:fill="E8ECF2"/>
            <w:shd w:val="clear" w:color="auto" w:fill="E6EEF5"/>
          </w:tcPr>
          <w:p>
            <w:pPr>
              <w:spacing w:after="40"/>
            </w:pPr>
            <w:r>
              <w:rPr>
                <w:sz w:val="16"/>
              </w:rPr>
            </w:r>
            <w:r>
              <w:rPr>
                <w:b/>
                <w:i w:val="0"/>
                <w:sz w:val="16"/>
              </w:rPr>
              <w:t>p</w:t>
            </w:r>
          </w:p>
        </w:tc>
        <w:tc>
          <w:tcPr>
            <w:tcW w:type="dxa" w:w="1218"/>
            <w:shd w:val="clear" w:color="auto" w:fill="E8ECF2"/>
            <w:shd w:val="clear" w:color="auto" w:fill="E6EEF5"/>
          </w:tcPr>
          <w:p>
            <w:pPr>
              <w:spacing w:after="40"/>
            </w:pPr>
            <w:r>
              <w:rPr>
                <w:sz w:val="16"/>
              </w:rPr>
            </w:r>
            <w:r>
              <w:rPr>
                <w:b/>
                <w:i w:val="0"/>
                <w:sz w:val="16"/>
              </w:rPr>
              <w:t>Preparation</w:t>
            </w:r>
          </w:p>
        </w:tc>
        <w:tc>
          <w:tcPr>
            <w:tcW w:type="dxa" w:w="1218"/>
            <w:shd w:val="clear" w:color="auto" w:fill="E8ECF2"/>
            <w:shd w:val="clear" w:color="auto" w:fill="E6EEF5"/>
          </w:tcPr>
          <w:p>
            <w:pPr>
              <w:spacing w:after="40"/>
            </w:pPr>
            <w:r>
              <w:rPr>
                <w:sz w:val="16"/>
              </w:rPr>
            </w:r>
            <w:r>
              <w:rPr>
                <w:b/>
                <w:i w:val="0"/>
                <w:sz w:val="16"/>
              </w:rPr>
              <w:t>Status</w:t>
            </w:r>
          </w:p>
        </w:tc>
        <w:tc>
          <w:tcPr>
            <w:tcW w:type="dxa" w:w="1218"/>
            <w:shd w:val="clear" w:color="auto" w:fill="E8ECF2"/>
            <w:shd w:val="clear" w:color="auto" w:fill="E6EEF5"/>
          </w:tcPr>
          <w:p>
            <w:pPr>
              <w:spacing w:after="40"/>
            </w:pPr>
            <w:r>
              <w:rPr>
                <w:sz w:val="16"/>
              </w:rPr>
            </w:r>
            <w:r>
              <w:rPr>
                <w:b/>
                <w:i w:val="0"/>
                <w:sz w:val="16"/>
              </w:rPr>
              <w:t>Residual</w:t>
            </w:r>
          </w:p>
        </w:tc>
        <w:tc>
          <w:tcPr>
            <w:tcW w:type="dxa" w:w="1218"/>
            <w:shd w:val="clear" w:color="auto" w:fill="E8ECF2"/>
            <w:shd w:val="clear" w:color="auto" w:fill="E6EEF5"/>
          </w:tcPr>
          <w:p>
            <w:pPr>
              <w:spacing w:after="40"/>
            </w:pPr>
            <w:r>
              <w:rPr>
                <w:sz w:val="16"/>
              </w:rPr>
            </w:r>
            <w:r>
              <w:rPr>
                <w:b/>
                <w:i w:val="0"/>
                <w:sz w:val="16"/>
              </w:rPr>
              <w:t>f_period_Rayleigh</w:t>
            </w:r>
          </w:p>
        </w:tc>
        <w:tc>
          <w:tcPr>
            <w:tcW w:type="dxa" w:w="1218"/>
            <w:shd w:val="clear" w:color="auto" w:fill="E8ECF2"/>
            <w:shd w:val="clear" w:color="auto" w:fill="E6EEF5"/>
          </w:tcPr>
          <w:p>
            <w:pPr>
              <w:spacing w:after="40"/>
            </w:pPr>
            <w:r>
              <w:rPr>
                <w:sz w:val="16"/>
              </w:rPr>
            </w:r>
            <w:r>
              <w:rPr>
                <w:b/>
                <w:i w:val="0"/>
                <w:sz w:val="16"/>
              </w:rPr>
              <w:t>m_species</w:t>
            </w:r>
          </w:p>
        </w:tc>
        <w:tc>
          <w:tcPr>
            <w:tcW w:type="dxa" w:w="1218"/>
            <w:shd w:val="clear" w:color="auto" w:fill="E8ECF2"/>
            <w:shd w:val="clear" w:color="auto" w:fill="E6EEF5"/>
          </w:tcPr>
          <w:p>
            <w:pPr>
              <w:spacing w:after="40"/>
            </w:pPr>
            <w:r>
              <w:rPr>
                <w:sz w:val="16"/>
              </w:rPr>
            </w:r>
            <w:r>
              <w:rPr>
                <w:b/>
                <w:i w:val="0"/>
                <w:sz w:val="16"/>
              </w:rPr>
              <w:t>Color L2</w:t>
            </w:r>
          </w:p>
        </w:tc>
        <w:tc>
          <w:tcPr>
            <w:tcW w:type="dxa" w:w="1218"/>
            <w:shd w:val="clear" w:color="auto" w:fill="E8ECF2"/>
            <w:shd w:val="clear" w:color="auto" w:fill="E6EEF5"/>
          </w:tcPr>
          <w:p>
            <w:pPr>
              <w:spacing w:after="40"/>
            </w:pPr>
            <w:r>
              <w:rPr>
                <w:sz w:val="16"/>
              </w:rPr>
            </w:r>
            <w:r>
              <w:rPr>
                <w:b/>
                <w:i w:val="0"/>
                <w:sz w:val="16"/>
              </w:rPr>
              <w:t>xi_chi</w:t>
            </w:r>
          </w:p>
        </w:tc>
      </w:tr>
      <w:tr>
        <w:trPr>
          <w:cantSplit/>
        </w:trPr>
        <w:tc>
          <w:tcPr>
            <w:tcW w:type="dxa" w:w="1218"/>
          </w:tcPr>
          <w:p>
            <w:pPr>
              <w:spacing w:after="40"/>
            </w:pPr>
            <w:r>
              <w:rPr>
                <w:sz w:val="16"/>
              </w:rPr>
            </w:r>
            <w:r>
              <w:rPr>
                <w:b w:val="0"/>
                <w:i w:val="0"/>
                <w:sz w:val="16"/>
              </w:rPr>
              <w:t>0.3040000</w:t>
            </w:r>
          </w:p>
        </w:tc>
        <w:tc>
          <w:tcPr>
            <w:tcW w:type="dxa" w:w="1218"/>
          </w:tcPr>
          <w:p>
            <w:pPr>
              <w:spacing w:after="40"/>
            </w:pPr>
            <w:r>
              <w:rPr>
                <w:sz w:val="16"/>
              </w:rPr>
            </w:r>
            <w:r>
              <w:rPr>
                <w:b w:val="0"/>
                <w:i w:val="0"/>
                <w:sz w:val="16"/>
              </w:rPr>
              <w:t>ordered</w:t>
            </w:r>
          </w:p>
        </w:tc>
        <w:tc>
          <w:tcPr>
            <w:tcW w:type="dxa" w:w="1218"/>
          </w:tcPr>
          <w:p>
            <w:pPr>
              <w:spacing w:after="40"/>
            </w:pPr>
            <w:r>
              <w:rPr>
                <w:sz w:val="16"/>
              </w:rPr>
            </w:r>
            <w:r>
              <w:rPr>
                <w:b w:val="0"/>
                <w:i w:val="0"/>
                <w:sz w:val="16"/>
              </w:rPr>
              <w:t>pending</w:t>
            </w:r>
          </w:p>
        </w:tc>
        <w:tc>
          <w:tcPr>
            <w:tcW w:type="dxa" w:w="1218"/>
          </w:tcPr>
          <w:p>
            <w:pPr>
              <w:spacing w:after="40"/>
            </w:pPr>
            <w:r>
              <w:rPr>
                <w:sz w:val="16"/>
              </w:rPr>
            </w:r>
            <w:r>
              <w:rPr>
                <w:b w:val="0"/>
                <w:i w:val="0"/>
                <w:sz w:val="16"/>
              </w:rPr>
              <w:t>—</w:t>
            </w:r>
          </w:p>
        </w:tc>
        <w:tc>
          <w:tcPr>
            <w:tcW w:type="dxa" w:w="1218"/>
          </w:tcPr>
          <w:p>
            <w:pPr>
              <w:spacing w:after="40"/>
            </w:pPr>
            <w:r>
              <w:rPr>
                <w:sz w:val="16"/>
              </w:rPr>
            </w:r>
            <w:r>
              <w:rPr>
                <w:b w:val="0"/>
                <w:i w:val="0"/>
                <w:sz w:val="16"/>
              </w:rPr>
              <w:t>—</w:t>
            </w:r>
          </w:p>
        </w:tc>
        <w:tc>
          <w:tcPr>
            <w:tcW w:type="dxa" w:w="1218"/>
          </w:tcPr>
          <w:p>
            <w:pPr>
              <w:spacing w:after="40"/>
            </w:pPr>
            <w:r>
              <w:rPr>
                <w:sz w:val="16"/>
              </w:rPr>
            </w:r>
            <w:r>
              <w:rPr>
                <w:b w:val="0"/>
                <w:i w:val="0"/>
                <w:sz w:val="16"/>
              </w:rPr>
              <w:t>—</w:t>
            </w:r>
          </w:p>
        </w:tc>
        <w:tc>
          <w:tcPr>
            <w:tcW w:type="dxa" w:w="1218"/>
          </w:tcPr>
          <w:p>
            <w:pPr>
              <w:spacing w:after="40"/>
            </w:pPr>
            <w:r>
              <w:rPr>
                <w:sz w:val="16"/>
              </w:rPr>
            </w:r>
            <w:r>
              <w:rPr>
                <w:b w:val="0"/>
                <w:i w:val="0"/>
                <w:sz w:val="16"/>
              </w:rPr>
              <w:t>—</w:t>
            </w:r>
          </w:p>
        </w:tc>
        <w:tc>
          <w:tcPr>
            <w:tcW w:type="dxa" w:w="1218"/>
          </w:tcPr>
          <w:p>
            <w:pPr>
              <w:spacing w:after="40"/>
            </w:pPr>
            <w:r>
              <w:rPr>
                <w:sz w:val="16"/>
              </w:rPr>
            </w:r>
            <w:r>
              <w:rPr>
                <w:b w:val="0"/>
                <w:i w:val="0"/>
                <w:sz w:val="16"/>
              </w:rPr>
              <w:t>—</w:t>
            </w:r>
          </w:p>
        </w:tc>
      </w:tr>
      <w:tr>
        <w:trPr>
          <w:cantSplit/>
        </w:trPr>
        <w:tc>
          <w:tcPr>
            <w:tcW w:type="dxa" w:w="1218"/>
            <w:shd w:val="clear" w:color="auto" w:fill="F5F7FA"/>
          </w:tcPr>
          <w:p>
            <w:pPr>
              <w:spacing w:after="40"/>
            </w:pPr>
            <w:r>
              <w:rPr>
                <w:sz w:val="16"/>
              </w:rPr>
            </w:r>
            <w:r>
              <w:rPr>
                <w:b w:val="0"/>
                <w:i w:val="0"/>
                <w:sz w:val="16"/>
              </w:rPr>
              <w:t>0.3040000</w:t>
            </w:r>
          </w:p>
        </w:tc>
        <w:tc>
          <w:tcPr>
            <w:tcW w:type="dxa" w:w="1218"/>
            <w:shd w:val="clear" w:color="auto" w:fill="F5F7FA"/>
          </w:tcPr>
          <w:p>
            <w:pPr>
              <w:spacing w:after="40"/>
            </w:pPr>
            <w:r>
              <w:rPr>
                <w:sz w:val="16"/>
              </w:rPr>
            </w:r>
            <w:r>
              <w:rPr>
                <w:b w:val="0"/>
                <w:i w:val="0"/>
                <w:sz w:val="16"/>
              </w:rPr>
              <w:t>disordered</w:t>
            </w:r>
          </w:p>
        </w:tc>
        <w:tc>
          <w:tcPr>
            <w:tcW w:type="dxa" w:w="1218"/>
            <w:shd w:val="clear" w:color="auto" w:fill="F5F7FA"/>
          </w:tcPr>
          <w:p>
            <w:pPr>
              <w:spacing w:after="40"/>
            </w:pPr>
            <w:r>
              <w:rPr>
                <w:sz w:val="16"/>
              </w:rPr>
            </w:r>
            <w:r>
              <w:rPr>
                <w:b w:val="0"/>
                <w:i w:val="0"/>
                <w:sz w:val="16"/>
              </w:rPr>
              <w:t>pending</w:t>
            </w:r>
          </w:p>
        </w:tc>
        <w:tc>
          <w:tcPr>
            <w:tcW w:type="dxa" w:w="1218"/>
            <w:shd w:val="clear" w:color="auto" w:fill="F5F7FA"/>
          </w:tcPr>
          <w:p>
            <w:pPr>
              <w:spacing w:after="40"/>
            </w:pPr>
            <w:r>
              <w:rPr>
                <w:sz w:val="16"/>
              </w:rPr>
            </w:r>
            <w:r>
              <w:rPr>
                <w:b w:val="0"/>
                <w:i w:val="0"/>
                <w:sz w:val="16"/>
              </w:rPr>
              <w:t>—</w:t>
            </w:r>
          </w:p>
        </w:tc>
        <w:tc>
          <w:tcPr>
            <w:tcW w:type="dxa" w:w="1218"/>
            <w:shd w:val="clear" w:color="auto" w:fill="F5F7FA"/>
          </w:tcPr>
          <w:p>
            <w:pPr>
              <w:spacing w:after="40"/>
            </w:pPr>
            <w:r>
              <w:rPr>
                <w:sz w:val="16"/>
              </w:rPr>
            </w:r>
            <w:r>
              <w:rPr>
                <w:b w:val="0"/>
                <w:i w:val="0"/>
                <w:sz w:val="16"/>
              </w:rPr>
              <w:t>—</w:t>
            </w:r>
          </w:p>
        </w:tc>
        <w:tc>
          <w:tcPr>
            <w:tcW w:type="dxa" w:w="1218"/>
            <w:shd w:val="clear" w:color="auto" w:fill="F5F7FA"/>
          </w:tcPr>
          <w:p>
            <w:pPr>
              <w:spacing w:after="40"/>
            </w:pPr>
            <w:r>
              <w:rPr>
                <w:sz w:val="16"/>
              </w:rPr>
            </w:r>
            <w:r>
              <w:rPr>
                <w:b w:val="0"/>
                <w:i w:val="0"/>
                <w:sz w:val="16"/>
              </w:rPr>
              <w:t>—</w:t>
            </w:r>
          </w:p>
        </w:tc>
        <w:tc>
          <w:tcPr>
            <w:tcW w:type="dxa" w:w="1218"/>
            <w:shd w:val="clear" w:color="auto" w:fill="F5F7FA"/>
          </w:tcPr>
          <w:p>
            <w:pPr>
              <w:spacing w:after="40"/>
            </w:pPr>
            <w:r>
              <w:rPr>
                <w:sz w:val="16"/>
              </w:rPr>
            </w:r>
            <w:r>
              <w:rPr>
                <w:b w:val="0"/>
                <w:i w:val="0"/>
                <w:sz w:val="16"/>
              </w:rPr>
              <w:t>—</w:t>
            </w:r>
          </w:p>
        </w:tc>
        <w:tc>
          <w:tcPr>
            <w:tcW w:type="dxa" w:w="1218"/>
            <w:shd w:val="clear" w:color="auto" w:fill="F5F7FA"/>
          </w:tcPr>
          <w:p>
            <w:pPr>
              <w:spacing w:after="40"/>
            </w:pPr>
            <w:r>
              <w:rPr>
                <w:sz w:val="16"/>
              </w:rPr>
            </w:r>
            <w:r>
              <w:rPr>
                <w:b w:val="0"/>
                <w:i w:val="0"/>
                <w:sz w:val="16"/>
              </w:rPr>
              <w:t>—</w:t>
            </w:r>
          </w:p>
        </w:tc>
      </w:tr>
      <w:tr>
        <w:trPr>
          <w:cantSplit/>
        </w:trPr>
        <w:tc>
          <w:tcPr>
            <w:tcW w:type="dxa" w:w="1218"/>
          </w:tcPr>
          <w:p>
            <w:pPr>
              <w:spacing w:after="40"/>
            </w:pPr>
            <w:r>
              <w:rPr>
                <w:sz w:val="16"/>
              </w:rPr>
            </w:r>
            <w:r>
              <w:rPr>
                <w:b w:val="0"/>
                <w:i w:val="0"/>
                <w:sz w:val="16"/>
              </w:rPr>
              <w:t>0.3045000</w:t>
            </w:r>
          </w:p>
        </w:tc>
        <w:tc>
          <w:tcPr>
            <w:tcW w:type="dxa" w:w="1218"/>
          </w:tcPr>
          <w:p>
            <w:pPr>
              <w:spacing w:after="40"/>
            </w:pPr>
            <w:r>
              <w:rPr>
                <w:sz w:val="16"/>
              </w:rPr>
            </w:r>
            <w:r>
              <w:rPr>
                <w:b w:val="0"/>
                <w:i w:val="0"/>
                <w:sz w:val="16"/>
              </w:rPr>
              <w:t>ordered</w:t>
            </w:r>
          </w:p>
        </w:tc>
        <w:tc>
          <w:tcPr>
            <w:tcW w:type="dxa" w:w="1218"/>
          </w:tcPr>
          <w:p>
            <w:pPr>
              <w:spacing w:after="40"/>
            </w:pPr>
            <w:r>
              <w:rPr>
                <w:sz w:val="16"/>
              </w:rPr>
            </w:r>
            <w:r>
              <w:rPr>
                <w:b w:val="0"/>
                <w:i w:val="0"/>
                <w:sz w:val="16"/>
              </w:rPr>
              <w:t>accepted-finite-chi</w:t>
            </w:r>
          </w:p>
        </w:tc>
        <w:tc>
          <w:tcPr>
            <w:tcW w:type="dxa" w:w="1218"/>
          </w:tcPr>
          <w:p>
            <w:pPr>
              <w:spacing w:after="40"/>
            </w:pPr>
            <w:r>
              <w:rPr>
                <w:sz w:val="16"/>
              </w:rPr>
            </w:r>
            <w:r>
              <w:rPr>
                <w:b w:val="0"/>
                <w:i w:val="0"/>
                <w:sz w:val="16"/>
              </w:rPr>
              <w:t>9.54e-08</w:t>
            </w:r>
          </w:p>
        </w:tc>
        <w:tc>
          <w:tcPr>
            <w:tcW w:type="dxa" w:w="1218"/>
          </w:tcPr>
          <w:p>
            <w:pPr>
              <w:spacing w:after="40"/>
            </w:pPr>
            <w:r>
              <w:rPr>
                <w:sz w:val="16"/>
              </w:rPr>
            </w:r>
            <w:r>
              <w:rPr>
                <w:b w:val="0"/>
                <w:i w:val="0"/>
                <w:sz w:val="16"/>
              </w:rPr>
              <w:t>0.9918951764</w:t>
            </w:r>
          </w:p>
        </w:tc>
        <w:tc>
          <w:tcPr>
            <w:tcW w:type="dxa" w:w="1218"/>
          </w:tcPr>
          <w:p>
            <w:pPr>
              <w:spacing w:after="40"/>
            </w:pPr>
            <w:r>
              <w:rPr>
                <w:sz w:val="16"/>
              </w:rPr>
            </w:r>
            <w:r>
              <w:rPr>
                <w:b w:val="0"/>
                <w:i w:val="0"/>
                <w:sz w:val="16"/>
              </w:rPr>
              <w:t>0.592863</w:t>
            </w:r>
          </w:p>
        </w:tc>
        <w:tc>
          <w:tcPr>
            <w:tcW w:type="dxa" w:w="1218"/>
          </w:tcPr>
          <w:p>
            <w:pPr>
              <w:spacing w:after="40"/>
            </w:pPr>
            <w:r>
              <w:rPr>
                <w:sz w:val="16"/>
              </w:rPr>
            </w:r>
            <w:r>
              <w:rPr>
                <w:b w:val="0"/>
                <w:i w:val="0"/>
                <w:sz w:val="16"/>
              </w:rPr>
              <w:t>0.561663</w:t>
            </w:r>
          </w:p>
        </w:tc>
        <w:tc>
          <w:tcPr>
            <w:tcW w:type="dxa" w:w="1218"/>
          </w:tcPr>
          <w:p>
            <w:pPr>
              <w:spacing w:after="40"/>
            </w:pPr>
            <w:r>
              <w:rPr>
                <w:sz w:val="16"/>
              </w:rPr>
            </w:r>
            <w:r>
              <w:rPr>
                <w:b w:val="0"/>
                <w:i w:val="0"/>
                <w:sz w:val="16"/>
              </w:rPr>
              <w:t>32.81</w:t>
            </w:r>
          </w:p>
        </w:tc>
      </w:tr>
      <w:tr>
        <w:trPr>
          <w:cantSplit/>
        </w:trPr>
        <w:tc>
          <w:tcPr>
            <w:tcW w:type="dxa" w:w="1218"/>
            <w:shd w:val="clear" w:color="auto" w:fill="F5F7FA"/>
          </w:tcPr>
          <w:p>
            <w:pPr>
              <w:spacing w:after="40"/>
            </w:pPr>
            <w:r>
              <w:rPr>
                <w:sz w:val="16"/>
              </w:rPr>
            </w:r>
            <w:r>
              <w:rPr>
                <w:b w:val="0"/>
                <w:i w:val="0"/>
                <w:sz w:val="16"/>
              </w:rPr>
              <w:t>0.3045000</w:t>
            </w:r>
          </w:p>
        </w:tc>
        <w:tc>
          <w:tcPr>
            <w:tcW w:type="dxa" w:w="1218"/>
            <w:shd w:val="clear" w:color="auto" w:fill="F5F7FA"/>
          </w:tcPr>
          <w:p>
            <w:pPr>
              <w:spacing w:after="40"/>
            </w:pPr>
            <w:r>
              <w:rPr>
                <w:sz w:val="16"/>
              </w:rPr>
            </w:r>
            <w:r>
              <w:rPr>
                <w:b w:val="0"/>
                <w:i w:val="0"/>
                <w:sz w:val="16"/>
              </w:rPr>
              <w:t>disordered</w:t>
            </w:r>
          </w:p>
        </w:tc>
        <w:tc>
          <w:tcPr>
            <w:tcW w:type="dxa" w:w="1218"/>
            <w:shd w:val="clear" w:color="auto" w:fill="F5F7FA"/>
          </w:tcPr>
          <w:p>
            <w:pPr>
              <w:spacing w:after="40"/>
            </w:pPr>
            <w:r>
              <w:rPr>
                <w:sz w:val="16"/>
              </w:rPr>
            </w:r>
            <w:r>
              <w:rPr>
                <w:b w:val="0"/>
                <w:i w:val="0"/>
                <w:sz w:val="16"/>
              </w:rPr>
              <w:t>accepted-finite-chi</w:t>
            </w:r>
          </w:p>
        </w:tc>
        <w:tc>
          <w:tcPr>
            <w:tcW w:type="dxa" w:w="1218"/>
            <w:shd w:val="clear" w:color="auto" w:fill="F5F7FA"/>
          </w:tcPr>
          <w:p>
            <w:pPr>
              <w:spacing w:after="40"/>
            </w:pPr>
            <w:r>
              <w:rPr>
                <w:sz w:val="16"/>
              </w:rPr>
            </w:r>
            <w:r>
              <w:rPr>
                <w:b w:val="0"/>
                <w:i w:val="0"/>
                <w:sz w:val="16"/>
              </w:rPr>
              <w:t>9.68e-08</w:t>
            </w:r>
          </w:p>
        </w:tc>
        <w:tc>
          <w:tcPr>
            <w:tcW w:type="dxa" w:w="1218"/>
            <w:shd w:val="clear" w:color="auto" w:fill="F5F7FA"/>
          </w:tcPr>
          <w:p>
            <w:pPr>
              <w:spacing w:after="40"/>
            </w:pPr>
            <w:r>
              <w:rPr>
                <w:sz w:val="16"/>
              </w:rPr>
            </w:r>
            <w:r>
              <w:rPr>
                <w:b w:val="0"/>
                <w:i w:val="0"/>
                <w:sz w:val="16"/>
              </w:rPr>
              <w:t>0.9918951764</w:t>
            </w:r>
          </w:p>
        </w:tc>
        <w:tc>
          <w:tcPr>
            <w:tcW w:type="dxa" w:w="1218"/>
            <w:shd w:val="clear" w:color="auto" w:fill="F5F7FA"/>
          </w:tcPr>
          <w:p>
            <w:pPr>
              <w:spacing w:after="40"/>
            </w:pPr>
            <w:r>
              <w:rPr>
                <w:sz w:val="16"/>
              </w:rPr>
            </w:r>
            <w:r>
              <w:rPr>
                <w:b w:val="0"/>
                <w:i w:val="0"/>
                <w:sz w:val="16"/>
              </w:rPr>
              <w:t>0.592863</w:t>
            </w:r>
          </w:p>
        </w:tc>
        <w:tc>
          <w:tcPr>
            <w:tcW w:type="dxa" w:w="1218"/>
            <w:shd w:val="clear" w:color="auto" w:fill="F5F7FA"/>
          </w:tcPr>
          <w:p>
            <w:pPr>
              <w:spacing w:after="40"/>
            </w:pPr>
            <w:r>
              <w:rPr>
                <w:sz w:val="16"/>
              </w:rPr>
            </w:r>
            <w:r>
              <w:rPr>
                <w:b w:val="0"/>
                <w:i w:val="0"/>
                <w:sz w:val="16"/>
              </w:rPr>
              <w:t>0.561665</w:t>
            </w:r>
          </w:p>
        </w:tc>
        <w:tc>
          <w:tcPr>
            <w:tcW w:type="dxa" w:w="1218"/>
            <w:shd w:val="clear" w:color="auto" w:fill="F5F7FA"/>
          </w:tcPr>
          <w:p>
            <w:pPr>
              <w:spacing w:after="40"/>
            </w:pPr>
            <w:r>
              <w:rPr>
                <w:sz w:val="16"/>
              </w:rPr>
            </w:r>
            <w:r>
              <w:rPr>
                <w:b w:val="0"/>
                <w:i w:val="0"/>
                <w:sz w:val="16"/>
              </w:rPr>
              <w:t>32.80</w:t>
            </w:r>
          </w:p>
        </w:tc>
      </w:tr>
      <w:tr>
        <w:trPr>
          <w:cantSplit/>
        </w:trPr>
        <w:tc>
          <w:tcPr>
            <w:tcW w:type="dxa" w:w="1218"/>
          </w:tcPr>
          <w:p>
            <w:pPr>
              <w:spacing w:after="40"/>
            </w:pPr>
            <w:r>
              <w:rPr>
                <w:sz w:val="16"/>
              </w:rPr>
            </w:r>
            <w:r>
              <w:rPr>
                <w:b w:val="0"/>
                <w:i w:val="0"/>
                <w:sz w:val="16"/>
              </w:rPr>
              <w:t>0.3047000</w:t>
            </w:r>
          </w:p>
        </w:tc>
        <w:tc>
          <w:tcPr>
            <w:tcW w:type="dxa" w:w="1218"/>
          </w:tcPr>
          <w:p>
            <w:pPr>
              <w:spacing w:after="40"/>
            </w:pPr>
            <w:r>
              <w:rPr>
                <w:sz w:val="16"/>
              </w:rPr>
            </w:r>
            <w:r>
              <w:rPr>
                <w:b w:val="0"/>
                <w:i w:val="0"/>
                <w:sz w:val="16"/>
              </w:rPr>
              <w:t>ordered</w:t>
            </w:r>
          </w:p>
        </w:tc>
        <w:tc>
          <w:tcPr>
            <w:tcW w:type="dxa" w:w="1218"/>
          </w:tcPr>
          <w:p>
            <w:pPr>
              <w:spacing w:after="40"/>
            </w:pPr>
            <w:r>
              <w:rPr>
                <w:sz w:val="16"/>
              </w:rPr>
            </w:r>
            <w:r>
              <w:rPr>
                <w:b w:val="0"/>
                <w:i w:val="0"/>
                <w:sz w:val="16"/>
              </w:rPr>
              <w:t>accepted-finite-chi</w:t>
            </w:r>
          </w:p>
        </w:tc>
        <w:tc>
          <w:tcPr>
            <w:tcW w:type="dxa" w:w="1218"/>
          </w:tcPr>
          <w:p>
            <w:pPr>
              <w:spacing w:after="40"/>
            </w:pPr>
            <w:r>
              <w:rPr>
                <w:sz w:val="16"/>
              </w:rPr>
            </w:r>
            <w:r>
              <w:rPr>
                <w:b w:val="0"/>
                <w:i w:val="0"/>
                <w:sz w:val="16"/>
              </w:rPr>
              <w:t>9.89e-08</w:t>
            </w:r>
          </w:p>
        </w:tc>
        <w:tc>
          <w:tcPr>
            <w:tcW w:type="dxa" w:w="1218"/>
          </w:tcPr>
          <w:p>
            <w:pPr>
              <w:spacing w:after="40"/>
            </w:pPr>
            <w:r>
              <w:rPr>
                <w:sz w:val="16"/>
              </w:rPr>
            </w:r>
            <w:r>
              <w:rPr>
                <w:b w:val="0"/>
                <w:i w:val="0"/>
                <w:sz w:val="16"/>
              </w:rPr>
              <w:t>0.9925456753</w:t>
            </w:r>
          </w:p>
        </w:tc>
        <w:tc>
          <w:tcPr>
            <w:tcW w:type="dxa" w:w="1218"/>
          </w:tcPr>
          <w:p>
            <w:pPr>
              <w:spacing w:after="40"/>
            </w:pPr>
            <w:r>
              <w:rPr>
                <w:sz w:val="16"/>
              </w:rPr>
            </w:r>
            <w:r>
              <w:rPr>
                <w:b w:val="0"/>
                <w:i w:val="0"/>
                <w:sz w:val="16"/>
              </w:rPr>
              <w:t>0.558892</w:t>
            </w:r>
          </w:p>
        </w:tc>
        <w:tc>
          <w:tcPr>
            <w:tcW w:type="dxa" w:w="1218"/>
          </w:tcPr>
          <w:p>
            <w:pPr>
              <w:spacing w:after="40"/>
            </w:pPr>
            <w:r>
              <w:rPr>
                <w:sz w:val="16"/>
              </w:rPr>
            </w:r>
            <w:r>
              <w:rPr>
                <w:b w:val="0"/>
                <w:i w:val="0"/>
                <w:sz w:val="16"/>
              </w:rPr>
              <w:t>0.528373</w:t>
            </w:r>
          </w:p>
        </w:tc>
        <w:tc>
          <w:tcPr>
            <w:tcW w:type="dxa" w:w="1218"/>
          </w:tcPr>
          <w:p>
            <w:pPr>
              <w:spacing w:after="40"/>
            </w:pPr>
            <w:r>
              <w:rPr>
                <w:sz w:val="16"/>
              </w:rPr>
            </w:r>
            <w:r>
              <w:rPr>
                <w:b w:val="0"/>
                <w:i w:val="0"/>
                <w:sz w:val="16"/>
              </w:rPr>
              <w:t>48.19</w:t>
            </w:r>
          </w:p>
        </w:tc>
      </w:tr>
      <w:tr>
        <w:trPr>
          <w:cantSplit/>
        </w:trPr>
        <w:tc>
          <w:tcPr>
            <w:tcW w:type="dxa" w:w="1218"/>
            <w:shd w:val="clear" w:color="auto" w:fill="F5F7FA"/>
          </w:tcPr>
          <w:p>
            <w:pPr>
              <w:spacing w:after="40"/>
            </w:pPr>
            <w:r>
              <w:rPr>
                <w:sz w:val="16"/>
              </w:rPr>
            </w:r>
            <w:r>
              <w:rPr>
                <w:b w:val="0"/>
                <w:i w:val="0"/>
                <w:sz w:val="16"/>
              </w:rPr>
              <w:t>0.3047000</w:t>
            </w:r>
          </w:p>
        </w:tc>
        <w:tc>
          <w:tcPr>
            <w:tcW w:type="dxa" w:w="1218"/>
            <w:shd w:val="clear" w:color="auto" w:fill="F5F7FA"/>
          </w:tcPr>
          <w:p>
            <w:pPr>
              <w:spacing w:after="40"/>
            </w:pPr>
            <w:r>
              <w:rPr>
                <w:sz w:val="16"/>
              </w:rPr>
            </w:r>
            <w:r>
              <w:rPr>
                <w:b w:val="0"/>
                <w:i w:val="0"/>
                <w:sz w:val="16"/>
              </w:rPr>
              <w:t>disordered</w:t>
            </w:r>
          </w:p>
        </w:tc>
        <w:tc>
          <w:tcPr>
            <w:tcW w:type="dxa" w:w="1218"/>
            <w:shd w:val="clear" w:color="auto" w:fill="F5F7FA"/>
          </w:tcPr>
          <w:p>
            <w:pPr>
              <w:spacing w:after="40"/>
            </w:pPr>
            <w:r>
              <w:rPr>
                <w:sz w:val="16"/>
              </w:rPr>
            </w:r>
            <w:r>
              <w:rPr>
                <w:b w:val="0"/>
                <w:i w:val="0"/>
                <w:sz w:val="16"/>
              </w:rPr>
              <w:t>accepted-finite-chi</w:t>
            </w:r>
          </w:p>
        </w:tc>
        <w:tc>
          <w:tcPr>
            <w:tcW w:type="dxa" w:w="1218"/>
            <w:shd w:val="clear" w:color="auto" w:fill="F5F7FA"/>
          </w:tcPr>
          <w:p>
            <w:pPr>
              <w:spacing w:after="40"/>
            </w:pPr>
            <w:r>
              <w:rPr>
                <w:sz w:val="16"/>
              </w:rPr>
            </w:r>
            <w:r>
              <w:rPr>
                <w:b w:val="0"/>
                <w:i w:val="0"/>
                <w:sz w:val="16"/>
              </w:rPr>
              <w:t>9.88e-08</w:t>
            </w:r>
          </w:p>
        </w:tc>
        <w:tc>
          <w:tcPr>
            <w:tcW w:type="dxa" w:w="1218"/>
            <w:shd w:val="clear" w:color="auto" w:fill="F5F7FA"/>
          </w:tcPr>
          <w:p>
            <w:pPr>
              <w:spacing w:after="40"/>
            </w:pPr>
            <w:r>
              <w:rPr>
                <w:sz w:val="16"/>
              </w:rPr>
            </w:r>
            <w:r>
              <w:rPr>
                <w:b w:val="0"/>
                <w:i w:val="0"/>
                <w:sz w:val="16"/>
              </w:rPr>
              <w:t>0.9925456753</w:t>
            </w:r>
          </w:p>
        </w:tc>
        <w:tc>
          <w:tcPr>
            <w:tcW w:type="dxa" w:w="1218"/>
            <w:shd w:val="clear" w:color="auto" w:fill="F5F7FA"/>
          </w:tcPr>
          <w:p>
            <w:pPr>
              <w:spacing w:after="40"/>
            </w:pPr>
            <w:r>
              <w:rPr>
                <w:sz w:val="16"/>
              </w:rPr>
            </w:r>
            <w:r>
              <w:rPr>
                <w:b w:val="0"/>
                <w:i w:val="0"/>
                <w:sz w:val="16"/>
              </w:rPr>
              <w:t>0.558909</w:t>
            </w:r>
          </w:p>
        </w:tc>
        <w:tc>
          <w:tcPr>
            <w:tcW w:type="dxa" w:w="1218"/>
            <w:shd w:val="clear" w:color="auto" w:fill="F5F7FA"/>
          </w:tcPr>
          <w:p>
            <w:pPr>
              <w:spacing w:after="40"/>
            </w:pPr>
            <w:r>
              <w:rPr>
                <w:sz w:val="16"/>
              </w:rPr>
            </w:r>
            <w:r>
              <w:rPr>
                <w:b w:val="0"/>
                <w:i w:val="0"/>
                <w:sz w:val="16"/>
              </w:rPr>
              <w:t>0.528386</w:t>
            </w:r>
          </w:p>
        </w:tc>
        <w:tc>
          <w:tcPr>
            <w:tcW w:type="dxa" w:w="1218"/>
            <w:shd w:val="clear" w:color="auto" w:fill="F5F7FA"/>
          </w:tcPr>
          <w:p>
            <w:pPr>
              <w:spacing w:after="40"/>
            </w:pPr>
            <w:r>
              <w:rPr>
                <w:sz w:val="16"/>
              </w:rPr>
            </w:r>
            <w:r>
              <w:rPr>
                <w:b w:val="0"/>
                <w:i w:val="0"/>
                <w:sz w:val="16"/>
              </w:rPr>
              <w:t>48.19</w:t>
            </w:r>
          </w:p>
        </w:tc>
      </w:tr>
      <w:tr>
        <w:trPr>
          <w:cantSplit/>
        </w:trPr>
        <w:tc>
          <w:tcPr>
            <w:tcW w:type="dxa" w:w="1218"/>
          </w:tcPr>
          <w:p>
            <w:pPr>
              <w:spacing w:after="40"/>
            </w:pPr>
            <w:r>
              <w:rPr>
                <w:sz w:val="16"/>
              </w:rPr>
            </w:r>
            <w:r>
              <w:rPr>
                <w:b w:val="0"/>
                <w:i w:val="0"/>
                <w:sz w:val="16"/>
              </w:rPr>
              <w:t>0.3048600</w:t>
            </w:r>
          </w:p>
        </w:tc>
        <w:tc>
          <w:tcPr>
            <w:tcW w:type="dxa" w:w="1218"/>
          </w:tcPr>
          <w:p>
            <w:pPr>
              <w:spacing w:after="40"/>
            </w:pPr>
            <w:r>
              <w:rPr>
                <w:sz w:val="16"/>
              </w:rPr>
            </w:r>
            <w:r>
              <w:rPr>
                <w:b w:val="0"/>
                <w:i w:val="0"/>
                <w:sz w:val="16"/>
              </w:rPr>
              <w:t>ordered</w:t>
            </w:r>
          </w:p>
        </w:tc>
        <w:tc>
          <w:tcPr>
            <w:tcW w:type="dxa" w:w="1218"/>
          </w:tcPr>
          <w:p>
            <w:pPr>
              <w:spacing w:after="40"/>
            </w:pPr>
            <w:r>
              <w:rPr>
                <w:sz w:val="16"/>
              </w:rPr>
            </w:r>
            <w:r>
              <w:rPr>
                <w:b w:val="0"/>
                <w:i w:val="0"/>
                <w:sz w:val="16"/>
              </w:rPr>
              <w:t>accepted-stationary-at-finite-chi</w:t>
            </w:r>
          </w:p>
        </w:tc>
        <w:tc>
          <w:tcPr>
            <w:tcW w:type="dxa" w:w="1218"/>
          </w:tcPr>
          <w:p>
            <w:pPr>
              <w:spacing w:after="40"/>
            </w:pPr>
            <w:r>
              <w:rPr>
                <w:sz w:val="16"/>
              </w:rPr>
            </w:r>
            <w:r>
              <w:rPr>
                <w:b w:val="0"/>
                <w:i w:val="0"/>
                <w:sz w:val="16"/>
              </w:rPr>
              <w:t>9.99e-08</w:t>
            </w:r>
          </w:p>
        </w:tc>
        <w:tc>
          <w:tcPr>
            <w:tcW w:type="dxa" w:w="1218"/>
          </w:tcPr>
          <w:p>
            <w:pPr>
              <w:spacing w:after="40"/>
            </w:pPr>
            <w:r>
              <w:rPr>
                <w:sz w:val="16"/>
              </w:rPr>
            </w:r>
            <w:r>
              <w:rPr>
                <w:b w:val="0"/>
                <w:i w:val="0"/>
                <w:sz w:val="16"/>
              </w:rPr>
              <w:t>0.9930620839</w:t>
            </w:r>
          </w:p>
        </w:tc>
        <w:tc>
          <w:tcPr>
            <w:tcW w:type="dxa" w:w="1218"/>
          </w:tcPr>
          <w:p>
            <w:pPr>
              <w:spacing w:after="40"/>
            </w:pPr>
            <w:r>
              <w:rPr>
                <w:sz w:val="16"/>
              </w:rPr>
            </w:r>
            <w:r>
              <w:rPr>
                <w:b w:val="0"/>
                <w:i w:val="0"/>
                <w:sz w:val="16"/>
              </w:rPr>
              <w:t>0.000284</w:t>
            </w:r>
          </w:p>
        </w:tc>
        <w:tc>
          <w:tcPr>
            <w:tcW w:type="dxa" w:w="1218"/>
          </w:tcPr>
          <w:p>
            <w:pPr>
              <w:spacing w:after="40"/>
            </w:pPr>
            <w:r>
              <w:rPr>
                <w:sz w:val="16"/>
              </w:rPr>
            </w:r>
            <w:r>
              <w:rPr>
                <w:b w:val="0"/>
                <w:i w:val="0"/>
                <w:sz w:val="16"/>
              </w:rPr>
              <w:t>0.000448</w:t>
            </w:r>
          </w:p>
        </w:tc>
        <w:tc>
          <w:tcPr>
            <w:tcW w:type="dxa" w:w="1218"/>
          </w:tcPr>
          <w:p>
            <w:pPr>
              <w:spacing w:after="40"/>
            </w:pPr>
            <w:r>
              <w:rPr>
                <w:sz w:val="16"/>
              </w:rPr>
            </w:r>
            <w:r>
              <w:rPr>
                <w:b w:val="0"/>
                <w:i w:val="0"/>
                <w:sz w:val="16"/>
              </w:rPr>
              <w:t>59.56</w:t>
            </w:r>
          </w:p>
        </w:tc>
      </w:tr>
      <w:tr>
        <w:trPr>
          <w:cantSplit/>
        </w:trPr>
        <w:tc>
          <w:tcPr>
            <w:tcW w:type="dxa" w:w="1218"/>
            <w:shd w:val="clear" w:color="auto" w:fill="F5F7FA"/>
          </w:tcPr>
          <w:p>
            <w:pPr>
              <w:spacing w:after="40"/>
            </w:pPr>
            <w:r>
              <w:rPr>
                <w:sz w:val="16"/>
              </w:rPr>
            </w:r>
            <w:r>
              <w:rPr>
                <w:b w:val="0"/>
                <w:i w:val="0"/>
                <w:sz w:val="16"/>
              </w:rPr>
              <w:t>0.3048600</w:t>
            </w:r>
          </w:p>
        </w:tc>
        <w:tc>
          <w:tcPr>
            <w:tcW w:type="dxa" w:w="1218"/>
            <w:shd w:val="clear" w:color="auto" w:fill="F5F7FA"/>
          </w:tcPr>
          <w:p>
            <w:pPr>
              <w:spacing w:after="40"/>
            </w:pPr>
            <w:r>
              <w:rPr>
                <w:sz w:val="16"/>
              </w:rPr>
            </w:r>
            <w:r>
              <w:rPr>
                <w:b w:val="0"/>
                <w:i w:val="0"/>
                <w:sz w:val="16"/>
              </w:rPr>
              <w:t>disordered</w:t>
            </w:r>
          </w:p>
        </w:tc>
        <w:tc>
          <w:tcPr>
            <w:tcW w:type="dxa" w:w="1218"/>
            <w:shd w:val="clear" w:color="auto" w:fill="F5F7FA"/>
          </w:tcPr>
          <w:p>
            <w:pPr>
              <w:spacing w:after="40"/>
            </w:pPr>
            <w:r>
              <w:rPr>
                <w:sz w:val="16"/>
              </w:rPr>
            </w:r>
            <w:r>
              <w:rPr>
                <w:b w:val="0"/>
                <w:i w:val="0"/>
                <w:sz w:val="16"/>
              </w:rPr>
              <w:t>accepted-stationary-at-finite-chi</w:t>
            </w:r>
          </w:p>
        </w:tc>
        <w:tc>
          <w:tcPr>
            <w:tcW w:type="dxa" w:w="1218"/>
            <w:shd w:val="clear" w:color="auto" w:fill="F5F7FA"/>
          </w:tcPr>
          <w:p>
            <w:pPr>
              <w:spacing w:after="40"/>
            </w:pPr>
            <w:r>
              <w:rPr>
                <w:sz w:val="16"/>
              </w:rPr>
            </w:r>
            <w:r>
              <w:rPr>
                <w:b w:val="0"/>
                <w:i w:val="0"/>
                <w:sz w:val="16"/>
              </w:rPr>
              <w:t>9.57e-08</w:t>
            </w:r>
          </w:p>
        </w:tc>
        <w:tc>
          <w:tcPr>
            <w:tcW w:type="dxa" w:w="1218"/>
            <w:shd w:val="clear" w:color="auto" w:fill="F5F7FA"/>
          </w:tcPr>
          <w:p>
            <w:pPr>
              <w:spacing w:after="40"/>
            </w:pPr>
            <w:r>
              <w:rPr>
                <w:sz w:val="16"/>
              </w:rPr>
            </w:r>
            <w:r>
              <w:rPr>
                <w:b w:val="0"/>
                <w:i w:val="0"/>
                <w:sz w:val="16"/>
              </w:rPr>
              <w:t>0.9930620802</w:t>
            </w:r>
          </w:p>
        </w:tc>
        <w:tc>
          <w:tcPr>
            <w:tcW w:type="dxa" w:w="1218"/>
            <w:shd w:val="clear" w:color="auto" w:fill="F5F7FA"/>
          </w:tcPr>
          <w:p>
            <w:pPr>
              <w:spacing w:after="40"/>
            </w:pPr>
            <w:r>
              <w:rPr>
                <w:sz w:val="16"/>
              </w:rPr>
            </w:r>
            <w:r>
              <w:rPr>
                <w:b w:val="0"/>
                <w:i w:val="0"/>
                <w:sz w:val="16"/>
              </w:rPr>
              <w:t>0.003909</w:t>
            </w:r>
          </w:p>
        </w:tc>
        <w:tc>
          <w:tcPr>
            <w:tcW w:type="dxa" w:w="1218"/>
            <w:shd w:val="clear" w:color="auto" w:fill="F5F7FA"/>
          </w:tcPr>
          <w:p>
            <w:pPr>
              <w:spacing w:after="40"/>
            </w:pPr>
            <w:r>
              <w:rPr>
                <w:sz w:val="16"/>
              </w:rPr>
            </w:r>
            <w:r>
              <w:rPr>
                <w:b w:val="0"/>
                <w:i w:val="0"/>
                <w:sz w:val="16"/>
              </w:rPr>
              <w:t>0.003719</w:t>
            </w:r>
          </w:p>
        </w:tc>
        <w:tc>
          <w:tcPr>
            <w:tcW w:type="dxa" w:w="1218"/>
            <w:shd w:val="clear" w:color="auto" w:fill="F5F7FA"/>
          </w:tcPr>
          <w:p>
            <w:pPr>
              <w:spacing w:after="40"/>
            </w:pPr>
            <w:r>
              <w:rPr>
                <w:sz w:val="16"/>
              </w:rPr>
            </w:r>
            <w:r>
              <w:rPr>
                <w:b w:val="0"/>
                <w:i w:val="0"/>
                <w:sz w:val="16"/>
              </w:rPr>
              <w:t>62.49</w:t>
            </w:r>
          </w:p>
        </w:tc>
      </w:tr>
      <w:tr>
        <w:trPr>
          <w:cantSplit/>
        </w:trPr>
        <w:tc>
          <w:tcPr>
            <w:tcW w:type="dxa" w:w="1218"/>
          </w:tcPr>
          <w:p>
            <w:pPr>
              <w:spacing w:after="40"/>
            </w:pPr>
            <w:r>
              <w:rPr>
                <w:sz w:val="16"/>
              </w:rPr>
            </w:r>
            <w:r>
              <w:rPr>
                <w:b w:val="0"/>
                <w:i w:val="0"/>
                <w:sz w:val="16"/>
              </w:rPr>
              <w:t>0.3050000</w:t>
            </w:r>
          </w:p>
        </w:tc>
        <w:tc>
          <w:tcPr>
            <w:tcW w:type="dxa" w:w="1218"/>
          </w:tcPr>
          <w:p>
            <w:pPr>
              <w:spacing w:after="40"/>
            </w:pPr>
            <w:r>
              <w:rPr>
                <w:sz w:val="16"/>
              </w:rPr>
            </w:r>
            <w:r>
              <w:rPr>
                <w:b w:val="0"/>
                <w:i w:val="0"/>
                <w:sz w:val="16"/>
              </w:rPr>
              <w:t>ordered</w:t>
            </w:r>
          </w:p>
        </w:tc>
        <w:tc>
          <w:tcPr>
            <w:tcW w:type="dxa" w:w="1218"/>
          </w:tcPr>
          <w:p>
            <w:pPr>
              <w:spacing w:after="40"/>
            </w:pPr>
            <w:r>
              <w:rPr>
                <w:sz w:val="16"/>
              </w:rPr>
            </w:r>
            <w:r>
              <w:rPr>
                <w:b w:val="0"/>
                <w:i w:val="0"/>
                <w:sz w:val="16"/>
              </w:rPr>
              <w:t>accepted-finite-chi</w:t>
            </w:r>
          </w:p>
        </w:tc>
        <w:tc>
          <w:tcPr>
            <w:tcW w:type="dxa" w:w="1218"/>
          </w:tcPr>
          <w:p>
            <w:pPr>
              <w:spacing w:after="40"/>
            </w:pPr>
            <w:r>
              <w:rPr>
                <w:sz w:val="16"/>
              </w:rPr>
            </w:r>
            <w:r>
              <w:rPr>
                <w:b w:val="0"/>
                <w:i w:val="0"/>
                <w:sz w:val="16"/>
              </w:rPr>
              <w:t>9.92e-08</w:t>
            </w:r>
          </w:p>
        </w:tc>
        <w:tc>
          <w:tcPr>
            <w:tcW w:type="dxa" w:w="1218"/>
          </w:tcPr>
          <w:p>
            <w:pPr>
              <w:spacing w:after="40"/>
            </w:pPr>
            <w:r>
              <w:rPr>
                <w:sz w:val="16"/>
              </w:rPr>
            </w:r>
            <w:r>
              <w:rPr>
                <w:b w:val="0"/>
                <w:i w:val="0"/>
                <w:sz w:val="16"/>
              </w:rPr>
              <w:t>0.9935058481</w:t>
            </w:r>
          </w:p>
        </w:tc>
        <w:tc>
          <w:tcPr>
            <w:tcW w:type="dxa" w:w="1218"/>
          </w:tcPr>
          <w:p>
            <w:pPr>
              <w:spacing w:after="40"/>
            </w:pPr>
            <w:r>
              <w:rPr>
                <w:sz w:val="16"/>
              </w:rPr>
            </w:r>
            <w:r>
              <w:rPr>
                <w:b w:val="0"/>
                <w:i w:val="0"/>
                <w:sz w:val="16"/>
              </w:rPr>
              <w:t>0.000159</w:t>
            </w:r>
          </w:p>
        </w:tc>
        <w:tc>
          <w:tcPr>
            <w:tcW w:type="dxa" w:w="1218"/>
          </w:tcPr>
          <w:p>
            <w:pPr>
              <w:spacing w:after="40"/>
            </w:pPr>
            <w:r>
              <w:rPr>
                <w:sz w:val="16"/>
              </w:rPr>
            </w:r>
            <w:r>
              <w:rPr>
                <w:b w:val="0"/>
                <w:i w:val="0"/>
                <w:sz w:val="16"/>
              </w:rPr>
              <w:t>0.000156</w:t>
            </w:r>
          </w:p>
        </w:tc>
        <w:tc>
          <w:tcPr>
            <w:tcW w:type="dxa" w:w="1218"/>
          </w:tcPr>
          <w:p>
            <w:pPr>
              <w:spacing w:after="40"/>
            </w:pPr>
            <w:r>
              <w:rPr>
                <w:sz w:val="16"/>
              </w:rPr>
            </w:r>
            <w:r>
              <w:rPr>
                <w:b w:val="0"/>
                <w:i w:val="0"/>
                <w:sz w:val="16"/>
              </w:rPr>
              <w:t>49.53</w:t>
            </w:r>
          </w:p>
        </w:tc>
      </w:tr>
      <w:tr>
        <w:trPr>
          <w:cantSplit/>
        </w:trPr>
        <w:tc>
          <w:tcPr>
            <w:tcW w:type="dxa" w:w="1218"/>
            <w:shd w:val="clear" w:color="auto" w:fill="F5F7FA"/>
          </w:tcPr>
          <w:p>
            <w:pPr>
              <w:spacing w:after="40"/>
            </w:pPr>
            <w:r>
              <w:rPr>
                <w:sz w:val="16"/>
              </w:rPr>
            </w:r>
            <w:r>
              <w:rPr>
                <w:b w:val="0"/>
                <w:i w:val="0"/>
                <w:sz w:val="16"/>
              </w:rPr>
              <w:t>0.3050000</w:t>
            </w:r>
          </w:p>
        </w:tc>
        <w:tc>
          <w:tcPr>
            <w:tcW w:type="dxa" w:w="1218"/>
            <w:shd w:val="clear" w:color="auto" w:fill="F5F7FA"/>
          </w:tcPr>
          <w:p>
            <w:pPr>
              <w:spacing w:after="40"/>
            </w:pPr>
            <w:r>
              <w:rPr>
                <w:sz w:val="16"/>
              </w:rPr>
            </w:r>
            <w:r>
              <w:rPr>
                <w:b w:val="0"/>
                <w:i w:val="0"/>
                <w:sz w:val="16"/>
              </w:rPr>
              <w:t>disordered</w:t>
            </w:r>
          </w:p>
        </w:tc>
        <w:tc>
          <w:tcPr>
            <w:tcW w:type="dxa" w:w="1218"/>
            <w:shd w:val="clear" w:color="auto" w:fill="F5F7FA"/>
          </w:tcPr>
          <w:p>
            <w:pPr>
              <w:spacing w:after="40"/>
            </w:pPr>
            <w:r>
              <w:rPr>
                <w:sz w:val="16"/>
              </w:rPr>
            </w:r>
            <w:r>
              <w:rPr>
                <w:b w:val="0"/>
                <w:i w:val="0"/>
                <w:sz w:val="16"/>
              </w:rPr>
              <w:t>accepted-finite-chi</w:t>
            </w:r>
          </w:p>
        </w:tc>
        <w:tc>
          <w:tcPr>
            <w:tcW w:type="dxa" w:w="1218"/>
            <w:shd w:val="clear" w:color="auto" w:fill="F5F7FA"/>
          </w:tcPr>
          <w:p>
            <w:pPr>
              <w:spacing w:after="40"/>
            </w:pPr>
            <w:r>
              <w:rPr>
                <w:sz w:val="16"/>
              </w:rPr>
            </w:r>
            <w:r>
              <w:rPr>
                <w:b w:val="0"/>
                <w:i w:val="0"/>
                <w:sz w:val="16"/>
              </w:rPr>
              <w:t>8.58e-08</w:t>
            </w:r>
          </w:p>
        </w:tc>
        <w:tc>
          <w:tcPr>
            <w:tcW w:type="dxa" w:w="1218"/>
            <w:shd w:val="clear" w:color="auto" w:fill="F5F7FA"/>
          </w:tcPr>
          <w:p>
            <w:pPr>
              <w:spacing w:after="40"/>
            </w:pPr>
            <w:r>
              <w:rPr>
                <w:sz w:val="16"/>
              </w:rPr>
            </w:r>
            <w:r>
              <w:rPr>
                <w:b w:val="0"/>
                <w:i w:val="0"/>
                <w:sz w:val="16"/>
              </w:rPr>
              <w:t>0.9935058501</w:t>
            </w:r>
          </w:p>
        </w:tc>
        <w:tc>
          <w:tcPr>
            <w:tcW w:type="dxa" w:w="1218"/>
            <w:shd w:val="clear" w:color="auto" w:fill="F5F7FA"/>
          </w:tcPr>
          <w:p>
            <w:pPr>
              <w:spacing w:after="40"/>
            </w:pPr>
            <w:r>
              <w:rPr>
                <w:sz w:val="16"/>
              </w:rPr>
            </w:r>
            <w:r>
              <w:rPr>
                <w:b w:val="0"/>
                <w:i w:val="0"/>
                <w:sz w:val="16"/>
              </w:rPr>
              <w:t>0.001305</w:t>
            </w:r>
          </w:p>
        </w:tc>
        <w:tc>
          <w:tcPr>
            <w:tcW w:type="dxa" w:w="1218"/>
            <w:shd w:val="clear" w:color="auto" w:fill="F5F7FA"/>
          </w:tcPr>
          <w:p>
            <w:pPr>
              <w:spacing w:after="40"/>
            </w:pPr>
            <w:r>
              <w:rPr>
                <w:sz w:val="16"/>
              </w:rPr>
            </w:r>
            <w:r>
              <w:rPr>
                <w:b w:val="0"/>
                <w:i w:val="0"/>
                <w:sz w:val="16"/>
              </w:rPr>
              <w:t>0.001263</w:t>
            </w:r>
          </w:p>
        </w:tc>
        <w:tc>
          <w:tcPr>
            <w:tcW w:type="dxa" w:w="1218"/>
            <w:shd w:val="clear" w:color="auto" w:fill="F5F7FA"/>
          </w:tcPr>
          <w:p>
            <w:pPr>
              <w:spacing w:after="40"/>
            </w:pPr>
            <w:r>
              <w:rPr>
                <w:sz w:val="16"/>
              </w:rPr>
            </w:r>
            <w:r>
              <w:rPr>
                <w:b w:val="0"/>
                <w:i w:val="0"/>
                <w:sz w:val="16"/>
              </w:rPr>
              <w:t>50.23</w:t>
            </w:r>
          </w:p>
        </w:tc>
      </w:tr>
      <w:tr>
        <w:trPr>
          <w:cantSplit/>
        </w:trPr>
        <w:tc>
          <w:tcPr>
            <w:tcW w:type="dxa" w:w="1218"/>
          </w:tcPr>
          <w:p>
            <w:pPr>
              <w:spacing w:after="40"/>
            </w:pPr>
            <w:r>
              <w:rPr>
                <w:sz w:val="16"/>
              </w:rPr>
            </w:r>
            <w:r>
              <w:rPr>
                <w:b w:val="0"/>
                <w:i w:val="0"/>
                <w:sz w:val="16"/>
              </w:rPr>
              <w:t>0.3055000</w:t>
            </w:r>
          </w:p>
        </w:tc>
        <w:tc>
          <w:tcPr>
            <w:tcW w:type="dxa" w:w="1218"/>
          </w:tcPr>
          <w:p>
            <w:pPr>
              <w:spacing w:after="40"/>
            </w:pPr>
            <w:r>
              <w:rPr>
                <w:sz w:val="16"/>
              </w:rPr>
            </w:r>
            <w:r>
              <w:rPr>
                <w:b w:val="0"/>
                <w:i w:val="0"/>
                <w:sz w:val="16"/>
              </w:rPr>
              <w:t>ordered</w:t>
            </w:r>
          </w:p>
        </w:tc>
        <w:tc>
          <w:tcPr>
            <w:tcW w:type="dxa" w:w="1218"/>
          </w:tcPr>
          <w:p>
            <w:pPr>
              <w:spacing w:after="40"/>
            </w:pPr>
            <w:r>
              <w:rPr>
                <w:sz w:val="16"/>
              </w:rPr>
            </w:r>
            <w:r>
              <w:rPr>
                <w:b w:val="0"/>
                <w:i w:val="0"/>
                <w:sz w:val="16"/>
              </w:rPr>
              <w:t>pending</w:t>
            </w:r>
          </w:p>
        </w:tc>
        <w:tc>
          <w:tcPr>
            <w:tcW w:type="dxa" w:w="1218"/>
          </w:tcPr>
          <w:p>
            <w:pPr>
              <w:spacing w:after="40"/>
            </w:pPr>
            <w:r>
              <w:rPr>
                <w:sz w:val="16"/>
              </w:rPr>
            </w:r>
            <w:r>
              <w:rPr>
                <w:b w:val="0"/>
                <w:i w:val="0"/>
                <w:sz w:val="16"/>
              </w:rPr>
              <w:t>—</w:t>
            </w:r>
          </w:p>
        </w:tc>
        <w:tc>
          <w:tcPr>
            <w:tcW w:type="dxa" w:w="1218"/>
          </w:tcPr>
          <w:p>
            <w:pPr>
              <w:spacing w:after="40"/>
            </w:pPr>
            <w:r>
              <w:rPr>
                <w:sz w:val="16"/>
              </w:rPr>
            </w:r>
            <w:r>
              <w:rPr>
                <w:b w:val="0"/>
                <w:i w:val="0"/>
                <w:sz w:val="16"/>
              </w:rPr>
              <w:t>—</w:t>
            </w:r>
          </w:p>
        </w:tc>
        <w:tc>
          <w:tcPr>
            <w:tcW w:type="dxa" w:w="1218"/>
          </w:tcPr>
          <w:p>
            <w:pPr>
              <w:spacing w:after="40"/>
            </w:pPr>
            <w:r>
              <w:rPr>
                <w:sz w:val="16"/>
              </w:rPr>
            </w:r>
            <w:r>
              <w:rPr>
                <w:b w:val="0"/>
                <w:i w:val="0"/>
                <w:sz w:val="16"/>
              </w:rPr>
              <w:t>—</w:t>
            </w:r>
          </w:p>
        </w:tc>
        <w:tc>
          <w:tcPr>
            <w:tcW w:type="dxa" w:w="1218"/>
          </w:tcPr>
          <w:p>
            <w:pPr>
              <w:spacing w:after="40"/>
            </w:pPr>
            <w:r>
              <w:rPr>
                <w:sz w:val="16"/>
              </w:rPr>
            </w:r>
            <w:r>
              <w:rPr>
                <w:b w:val="0"/>
                <w:i w:val="0"/>
                <w:sz w:val="16"/>
              </w:rPr>
              <w:t>—</w:t>
            </w:r>
          </w:p>
        </w:tc>
        <w:tc>
          <w:tcPr>
            <w:tcW w:type="dxa" w:w="1218"/>
          </w:tcPr>
          <w:p>
            <w:pPr>
              <w:spacing w:after="40"/>
            </w:pPr>
            <w:r>
              <w:rPr>
                <w:sz w:val="16"/>
              </w:rPr>
            </w:r>
            <w:r>
              <w:rPr>
                <w:b w:val="0"/>
                <w:i w:val="0"/>
                <w:sz w:val="16"/>
              </w:rPr>
              <w:t>—</w:t>
            </w:r>
          </w:p>
        </w:tc>
      </w:tr>
      <w:tr>
        <w:trPr>
          <w:cantSplit/>
        </w:trPr>
        <w:tc>
          <w:tcPr>
            <w:tcW w:type="dxa" w:w="1218"/>
            <w:shd w:val="clear" w:color="auto" w:fill="F5F7FA"/>
          </w:tcPr>
          <w:p>
            <w:pPr>
              <w:spacing w:after="40"/>
            </w:pPr>
            <w:r>
              <w:rPr>
                <w:sz w:val="16"/>
              </w:rPr>
            </w:r>
            <w:r>
              <w:rPr>
                <w:b w:val="0"/>
                <w:i w:val="0"/>
                <w:sz w:val="16"/>
              </w:rPr>
              <w:t>0.3055000</w:t>
            </w:r>
          </w:p>
        </w:tc>
        <w:tc>
          <w:tcPr>
            <w:tcW w:type="dxa" w:w="1218"/>
            <w:shd w:val="clear" w:color="auto" w:fill="F5F7FA"/>
          </w:tcPr>
          <w:p>
            <w:pPr>
              <w:spacing w:after="40"/>
            </w:pPr>
            <w:r>
              <w:rPr>
                <w:sz w:val="16"/>
              </w:rPr>
            </w:r>
            <w:r>
              <w:rPr>
                <w:b w:val="0"/>
                <w:i w:val="0"/>
                <w:sz w:val="16"/>
              </w:rPr>
              <w:t>disordered</w:t>
            </w:r>
          </w:p>
        </w:tc>
        <w:tc>
          <w:tcPr>
            <w:tcW w:type="dxa" w:w="1218"/>
            <w:shd w:val="clear" w:color="auto" w:fill="F5F7FA"/>
          </w:tcPr>
          <w:p>
            <w:pPr>
              <w:spacing w:after="40"/>
            </w:pPr>
            <w:r>
              <w:rPr>
                <w:sz w:val="16"/>
              </w:rPr>
            </w:r>
            <w:r>
              <w:rPr>
                <w:b w:val="0"/>
                <w:i w:val="0"/>
                <w:sz w:val="16"/>
              </w:rPr>
              <w:t>pending</w:t>
            </w:r>
          </w:p>
        </w:tc>
        <w:tc>
          <w:tcPr>
            <w:tcW w:type="dxa" w:w="1218"/>
            <w:shd w:val="clear" w:color="auto" w:fill="F5F7FA"/>
          </w:tcPr>
          <w:p>
            <w:pPr>
              <w:spacing w:after="40"/>
            </w:pPr>
            <w:r>
              <w:rPr>
                <w:sz w:val="16"/>
              </w:rPr>
            </w:r>
            <w:r>
              <w:rPr>
                <w:b w:val="0"/>
                <w:i w:val="0"/>
                <w:sz w:val="16"/>
              </w:rPr>
              <w:t>—</w:t>
            </w:r>
          </w:p>
        </w:tc>
        <w:tc>
          <w:tcPr>
            <w:tcW w:type="dxa" w:w="1218"/>
            <w:shd w:val="clear" w:color="auto" w:fill="F5F7FA"/>
          </w:tcPr>
          <w:p>
            <w:pPr>
              <w:spacing w:after="40"/>
            </w:pPr>
            <w:r>
              <w:rPr>
                <w:sz w:val="16"/>
              </w:rPr>
            </w:r>
            <w:r>
              <w:rPr>
                <w:b w:val="0"/>
                <w:i w:val="0"/>
                <w:sz w:val="16"/>
              </w:rPr>
              <w:t>—</w:t>
            </w:r>
          </w:p>
        </w:tc>
        <w:tc>
          <w:tcPr>
            <w:tcW w:type="dxa" w:w="1218"/>
            <w:shd w:val="clear" w:color="auto" w:fill="F5F7FA"/>
          </w:tcPr>
          <w:p>
            <w:pPr>
              <w:spacing w:after="40"/>
            </w:pPr>
            <w:r>
              <w:rPr>
                <w:sz w:val="16"/>
              </w:rPr>
            </w:r>
            <w:r>
              <w:rPr>
                <w:b w:val="0"/>
                <w:i w:val="0"/>
                <w:sz w:val="16"/>
              </w:rPr>
              <w:t>—</w:t>
            </w:r>
          </w:p>
        </w:tc>
        <w:tc>
          <w:tcPr>
            <w:tcW w:type="dxa" w:w="1218"/>
            <w:shd w:val="clear" w:color="auto" w:fill="F5F7FA"/>
          </w:tcPr>
          <w:p>
            <w:pPr>
              <w:spacing w:after="40"/>
            </w:pPr>
            <w:r>
              <w:rPr>
                <w:sz w:val="16"/>
              </w:rPr>
            </w:r>
            <w:r>
              <w:rPr>
                <w:b w:val="0"/>
                <w:i w:val="0"/>
                <w:sz w:val="16"/>
              </w:rPr>
              <w:t>—</w:t>
            </w:r>
          </w:p>
        </w:tc>
        <w:tc>
          <w:tcPr>
            <w:tcW w:type="dxa" w:w="1218"/>
            <w:shd w:val="clear" w:color="auto" w:fill="F5F7FA"/>
          </w:tcPr>
          <w:p>
            <w:pPr>
              <w:spacing w:after="40"/>
            </w:pPr>
            <w:r>
              <w:rPr>
                <w:sz w:val="16"/>
              </w:rPr>
            </w:r>
            <w:r>
              <w:rPr>
                <w:b w:val="0"/>
                <w:i w:val="0"/>
                <w:sz w:val="16"/>
              </w:rPr>
              <w:t>—</w:t>
            </w:r>
          </w:p>
        </w:tc>
      </w:tr>
    </w:tbl>
    <w:p>
      <w:pPr>
        <w:spacing w:after="80"/>
      </w:pPr>
    </w:p>
    <w:p>
      <w:r>
        <w:rPr>
          <w:b w:val="0"/>
          <w:i w:val="0"/>
        </w:rPr>
        <w:t>Color L2 is a symmetry-invariant norm of the six one-point amplitudes about their uniform value, not a claim that all signed-coordinate amplitudes are probabilities. It avoids confusing orientation-dependent species components with different phases.</w:t>
      </w:r>
    </w:p>
    <w:p>
      <w:pPr>
        <w:pStyle w:val="Heading2"/>
      </w:pPr>
      <w:r>
        <w:rPr>
          <w:b w:val="0"/>
          <w:i w:val="0"/>
        </w:rPr>
        <w:t>Same-period differences and symmetry alignment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36"/>
        <w:gridCol w:w="2436"/>
        <w:gridCol w:w="2436"/>
        <w:gridCol w:w="2436"/>
      </w:tblGrid>
      <w:tr>
        <w:trPr>
          <w:cantSplit/>
          <w:tblHeader/>
        </w:trPr>
        <w:tc>
          <w:tcPr>
            <w:tcW w:type="dxa" w:w="2436"/>
            <w:shd w:val="clear" w:color="auto" w:fill="E8ECF2"/>
            <w:shd w:val="clear" w:color="auto" w:fill="E6EEF5"/>
          </w:tcPr>
          <w:p>
            <w:pPr>
              <w:spacing w:after="40"/>
            </w:pPr>
            <w:r>
              <w:rPr>
                <w:sz w:val="18"/>
              </w:rPr>
            </w:r>
            <w:r>
              <w:rPr>
                <w:b/>
                <w:i w:val="0"/>
                <w:sz w:val="18"/>
              </w:rPr>
              <w:t>p</w:t>
            </w:r>
          </w:p>
        </w:tc>
        <w:tc>
          <w:tcPr>
            <w:tcW w:type="dxa" w:w="2436"/>
            <w:shd w:val="clear" w:color="auto" w:fill="E8ECF2"/>
            <w:shd w:val="clear" w:color="auto" w:fill="E6EEF5"/>
          </w:tcPr>
          <w:p>
            <w:pPr>
              <w:spacing w:after="40"/>
            </w:pPr>
            <w:r>
              <w:rPr>
                <w:sz w:val="18"/>
              </w:rPr>
            </w:r>
            <w:r>
              <w:rPr>
                <w:b/>
                <w:i w:val="0"/>
                <w:sz w:val="18"/>
              </w:rPr>
              <w:t>f_period,O − f_period,D</w:t>
            </w:r>
          </w:p>
        </w:tc>
        <w:tc>
          <w:tcPr>
            <w:tcW w:type="dxa" w:w="2436"/>
            <w:shd w:val="clear" w:color="auto" w:fill="E8ECF2"/>
            <w:shd w:val="clear" w:color="auto" w:fill="E6EEF5"/>
          </w:tcPr>
          <w:p>
            <w:pPr>
              <w:spacing w:after="40"/>
            </w:pPr>
            <w:r>
              <w:rPr>
                <w:sz w:val="18"/>
              </w:rPr>
            </w:r>
            <w:r>
              <w:rPr>
                <w:b/>
                <w:i w:val="0"/>
                <w:sz w:val="18"/>
              </w:rPr>
              <w:t>Largest evaluated aligned fidelity/site</w:t>
            </w:r>
          </w:p>
        </w:tc>
        <w:tc>
          <w:tcPr>
            <w:tcW w:type="dxa" w:w="2436"/>
            <w:shd w:val="clear" w:color="auto" w:fill="E8ECF2"/>
            <w:shd w:val="clear" w:color="auto" w:fill="E6EEF5"/>
          </w:tcPr>
          <w:p>
            <w:pPr>
              <w:spacing w:after="40"/>
            </w:pPr>
            <w:r>
              <w:rPr>
                <w:sz w:val="18"/>
              </w:rPr>
            </w:r>
            <w:r>
              <w:rPr>
                <w:b/>
                <w:i w:val="0"/>
                <w:sz w:val="18"/>
              </w:rPr>
              <w:t>Orientation search</w:t>
            </w:r>
          </w:p>
        </w:tc>
      </w:tr>
      <w:tr>
        <w:trPr>
          <w:cantSplit/>
        </w:trPr>
        <w:tc>
          <w:tcPr>
            <w:tcW w:type="dxa" w:w="2436"/>
          </w:tcPr>
          <w:p>
            <w:pPr>
              <w:spacing w:after="40"/>
            </w:pPr>
            <w:r>
              <w:rPr>
                <w:sz w:val="18"/>
              </w:rPr>
            </w:r>
            <w:r>
              <w:rPr>
                <w:b w:val="0"/>
                <w:i w:val="0"/>
                <w:sz w:val="18"/>
              </w:rPr>
              <w:t>0.3040000</w:t>
            </w:r>
          </w:p>
        </w:tc>
        <w:tc>
          <w:tcPr>
            <w:tcW w:type="dxa" w:w="2436"/>
          </w:tcPr>
          <w:p>
            <w:pPr>
              <w:spacing w:after="40"/>
            </w:pPr>
            <w:r>
              <w:rPr>
                <w:sz w:val="18"/>
              </w:rPr>
            </w:r>
            <w:r>
              <w:rPr>
                <w:b w:val="0"/>
                <w:i w:val="0"/>
                <w:sz w:val="18"/>
              </w:rPr>
              <w:t>—</w:t>
            </w:r>
          </w:p>
        </w:tc>
        <w:tc>
          <w:tcPr>
            <w:tcW w:type="dxa" w:w="2436"/>
          </w:tcPr>
          <w:p>
            <w:pPr>
              <w:spacing w:after="40"/>
            </w:pPr>
            <w:r>
              <w:rPr>
                <w:sz w:val="18"/>
              </w:rPr>
            </w:r>
            <w:r>
              <w:rPr>
                <w:b w:val="0"/>
                <w:i w:val="0"/>
                <w:sz w:val="18"/>
              </w:rPr>
              <w:t>—</w:t>
            </w:r>
          </w:p>
        </w:tc>
        <w:tc>
          <w:tcPr>
            <w:tcW w:type="dxa" w:w="2436"/>
          </w:tcPr>
          <w:p>
            <w:pPr>
              <w:spacing w:after="40"/>
            </w:pPr>
            <w:r>
              <w:rPr>
                <w:sz w:val="18"/>
              </w:rPr>
            </w:r>
            <w:r>
              <w:rPr>
                <w:b w:val="0"/>
                <w:i w:val="0"/>
                <w:sz w:val="18"/>
              </w:rPr>
              <w:t>not applicable / pending</w:t>
            </w:r>
          </w:p>
        </w:tc>
      </w:tr>
      <w:tr>
        <w:trPr>
          <w:cantSplit/>
        </w:trPr>
        <w:tc>
          <w:tcPr>
            <w:tcW w:type="dxa" w:w="2436"/>
            <w:shd w:val="clear" w:color="auto" w:fill="F5F7FA"/>
          </w:tcPr>
          <w:p>
            <w:pPr>
              <w:spacing w:after="40"/>
            </w:pPr>
            <w:r>
              <w:rPr>
                <w:sz w:val="18"/>
              </w:rPr>
            </w:r>
            <w:r>
              <w:rPr>
                <w:b w:val="0"/>
                <w:i w:val="0"/>
                <w:sz w:val="18"/>
              </w:rPr>
              <w:t>0.3045000</w:t>
            </w:r>
          </w:p>
        </w:tc>
        <w:tc>
          <w:tcPr>
            <w:tcW w:type="dxa" w:w="2436"/>
            <w:shd w:val="clear" w:color="auto" w:fill="F5F7FA"/>
          </w:tcPr>
          <w:p>
            <w:pPr>
              <w:spacing w:after="40"/>
            </w:pPr>
            <w:r>
              <w:rPr>
                <w:sz w:val="18"/>
              </w:rPr>
            </w:r>
            <w:r>
              <w:rPr>
                <w:b w:val="0"/>
                <w:i w:val="0"/>
                <w:sz w:val="18"/>
              </w:rPr>
              <w:t>4.77e-11</w:t>
            </w:r>
          </w:p>
        </w:tc>
        <w:tc>
          <w:tcPr>
            <w:tcW w:type="dxa" w:w="2436"/>
            <w:shd w:val="clear" w:color="auto" w:fill="F5F7FA"/>
          </w:tcPr>
          <w:p>
            <w:pPr>
              <w:spacing w:after="40"/>
            </w:pPr>
            <w:r>
              <w:rPr>
                <w:sz w:val="18"/>
              </w:rPr>
            </w:r>
            <w:r>
              <w:rPr>
                <w:b w:val="0"/>
                <w:i w:val="0"/>
                <w:sz w:val="18"/>
              </w:rPr>
              <w:t>0.9999999992</w:t>
            </w:r>
          </w:p>
        </w:tc>
        <w:tc>
          <w:tcPr>
            <w:tcW w:type="dxa" w:w="2436"/>
            <w:shd w:val="clear" w:color="auto" w:fill="F5F7FA"/>
          </w:tcPr>
          <w:p>
            <w:pPr>
              <w:spacing w:after="40"/>
            </w:pPr>
            <w:r>
              <w:rPr>
                <w:sz w:val="18"/>
              </w:rPr>
            </w:r>
            <w:r>
              <w:rPr>
                <w:b w:val="0"/>
                <w:i w:val="0"/>
                <w:sz w:val="18"/>
              </w:rPr>
              <w:t>all 36 symmetry orientations evaluated</w:t>
            </w:r>
          </w:p>
        </w:tc>
      </w:tr>
      <w:tr>
        <w:trPr>
          <w:cantSplit/>
        </w:trPr>
        <w:tc>
          <w:tcPr>
            <w:tcW w:type="dxa" w:w="2436"/>
          </w:tcPr>
          <w:p>
            <w:pPr>
              <w:spacing w:after="40"/>
            </w:pPr>
            <w:r>
              <w:rPr>
                <w:sz w:val="18"/>
              </w:rPr>
            </w:r>
            <w:r>
              <w:rPr>
                <w:b w:val="0"/>
                <w:i w:val="0"/>
                <w:sz w:val="18"/>
              </w:rPr>
              <w:t>0.3047000</w:t>
            </w:r>
          </w:p>
        </w:tc>
        <w:tc>
          <w:tcPr>
            <w:tcW w:type="dxa" w:w="2436"/>
          </w:tcPr>
          <w:p>
            <w:pPr>
              <w:spacing w:after="40"/>
            </w:pPr>
            <w:r>
              <w:rPr>
                <w:sz w:val="18"/>
              </w:rPr>
            </w:r>
            <w:r>
              <w:rPr>
                <w:b w:val="0"/>
                <w:i w:val="0"/>
                <w:sz w:val="18"/>
              </w:rPr>
              <w:t>-2.03e-13</w:t>
            </w:r>
          </w:p>
        </w:tc>
        <w:tc>
          <w:tcPr>
            <w:tcW w:type="dxa" w:w="2436"/>
          </w:tcPr>
          <w:p>
            <w:pPr>
              <w:spacing w:after="40"/>
            </w:pPr>
            <w:r>
              <w:rPr>
                <w:sz w:val="18"/>
              </w:rPr>
            </w:r>
            <w:r>
              <w:rPr>
                <w:b w:val="0"/>
                <w:i w:val="0"/>
                <w:sz w:val="18"/>
              </w:rPr>
              <w:t>0.9999999989</w:t>
            </w:r>
          </w:p>
        </w:tc>
        <w:tc>
          <w:tcPr>
            <w:tcW w:type="dxa" w:w="2436"/>
          </w:tcPr>
          <w:p>
            <w:pPr>
              <w:spacing w:after="40"/>
            </w:pPr>
            <w:r>
              <w:rPr>
                <w:sz w:val="18"/>
              </w:rPr>
            </w:r>
            <w:r>
              <w:rPr>
                <w:b w:val="0"/>
                <w:i w:val="0"/>
                <w:sz w:val="18"/>
              </w:rPr>
              <w:t>all 36 symmetry orientations evaluated</w:t>
            </w:r>
          </w:p>
        </w:tc>
      </w:tr>
      <w:tr>
        <w:trPr>
          <w:cantSplit/>
        </w:trPr>
        <w:tc>
          <w:tcPr>
            <w:tcW w:type="dxa" w:w="2436"/>
            <w:shd w:val="clear" w:color="auto" w:fill="F5F7FA"/>
          </w:tcPr>
          <w:p>
            <w:pPr>
              <w:spacing w:after="40"/>
            </w:pPr>
            <w:r>
              <w:rPr>
                <w:sz w:val="18"/>
              </w:rPr>
            </w:r>
            <w:r>
              <w:rPr>
                <w:b w:val="0"/>
                <w:i w:val="0"/>
                <w:sz w:val="18"/>
              </w:rPr>
              <w:t>0.3048600</w:t>
            </w:r>
          </w:p>
        </w:tc>
        <w:tc>
          <w:tcPr>
            <w:tcW w:type="dxa" w:w="2436"/>
            <w:shd w:val="clear" w:color="auto" w:fill="F5F7FA"/>
          </w:tcPr>
          <w:p>
            <w:pPr>
              <w:spacing w:after="40"/>
            </w:pPr>
            <w:r>
              <w:rPr>
                <w:sz w:val="18"/>
              </w:rPr>
            </w:r>
            <w:r>
              <w:rPr>
                <w:b w:val="0"/>
                <w:i w:val="0"/>
                <w:sz w:val="18"/>
              </w:rPr>
              <w:t>3.76e-09</w:t>
            </w:r>
          </w:p>
        </w:tc>
        <w:tc>
          <w:tcPr>
            <w:tcW w:type="dxa" w:w="2436"/>
            <w:shd w:val="clear" w:color="auto" w:fill="F5F7FA"/>
          </w:tcPr>
          <w:p>
            <w:pPr>
              <w:spacing w:after="40"/>
            </w:pPr>
            <w:r>
              <w:rPr>
                <w:sz w:val="18"/>
              </w:rPr>
            </w:r>
            <w:r>
              <w:rPr>
                <w:b w:val="0"/>
                <w:i w:val="0"/>
                <w:sz w:val="18"/>
              </w:rPr>
              <w:t>0.9999994886</w:t>
            </w:r>
          </w:p>
        </w:tc>
        <w:tc>
          <w:tcPr>
            <w:tcW w:type="dxa" w:w="2436"/>
            <w:shd w:val="clear" w:color="auto" w:fill="F5F7FA"/>
          </w:tcPr>
          <w:p>
            <w:pPr>
              <w:spacing w:after="40"/>
            </w:pPr>
            <w:r>
              <w:rPr>
                <w:sz w:val="18"/>
              </w:rPr>
            </w:r>
            <w:r>
              <w:rPr>
                <w:b w:val="0"/>
                <w:i w:val="0"/>
                <w:sz w:val="18"/>
              </w:rPr>
              <w:t>all 36 symmetry orientations evaluated</w:t>
            </w:r>
          </w:p>
        </w:tc>
      </w:tr>
      <w:tr>
        <w:trPr>
          <w:cantSplit/>
        </w:trPr>
        <w:tc>
          <w:tcPr>
            <w:tcW w:type="dxa" w:w="2436"/>
          </w:tcPr>
          <w:p>
            <w:pPr>
              <w:spacing w:after="40"/>
            </w:pPr>
            <w:r>
              <w:rPr>
                <w:sz w:val="18"/>
              </w:rPr>
            </w:r>
            <w:r>
              <w:rPr>
                <w:b w:val="0"/>
                <w:i w:val="0"/>
                <w:sz w:val="18"/>
              </w:rPr>
              <w:t>0.3050000</w:t>
            </w:r>
          </w:p>
        </w:tc>
        <w:tc>
          <w:tcPr>
            <w:tcW w:type="dxa" w:w="2436"/>
          </w:tcPr>
          <w:p>
            <w:pPr>
              <w:spacing w:after="40"/>
            </w:pPr>
            <w:r>
              <w:rPr>
                <w:sz w:val="18"/>
              </w:rPr>
            </w:r>
            <w:r>
              <w:rPr>
                <w:b w:val="0"/>
                <w:i w:val="0"/>
                <w:sz w:val="18"/>
              </w:rPr>
              <w:t>-2.07e-09</w:t>
            </w:r>
          </w:p>
        </w:tc>
        <w:tc>
          <w:tcPr>
            <w:tcW w:type="dxa" w:w="2436"/>
          </w:tcPr>
          <w:p>
            <w:pPr>
              <w:spacing w:after="40"/>
            </w:pPr>
            <w:r>
              <w:rPr>
                <w:sz w:val="18"/>
              </w:rPr>
            </w:r>
            <w:r>
              <w:rPr>
                <w:b w:val="0"/>
                <w:i w:val="0"/>
                <w:sz w:val="18"/>
              </w:rPr>
              <w:t>0.9999998435</w:t>
            </w:r>
          </w:p>
        </w:tc>
        <w:tc>
          <w:tcPr>
            <w:tcW w:type="dxa" w:w="2436"/>
          </w:tcPr>
          <w:p>
            <w:pPr>
              <w:spacing w:after="40"/>
            </w:pPr>
            <w:r>
              <w:rPr>
                <w:sz w:val="18"/>
              </w:rPr>
            </w:r>
            <w:r>
              <w:rPr>
                <w:b w:val="0"/>
                <w:i w:val="0"/>
                <w:sz w:val="18"/>
              </w:rPr>
              <w:t>all 36 symmetry orientations evaluated</w:t>
            </w:r>
          </w:p>
        </w:tc>
      </w:tr>
      <w:tr>
        <w:trPr>
          <w:cantSplit/>
        </w:trPr>
        <w:tc>
          <w:tcPr>
            <w:tcW w:type="dxa" w:w="2436"/>
            <w:shd w:val="clear" w:color="auto" w:fill="F5F7FA"/>
          </w:tcPr>
          <w:p>
            <w:pPr>
              <w:spacing w:after="40"/>
            </w:pPr>
            <w:r>
              <w:rPr>
                <w:sz w:val="18"/>
              </w:rPr>
            </w:r>
            <w:r>
              <w:rPr>
                <w:b w:val="0"/>
                <w:i w:val="0"/>
                <w:sz w:val="18"/>
              </w:rPr>
              <w:t>0.3055000</w:t>
            </w:r>
          </w:p>
        </w:tc>
        <w:tc>
          <w:tcPr>
            <w:tcW w:type="dxa" w:w="2436"/>
            <w:shd w:val="clear" w:color="auto" w:fill="F5F7FA"/>
          </w:tcPr>
          <w:p>
            <w:pPr>
              <w:spacing w:after="40"/>
            </w:pPr>
            <w:r>
              <w:rPr>
                <w:sz w:val="18"/>
              </w:rPr>
            </w:r>
            <w:r>
              <w:rPr>
                <w:b w:val="0"/>
                <w:i w:val="0"/>
                <w:sz w:val="18"/>
              </w:rPr>
              <w:t>—</w:t>
            </w:r>
          </w:p>
        </w:tc>
        <w:tc>
          <w:tcPr>
            <w:tcW w:type="dxa" w:w="2436"/>
            <w:shd w:val="clear" w:color="auto" w:fill="F5F7FA"/>
          </w:tcPr>
          <w:p>
            <w:pPr>
              <w:spacing w:after="40"/>
            </w:pPr>
            <w:r>
              <w:rPr>
                <w:sz w:val="18"/>
              </w:rPr>
            </w:r>
            <w:r>
              <w:rPr>
                <w:b w:val="0"/>
                <w:i w:val="0"/>
                <w:sz w:val="18"/>
              </w:rPr>
              <w:t>—</w:t>
            </w:r>
          </w:p>
        </w:tc>
        <w:tc>
          <w:tcPr>
            <w:tcW w:type="dxa" w:w="2436"/>
            <w:shd w:val="clear" w:color="auto" w:fill="F5F7FA"/>
          </w:tcPr>
          <w:p>
            <w:pPr>
              <w:spacing w:after="40"/>
            </w:pPr>
            <w:r>
              <w:rPr>
                <w:sz w:val="18"/>
              </w:rPr>
            </w:r>
            <w:r>
              <w:rPr>
                <w:b w:val="0"/>
                <w:i w:val="0"/>
                <w:sz w:val="18"/>
              </w:rPr>
              <w:t>not applicable / pending</w:t>
            </w:r>
          </w:p>
        </w:tc>
      </w:tr>
    </w:tbl>
    <w:p>
      <w:pPr>
        <w:spacing w:after="80"/>
      </w:pPr>
    </w:p>
    <w:p>
      <w:r>
        <w:rPr>
          <w:b w:val="0"/>
          <w:i w:val="0"/>
        </w:rPr>
        <w:t>At p=.3047 the accepted histories have m_species 0.558892 / 0.558909 and parity 0.382684 / -0.382692. Their invariant order and symmetry-aligned comparison must be used together: opposite parity signs alone do not identify different thermal phases. Largest evaluated aligned fidelity/site is 0.9999999989. These large-order solutions are consistent with symmetry-related orientations, not evidence by themselves of ordered/disordered coexistence.</w:t>
      </w:r>
    </w:p>
    <w:p>
      <w:pPr>
        <w:pStyle w:val="Heading2"/>
      </w:pPr>
      <w:r>
        <w:rPr>
          <w:b w:val="0"/>
          <w:i w:val="0"/>
        </w:rPr>
        <w:t>What would count as coexistence evidence</w:t>
      </w:r>
    </w:p>
    <w:p>
      <w:r>
        <w:rPr>
          <w:b/>
          <w:i w:val="0"/>
        </w:rPr>
        <w:t>A finite bulk free-energy gap is not coexistence.</w:t>
      </w:r>
      <w:r>
        <w:rPr>
          <w:b w:val="0"/>
          <w:i w:val="0"/>
        </w:rPr>
        <w:t xml:space="preserve"> At a genuine first-order coexistence point, the competing bulk free-energy densities agree. A non-vanishing observable/slope jump or positive interface cost is a different quantity. Distinct stationary branches can persist off coexistence; optimizers need not merge immediately on either side.</w:t>
      </w:r>
    </w:p>
    <w:p>
      <w:r>
        <w:rPr>
          <w:b w:val="0"/>
          <w:i w:val="0"/>
        </w:rPr>
        <w:t>Small sign changes of f_period,O−f_period,D between nearly equivalent solutions do not identify a branch crossing: O/D are initialization labels, not certified ordered/disordered branches. Symmetry-related ordered orientations also have equal bulk pressure away from a thermal transition.</w:t>
      </w:r>
    </w:p>
    <w:p>
      <w:r>
        <w:rPr>
          <w:b w:val="0"/>
          <w:i w:val="0"/>
        </w:rPr>
        <w:t>This coarse six-point scan can locate a change, identify finite-χ competing branches or bracket a candidate crossing. It cannot guarantee that a narrow metastability window was sampled. A candidate requires distinct symmetry-inequivalent stationary branches, a properly tuned same-functional crossing, and χ/size-systematic control of any non-vanishing discontinuity. Multiple finite-χ minima alone do not establish thermodynamic first order; no separation on this grid does not prove continuity.</w:t>
      </w:r>
    </w:p>
    <w:p>
      <w:r>
        <w:rPr>
          <w:b w:val="0"/>
          <w:i w:val="0"/>
        </w:rPr>
        <w:t>Numerical stationarity is for the half-row objective. Full-period values are evaluations on those states, not independently optimized full-period branches. Half/full finite-χ differences, truncation and optimizer systematics remain explicit.</w:t>
      </w:r>
    </w:p>
    <w:p>
      <w:r>
        <w:rPr>
          <w:b w:val="0"/>
          <w:i w:val="0"/>
        </w:rPr>
        <w:t>The previous latent-heat proxy near .11 and physical “coexistence length 40–60” remain withdrawn/unvalidated. Reported xi_chi is an MPS length, not a certified physical coexistence length. The χ128 single-point result did not isolate χ from runtime and initialization, and does not prove that every earlier large-order χ96 trial was merely an artifact or that p=.30486 is on the thermodynamic disordered side.</w:t>
      </w:r>
    </w:p>
    <w:p>
      <w:r>
        <w:rPr>
          <w:b/>
          <w:i w:val="0"/>
        </w:rPr>
        <w:t>Transition-order verdict: unresolved.</w:t>
      </w:r>
      <w:r>
        <w:rPr>
          <w:b w:val="0"/>
          <w:i w:val="0"/>
        </w:rPr>
        <w:t xml:space="preserve"> No automatic classifier promotes a finite gap, a small residual, or a lack of sampled branch separation to a verdict.</w:t>
      </w:r>
    </w:p>
    <w:p>
      <w:pPr>
        <w:pStyle w:val="Heading2"/>
      </w:pPr>
      <w:r>
        <w:rPr>
          <w:b w:val="0"/>
          <w:i w:val="0"/>
        </w:rPr>
        <w:t>Reproduction, framework and publication</w:t>
      </w:r>
    </w:p>
    <w:p>
      <w:r>
        <w:rPr>
          <w:b w:val="0"/>
          <w:i w:val="0"/>
        </w:rPr>
        <w:t xml:space="preserve">See </w:t>
      </w:r>
      <w:r>
        <w:rPr>
          <w:rFonts w:ascii="Consolas" w:hAnsi="Consolas" w:eastAsia="Consolas" w:cs="Consolas"/>
          <w:b w:val="0"/>
          <w:i w:val="0"/>
        </w:rPr>
        <w:t>chi128-scan-protocol.json</w:t>
      </w:r>
      <w:r>
        <w:rPr>
          <w:b w:val="0"/>
          <w:i w:val="0"/>
        </w:rPr>
        <w:t xml:space="preserve">, </w:t>
      </w:r>
      <w:r>
        <w:rPr>
          <w:rFonts w:ascii="Consolas" w:hAnsi="Consolas" w:eastAsia="Consolas" w:cs="Consolas"/>
          <w:b w:val="0"/>
          <w:i w:val="0"/>
        </w:rPr>
        <w:t>SCAN128-ASSESSMENT.md</w:t>
      </w:r>
      <w:r>
        <w:rPr>
          <w:b w:val="0"/>
          <w:i w:val="0"/>
        </w:rPr>
        <w:t xml:space="preserve">, raw </w:t>
      </w:r>
      <w:r>
        <w:rPr>
          <w:rFonts w:ascii="Consolas" w:hAnsi="Consolas" w:eastAsia="Consolas" w:cs="Consolas"/>
          <w:b w:val="0"/>
          <w:i w:val="0"/>
        </w:rPr>
        <w:t>n3_chi128_scan.json</w:t>
      </w:r>
      <w:r>
        <w:rPr>
          <w:b w:val="0"/>
          <w:i w:val="0"/>
        </w:rPr>
        <w:t>, per-case JSON/logs, and the actual NPZ states. Qur’anic/Lighthouse governance retains real, dependent creation distinct from the Creator; this interpretation changes neither the replica operator nor an empirical result. It is not inferred from phase order. The v34 review continuation makes that scope explicit; original v33 remains preserved.</w:t>
      </w:r>
    </w:p>
    <w:p>
      <w:r>
        <w:rPr>
          <w:b w:val="0"/>
          <w:i w:val="0"/>
        </w:rPr>
        <w:t>Publication uses ordinary non-force commits, with exact-secret/nested-archive scanning. The PAT is private workspace data, excluded from every repository snapshot and review archive. Source commit receipts and final remote verification are separate from numerical convergence.</w:t>
      </w:r>
    </w:p>
    <w:sectPr w:rsidR="00FC693F" w:rsidRPr="0006063C" w:rsidSect="00034616">
      <w:headerReference w:type="default" r:id="rId9"/>
      <w:footerReference w:type="default" r:id="rId10"/>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Author-review research / finite-χ observations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A-1 / χ128 FIXED-SOURCE RATE SCAN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2A44"/>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F2A4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χ128 fixed-source six-rate scan</dc:title>
  <dc:subject/>
  <dc:creator>Arena research assistant</dc:creator>
  <cp:keywords/>
  <dc:description>generated by python-docx</dc:description>
  <cp:lastModifiedBy/>
  <cp:revision>1</cp:revision>
  <dcterms:created xsi:type="dcterms:W3CDTF">2013-12-23T23:15:00Z</dcterms:created>
  <dcterms:modified xsi:type="dcterms:W3CDTF">2013-12-23T23:15:00Z</dcterms:modified>
  <cp:category/>
</cp:coreProperties>
</file>