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v34 author-review continuation</w:t>
      </w:r>
    </w:p>
    <w:p>
      <w:r>
        <w:rPr>
          <w:b w:val="0"/>
          <w:i w:val="0"/>
        </w:rPr>
        <w:t xml:space="preserve">16 October 2026. Source: preserved v33, SHA256 </w:t>
      </w:r>
      <w:r>
        <w:rPr>
          <w:rFonts w:ascii="Consolas" w:hAnsi="Consolas" w:eastAsia="Consolas" w:cs="Consolas"/>
          <w:b w:val="0"/>
          <w:i w:val="0"/>
        </w:rPr>
        <w:t>d27cddbaa6dee54f122d55ec16ebb7d5e2059fb3542faa72381b11e775958611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Governing interpretive correction</w:t>
      </w:r>
    </w:p>
    <w:p>
      <w:r>
        <w:rPr>
          <w:b w:val="0"/>
          <w:i w:val="0"/>
        </w:rPr>
        <w:t xml:space="preserve">The governing reading is </w:t>
      </w:r>
      <w:r>
        <w:rPr>
          <w:b/>
          <w:i w:val="0"/>
        </w:rPr>
        <w:t>real creation, dependent on and distinct from the uncreated Creator</w:t>
      </w:r>
      <w:r>
        <w:rPr>
          <w:b w:val="0"/>
          <w:i w:val="0"/>
        </w:rPr>
        <w:t>. Dependence is not identity; creation is neither an unreal appearance of God nor a second independent absolute. The interpretation explicitly rejects the “only the Absolute exists” premise. God is not a physical clock, field, quantum state, algebra or instrument.</w:t>
      </w:r>
    </w:p>
    <w:p>
      <w:r>
        <w:rPr>
          <w:b w:val="0"/>
          <w:i w:val="0"/>
        </w:rPr>
        <w:t>This follows the independently argued Qur’anic/Lighthouse framework, including its text/context/tafsir discipline. A user override is not itself interpretive authority. The interpretation is not inferred from quantum spectra, a transition order, or the Born-record formalism. The physics retains its separate mathematical and empirical warrant.</w:t>
      </w:r>
    </w:p>
    <w:p>
      <w:pPr>
        <w:pStyle w:val="Heading2"/>
      </w:pPr>
      <w:r>
        <w:rPr>
          <w:b w:val="0"/>
          <w:i w:val="0"/>
        </w:rPr>
        <w:t>Numerical and scientific scope</w:t>
      </w:r>
    </w:p>
    <w:p>
      <w:r>
        <w:rPr>
          <w:b w:val="0"/>
          <w:i w:val="0"/>
        </w:rPr>
        <w:t xml:space="preserve">The accepted χ128 p=.30486 pair has small order diagnostics; it does not establish continuity or coexistence. The six-rate scan status is </w:t>
      </w:r>
      <w:r>
        <w:rPr>
          <w:b/>
          <w:i w:val="0"/>
        </w:rPr>
        <w:t>running: recovered after session interruption</w:t>
      </w:r>
      <w:r>
        <w:rPr>
          <w:b w:val="0"/>
          <w:i w:val="0"/>
        </w:rPr>
        <w:t xml:space="preserve">, with </w:t>
      </w:r>
      <w:r>
        <w:rPr>
          <w:b/>
          <w:i w:val="0"/>
        </w:rPr>
        <w:t>6/12</w:t>
      </w:r>
      <w:r>
        <w:rPr>
          <w:b w:val="0"/>
          <w:i w:val="0"/>
        </w:rPr>
        <w:t xml:space="preserve"> accepted preparation records at generation time. Its table marks pending/failed entries explicitly. A finite bulk free-energy gap is not coexistence. The earlier latent-heat proxy and claimed physical coexistence length remain unvalidated/withdrawn.</w:t>
      </w:r>
    </w:p>
    <w:p>
      <w:r>
        <w:rPr>
          <w:b w:val="0"/>
          <w:i w:val="0"/>
        </w:rPr>
        <w:t>The source updates the chosen method and completed finite fourth-Clifford/d=3 pilots without promoting them to thermodynamic results. Old v33 tables remain historical observations, not relabeled χ128 data.</w:t>
      </w:r>
    </w:p>
    <w:p>
      <w:pPr>
        <w:pStyle w:val="Heading2"/>
      </w:pPr>
      <w:r>
        <w:rPr>
          <w:b w:val="0"/>
          <w:i w:val="0"/>
        </w:rPr>
        <w:t>Preservation and verification</w:t>
      </w:r>
    </w:p>
    <w:p>
      <w:pPr>
        <w:pStyle w:val="ListBullet"/>
        <w:spacing w:after="60"/>
      </w:pPr>
      <w:r>
        <w:rPr>
          <w:b w:val="0"/>
          <w:i w:val="0"/>
        </w:rPr>
        <w:t>Original v33 is not edited.</w:t>
      </w:r>
    </w:p>
    <w:p>
      <w:pPr>
        <w:pStyle w:val="ListBullet"/>
        <w:spacing w:after="60"/>
      </w:pPr>
      <w:r>
        <w:rPr>
          <w:b/>
          <w:i w:val="0"/>
        </w:rPr>
        <w:t>65 theorem/statement/proof blocks are unchanged verbatim</w:t>
      </w:r>
      <w:r>
        <w:rPr>
          <w:b w:val="0"/>
          <w:i w:val="0"/>
        </w:rPr>
        <w:t xml:space="preserve"> by a source-contract comparison.</w:t>
      </w:r>
    </w:p>
    <w:p>
      <w:pPr>
        <w:pStyle w:val="ListBullet"/>
        <w:spacing w:after="60"/>
      </w:pPr>
      <w:r>
        <w:rPr>
          <w:b w:val="0"/>
          <w:i w:val="0"/>
        </w:rPr>
        <w:t>Labels are unique; references and citation keys resolve.</w:t>
      </w:r>
    </w:p>
    <w:p>
      <w:pPr>
        <w:pStyle w:val="ListBullet"/>
        <w:spacing w:after="60"/>
      </w:pPr>
      <w:r>
        <w:rPr>
          <w:b w:val="0"/>
          <w:i w:val="0"/>
        </w:rPr>
        <w:t>The source/provenance JSON and unified diff record this continuation.</w:t>
      </w:r>
    </w:p>
    <w:p>
      <w:pPr>
        <w:pStyle w:val="ListBullet"/>
        <w:spacing w:after="60"/>
      </w:pPr>
      <w:r>
        <w:rPr>
          <w:b w:val="0"/>
          <w:i w:val="0"/>
        </w:rPr>
        <w:t>This source-contract audit is not a proof of every retained theorem or a new addition to the 246-check suite.</w:t>
      </w:r>
    </w:p>
    <w:p>
      <w:pPr>
        <w:pStyle w:val="Heading2"/>
      </w:pPr>
      <w:r>
        <w:rPr>
          <w:b w:val="0"/>
          <w:i w:val="0"/>
        </w:rPr>
        <w:t>Submission status</w:t>
      </w:r>
    </w:p>
    <w:p>
      <w:r>
        <w:rPr>
          <w:b w:val="0"/>
          <w:i w:val="0"/>
        </w:rPr>
        <w:t xml:space="preserve">Still an </w:t>
      </w:r>
      <w:r>
        <w:rPr>
          <w:b/>
          <w:i w:val="0"/>
        </w:rPr>
        <w:t>author-review draft</w:t>
      </w:r>
      <w:r>
        <w:rPr>
          <w:b w:val="0"/>
          <w:i w:val="0"/>
        </w:rPr>
        <w:t xml:space="preserve">: original </w:t>
      </w:r>
      <w:r>
        <w:rPr>
          <w:rFonts w:ascii="Consolas" w:hAnsi="Consolas" w:eastAsia="Consolas" w:cs="Consolas"/>
          <w:b w:val="0"/>
          <w:i w:val="0"/>
        </w:rPr>
        <w:t>fig_final_fss_v16.pdf</w:t>
      </w:r>
      <w:r>
        <w:rPr>
          <w:b w:val="0"/>
          <w:i w:val="0"/>
        </w:rPr>
        <w:t>, original SM/numerical deposits, author approval, and specialist analytic-hypothesis audit remain required. No submission PDF or visual layout certificate was produced. New interpretation does not supply missing scientific hypotheses or assets.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