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324F" w:val="clear"/>
          </w:tcPr>
          <w:p>
            <w:pPr>
              <w:spacing w:before="3440"/>
            </w:pPr>
          </w:p>
          <w:p>
            <w:pPr>
              <w:pBdr>
                <w:bottom w:val="single" w:color="C8B896" w:sz="6" w:space="8"/>
              </w:pBdr>
              <w:spacing w:after="500"/>
              <w:ind w:left="1200" w:right="800"/>
            </w:pPr>
            <w:r>
              <w:rPr>
                <w:rFonts w:ascii="Calibri" w:eastAsia="SimHei"/>
                <w:color w:val="C8B896"/>
                <w:spacing w:val="40"/>
                <w:sz w:val="18"/>
                <w:szCs w:val="18"/>
              </w:rPr>
              <w:t xml:space="preserve">P  R  O  O  F     V  E  R  I  F  I  C  A  T  I  O  N     R  E  P  O  R  T</w:t>
            </w:r>
          </w:p>
          <w:p>
            <w:pPr>
              <w:spacing w:after="100" w:line="920" w:lineRule="atLeast"/>
              <w:ind w:left="1200"/>
            </w:pPr>
            <w:r>
              <w:rPr>
                <w:rFonts w:ascii="Arial" w:eastAsia="SimHei"/>
                <w:b/>
                <w:bCs/>
                <w:color w:val="FFFFFF"/>
                <w:sz w:val="80"/>
                <w:szCs w:val="80"/>
              </w:rPr>
              <w:t xml:space="preserve">Dedicated Proof</w:t>
            </w:r>
          </w:p>
          <w:p>
            <w:pPr>
              <w:spacing w:after="100" w:line="920" w:lineRule="atLeast"/>
              <w:ind w:left="1200"/>
            </w:pPr>
            <w:r>
              <w:rPr>
                <w:rFonts w:ascii="Arial" w:eastAsia="SimHei"/>
                <w:b/>
                <w:bCs/>
                <w:color w:val="FFFFFF"/>
                <w:sz w:val="80"/>
                <w:szCs w:val="80"/>
              </w:rPr>
              <w:t xml:space="preserve">Check of the</w:t>
            </w:r>
          </w:p>
          <w:p>
            <w:pPr>
              <w:spacing w:after="300" w:line="920" w:lineRule="atLeast"/>
              <w:ind w:left="1200"/>
            </w:pPr>
            <w:r>
              <w:rPr>
                <w:rFonts w:ascii="Arial" w:eastAsia="SimHei"/>
                <w:b/>
                <w:bCs/>
                <w:color w:val="FFFFFF"/>
                <w:sz w:val="80"/>
                <w:szCs w:val="80"/>
              </w:rPr>
              <w:t xml:space="preserve">Remaining Theorems</w:t>
            </w:r>
          </w:p>
          <w:p>
            <w:pPr>
              <w:spacing w:after="800"/>
              <w:ind w:left="1200" w:right="800"/>
            </w:pPr>
            <w:r>
              <w:rPr>
                <w:rFonts w:ascii="Arial" w:eastAsia="Microsoft YaHei"/>
                <w:color w:val="C9D4E0"/>
                <w:sz w:val="24"/>
                <w:szCs w:val="24"/>
              </w:rPr>
              <w:t xml:space="preserve">135 proof-bearing results beyond the multiletter-AAK family, verified at line level</w:t>
            </w:r>
          </w:p>
          <w:p>
            <w:pPr>
              <w:pBdr>
                <w:left w:val="single" w:color="C8B896" w:sz="8" w:space="12"/>
              </w:pBdr>
              <w:spacing w:after="80"/>
              <w:ind w:left="1400"/>
            </w:pPr>
            <w:r>
              <w:rPr>
                <w:rFonts w:ascii="Arial" w:eastAsia="Microsoft YaHei"/>
                <w:color w:val="AFC0D0"/>
                <w:sz w:val="24"/>
                <w:szCs w:val="24"/>
              </w:rPr>
              <w:t xml:space="preserve">Manuscript: The Rate-Distortion Theory of Bounded Sequential Transduction</w:t>
            </w:r>
          </w:p>
          <w:p>
            <w:pPr>
              <w:pBdr>
                <w:left w:val="single" w:color="C8B896" w:sz="8" w:space="12"/>
              </w:pBdr>
              <w:spacing w:after="80"/>
              <w:ind w:left="1400"/>
            </w:pPr>
            <w:r>
              <w:rPr>
                <w:rFonts w:ascii="Arial" w:eastAsia="Microsoft YaHei"/>
                <w:color w:val="AFC0D0"/>
                <w:sz w:val="24"/>
                <w:szCs w:val="24"/>
              </w:rPr>
              <w:t xml:space="preserve">Version checked: automata_unified_revised_v4.tex (frozen, 18,032 lines)</w:t>
            </w:r>
          </w:p>
          <w:p>
            <w:pPr>
              <w:pBdr>
                <w:left w:val="single" w:color="C8B896" w:sz="8" w:space="12"/>
              </w:pBdr>
              <w:spacing w:after="80"/>
              <w:ind w:left="1400"/>
            </w:pPr>
            <w:r>
              <w:rPr>
                <w:rFonts w:ascii="Arial" w:eastAsia="Microsoft YaHei"/>
                <w:color w:val="AFC0D0"/>
                <w:sz w:val="24"/>
                <w:szCs w:val="24"/>
              </w:rPr>
              <w:t xml:space="preserve">Results in scope: 50 theorems, 21 lemmas, 37 propositions, 29 corollaries, 4 meta-theorems</w:t>
            </w:r>
          </w:p>
          <w:p>
            <w:pPr>
              <w:pBdr>
                <w:left w:val="single" w:color="C8B896" w:sz="8" w:space="12"/>
              </w:pBdr>
              <w:spacing w:after="80"/>
              <w:ind w:left="1400"/>
            </w:pPr>
            <w:r>
              <w:rPr>
                <w:rFonts w:ascii="Arial" w:eastAsia="Microsoft YaHei"/>
                <w:color w:val="AFC0D0"/>
                <w:sz w:val="24"/>
                <w:szCs w:val="24"/>
              </w:rPr>
              <w:t xml:space="preserve">Verdict: 133 sound as stated; 2 minor proof-internal defects, fixed in v5</w:t>
            </w:r>
          </w:p>
          <w:p>
            <w:pPr>
              <w:pBdr>
                <w:left w:val="single" w:color="C8B896" w:sz="8" w:space="12"/>
              </w:pBdr>
              <w:spacing w:after="80"/>
              <w:ind w:left="1400"/>
            </w:pPr>
            <w:r>
              <w:rPr>
                <w:rFonts w:ascii="Arial" w:eastAsia="Microsoft YaHei"/>
                <w:color w:val="AFC0D0"/>
                <w:sz w:val="24"/>
                <w:szCs w:val="24"/>
              </w:rPr>
              <w:t xml:space="preserve">Numerical verification: 42 of 42 independent checks pass</w:t>
            </w:r>
          </w:p>
          <w:p>
            <w:pPr>
              <w:spacing w:before="3440"/>
            </w:pPr>
          </w:p>
          <w:p>
            <w:pPr>
              <w:pBdr>
                <w:top w:val="single" w:color="C8B896" w:sz="2" w:space="8"/>
              </w:pBdr>
              <w:spacing w:before="200"/>
              <w:ind w:left="1200" w:right="800"/>
            </w:pPr>
            <w:r>
              <w:rPr>
                <w:rFonts w:ascii="Arial"/>
                <w:color w:val="8FA3B8"/>
                <w:sz w:val="16"/>
                <w:szCs w:val="16"/>
              </w:rPr>
              <w:t xml:space="preserve">Proof Verification Series</w:t>
            </w:r>
            <w:r>
              <w:t xml:space="preserve">                                        </w:t>
            </w:r>
            <w:r>
              <w:rPr>
                <w:rFonts w:ascii="Arial"/>
                <w:color w:val="8FA3B8"/>
                <w:sz w:val="16"/>
                <w:szCs w:val="16"/>
              </w:rPr>
              <w:t xml:space="preserve">September 2026</w:t>
            </w:r>
          </w:p>
        </w:tc>
      </w:tr>
    </w:tbl>
    <w:p>
      <w:pPr>
        <w:sectPr>
          <w:pgSz w:w="11906" w:h="16838" w:orient="portrait"/>
          <w:pgMar w:top="0" w:right="0" w:bottom="0" w:left="0" w:header="708" w:footer="708" w:gutter="0"/>
          <w:docGrid w:linePitch="360"/>
        </w:sectPr>
      </w:pPr>
    </w:p>
    <w:p>
      <w:pPr>
        <w:spacing w:after="200" w:before="200"/>
      </w:pPr>
      <w:r>
        <w:rPr>
          <w:rFonts w:ascii="Times New Roman" w:eastAsia="SimHei"/>
          <w:b/>
          <w:bCs/>
          <w:color w:val="16324F"/>
          <w:sz w:val="32"/>
          <w:szCs w:val="32"/>
        </w:rPr>
        <w:t xml:space="preserve">Contents</w:t>
      </w:r>
    </w:p>
    <w:sdt>
      <w:sdtPr>
        <w:alias w:val="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Scope, Inventory, and Method</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Verification by Manuscript Section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Section 2, The Schema of Finite-State Approximation (3 results)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Section 3, Specialized Task Theories (2 results)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3.3 Section 4, Structural Meta-Theorems (6 results)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3.4 Section 5, Retention (35 results)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3.5 Section 6, Commitment (6 results)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3.6 Section 7, Grounding (10 results)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3.7 Section 8, The Conditional Schatten Converse Template (9 results)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3.8 Section 9, The Two-Axis Oracle Inequality (18 results)</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3.9 Section 10, The Linear Price-of-Safety Surrogate (9 results)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3.10 Sections 11 and 12, Exponent Vertices and Joint Results (12 results)</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3.11 Section 13, The Temporal Axis (23 results)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3.12 Section 15, Conditional Representation (1 result)</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4. The Two Findings and Their v5 Disposition</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4.1 Finding F1: an incorrect displayed constant in the proof of Proposition prop:grounding-tracking</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4.2 Finding F2: the 'right congruence' convention in the discrete Price-of-Safety subsection</w:t>
            </w:r>
            <w:r>
              <w:tab/>
            </w:r>
            <w:r>
              <w:fldChar w:fldCharType="begin"/>
            </w:r>
            <w:r>
              <w:instrText xml:space="preserve"> PAGEREF _Toc100017 \h </w:instrText>
            </w:r>
            <w:r>
              <w:fldChar w:fldCharType="separate"/>
            </w:r>
            <w:r>
              <w:t>7</w:t>
            </w:r>
            <w:r>
              <w:fldChar w:fldCharType="end"/>
            </w:r>
          </w:hyperlink>
        </w:p>
        <w:p>
          <w:pPr>
            <w:pStyle w:val="9"/>
            <w:tabs>
              <w:tab w:val="right" w:leader="dot" w:pos="9026"/>
            </w:tabs>
            <w:spacing w:before="120" w:after="60"/>
          </w:pPr>
          <w:hyperlink w:anchor="_Toc100018" w:history="1">
            <w:r>
              <w:rPr>
                <w:rStyle w:val="Hyperlink"/>
              </w:rPr>
              <w:t>5. Non-Blocking Observations</w:t>
            </w:r>
            <w:r>
              <w:tab/>
            </w:r>
            <w:r>
              <w:fldChar w:fldCharType="begin"/>
            </w:r>
            <w:r>
              <w:instrText xml:space="preserve"> PAGEREF _Toc100018 \h </w:instrText>
            </w:r>
            <w:r>
              <w:fldChar w:fldCharType="separate"/>
            </w:r>
            <w:r>
              <w:t>7</w:t>
            </w:r>
            <w:r>
              <w:fldChar w:fldCharType="end"/>
            </w:r>
          </w:hyperlink>
        </w:p>
        <w:p>
          <w:pPr>
            <w:pStyle w:val="9"/>
            <w:tabs>
              <w:tab w:val="right" w:leader="dot" w:pos="9026"/>
            </w:tabs>
            <w:spacing w:before="120" w:after="60"/>
          </w:pPr>
          <w:hyperlink w:anchor="_Toc100019" w:history="1">
            <w:r>
              <w:rPr>
                <w:rStyle w:val="Hyperlink"/>
              </w:rPr>
              <w:t>6. Numerical Verification</w:t>
            </w:r>
            <w:r>
              <w:tab/>
            </w:r>
            <w:r>
              <w:fldChar w:fldCharType="begin"/>
            </w:r>
            <w:r>
              <w:instrText xml:space="preserve"> PAGEREF _Toc100019 \h </w:instrText>
            </w:r>
            <w:r>
              <w:fldChar w:fldCharType="separate"/>
            </w:r>
            <w:r>
              <w:t>8</w:t>
            </w:r>
            <w:r>
              <w:fldChar w:fldCharType="end"/>
            </w:r>
          </w:hyperlink>
        </w:p>
        <w:p>
          <w:pPr>
            <w:pStyle w:val="9"/>
            <w:tabs>
              <w:tab w:val="right" w:leader="dot" w:pos="9026"/>
            </w:tabs>
            <w:spacing w:before="120" w:after="60"/>
          </w:pPr>
          <w:hyperlink w:anchor="_Toc100020" w:history="1">
            <w:r>
              <w:rPr>
                <w:rStyle w:val="Hyperlink"/>
              </w:rPr>
              <w:t>7. Version Actions and Compile Status</w:t>
            </w:r>
            <w:r>
              <w:tab/>
            </w:r>
            <w:r>
              <w:fldChar w:fldCharType="begin"/>
            </w:r>
            <w:r>
              <w:instrText xml:space="preserve"> PAGEREF _Toc100020 \h </w:instrText>
            </w:r>
            <w:r>
              <w:fldChar w:fldCharType="separate"/>
            </w:r>
            <w:r>
              <w:t>8</w:t>
            </w:r>
            <w:r>
              <w:fldChar w:fldCharType="end"/>
            </w:r>
          </w:hyperlink>
        </w:p>
        <w:p>
          <w:pPr>
            <w:pStyle w:val="9"/>
            <w:tabs>
              <w:tab w:val="right" w:leader="dot" w:pos="9026"/>
            </w:tabs>
            <w:spacing w:before="120" w:after="60"/>
          </w:pPr>
          <w:hyperlink w:anchor="_Toc100021" w:history="1">
            <w:r>
              <w:rPr>
                <w:rStyle w:val="Hyperlink"/>
              </w:rPr>
              <w:t>8. Conclusion</w:t>
            </w:r>
            <w:r>
              <w:tab/>
            </w:r>
            <w:r>
              <w:fldChar w:fldCharType="begin"/>
            </w:r>
            <w:r>
              <w:instrText xml:space="preserve"> PAGEREF _Toc100021 \h </w:instrText>
            </w:r>
            <w:r>
              <w:fldChar w:fldCharType="separate"/>
            </w:r>
            <w:r>
              <w:t>9</w:t>
            </w:r>
            <w:r>
              <w:fldChar w:fldCharType="end"/>
            </w:r>
          </w:hyperlink>
        </w:p>
        <w:p>
          <w:r>
            <w:fldChar w:fldCharType="end"/>
          </w:r>
        </w:p>
      </w:sdtContent>
    </w:sdt>
    <w:p>
      <w:pPr>
        <w:spacing w:before="200"/>
      </w:pPr>
      <w:r>
        <w:rPr>
          <w:rFonts w:ascii="Times New Roman" w:eastAsia="SimSun"/>
          <w:i/>
          <w:iCs/>
          <w:color w:val="8A8A8A"/>
          <w:sz w:val="18"/>
          <w:szCs w:val="18"/>
        </w:rPr>
        <w:t xml:space="preserve">Note: open in Word/WPS and right-click the table of contents, then choose Update Field, to refresh page numbers.</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6324F"/>
          <w:sz w:val="32"/>
          <w:szCs w:val="32"/>
        </w:rPr>
        <w:t xml:space="preserve">1. Executive Summary</w:t>
      </w:r>
      <w:bookmarkEnd w:id="100000"/>
    </w:p>
    <w:p>
      <w:pPr>
        <w:spacing w:after="120" w:line="312"/>
        <w:jc w:val="both"/>
      </w:pPr>
      <w:r>
        <w:rPr>
          <w:rFonts w:ascii="Times New Roman" w:eastAsia="SimSun"/>
          <w:color w:val="1C2A3D"/>
          <w:sz w:val="22"/>
          <w:szCs w:val="22"/>
        </w:rPr>
        <w:t xml:space="preserve">This report documents a dedicated proof check of the remaining theorems of the manuscript 'The Rate-Distortion Theory of Bounded Sequential Transduction: A Comparative Syntax for Finite-State Approximation' (version automata_unified_revised_v4.tex, 18,032 source lines, 233 compiled pages), extending the earlier dedicated check of the multiletter-AAK family. An automated inventory of the source identifies 390 theorem-like environments, of which 141 carry proofs as theorem-strength results (50 theorems, 21 lemmas, 37 propositions, 29 corollaries, and 4 of the 5 meta-theorems). Seven of these belong to the AAK dependency cone and were checked in the previous round; the present round covers the remaining 135 proof-bearing results. Every one of the 135 was read at line level inside its full section context, and every proof was re-derived step by step: each algebraic identity was recomputed, each inequality chain was checked for direction and constant, each construction was traced on small instances, and each quantitative or numerical claim that could be recomputed was recomputed independently in code.</w:t>
      </w:r>
    </w:p>
    <w:p>
      <w:pPr>
        <w:spacing w:after="120" w:line="312"/>
        <w:jc w:val="both"/>
      </w:pPr>
      <w:r>
        <w:rPr>
          <w:rFonts w:ascii="Times New Roman" w:eastAsia="SimSun"/>
          <w:color w:val="1C2A3D"/>
          <w:sz w:val="22"/>
          <w:szCs w:val="22"/>
        </w:rPr>
        <w:t xml:space="preserve">The verdict is: </w:t>
      </w:r>
      <w:r>
        <w:rPr>
          <w:rFonts w:ascii="Times New Roman" w:eastAsia="SimSun"/>
          <w:b/>
          <w:bCs/>
          <w:color w:val="2E6B3E"/>
          <w:sz w:val="22"/>
          <w:szCs w:val="22"/>
        </w:rPr>
        <w:t xml:space="preserve">133 of the 135 results are sound as stated, and the remaining 2 carry minor proof-internal precision defects that do not affect their statements; both defects have been corrected in a new version file, automata_unified_revised_v5.tex</w:t>
      </w:r>
      <w:r>
        <w:rPr>
          <w:rFonts w:ascii="Times New Roman" w:eastAsia="SimSun"/>
          <w:color w:val="1C2A3D"/>
          <w:sz w:val="22"/>
          <w:szCs w:val="22"/>
        </w:rPr>
        <w:t xml:space="preserve">. No substantive mathematical error was found anywhere in the manuscript: no false lemma, no invalid deduction, no constant in the wrong direction, no missing hypothesis that changes a truth value. The two findings are, first, an incorrect intermediate display inside the proof of Proposition prop:grounding-tracking (clause iii), where the partition-independent constant in a displayed identity is wrong even though the stated result and the surrounding argument are correct; and, second, a terminology gap in the discrete Price-of-Safety subsection of Section 10, where the term 'right congruence' is used for objects the proofs treat as unconstrained partitions, leaving the existence clause of Proposition prop:pos-quad-consistent without an explicitly admissible witness under the strict reading. Both are exactly the class of defect the previous AAK round fixed: precision repairs inside proofs, not mathematical errors.</w:t>
      </w:r>
    </w:p>
    <w:p>
      <w:pPr>
        <w:spacing w:after="120" w:line="312"/>
        <w:jc w:val="both"/>
      </w:pPr>
      <w:r>
        <w:rPr>
          <w:rFonts w:ascii="Times New Roman" w:eastAsia="SimSun"/>
          <w:color w:val="1C2A3D"/>
          <w:sz w:val="22"/>
          <w:szCs w:val="22"/>
        </w:rPr>
        <w:t xml:space="preserve">The numerical side of the check was fully confirmatory. Forty-two independent computational spot-checks were run against claims made in the manuscript: the counter-family retention values of the extremal-refinement proposition (0.0481, 0.0321, 0.0192, 0.0107, 0.0057 nats), both non-convexity instances of the rate-distortion-curve proposition (all optimal values reproduced to seven decimals), the Csiszar chain-rule identity together with its claimed failure value of -0.1657 for the reverse-Kullback-Leibler generator, the adaptive-synchronization depth-6 witness machine of the binomial bound, a full simulation of the persistent-stream forcing construction at L = 2, the Bernoulli-Fisher limit constant 0.50009, the sharpness expansion of the simplex spectral bound, the cyclic-shift family depths for L = 1 through 6, and 4,084 random (instance, partition) pairs testing the probability-coordinate spectral minorant with zero violations. All 42 checks pass. The manuscript's previously applied fix families (A1 through A6, B1 through B7, C1 through C3, D1 through D3, E1 through E5) were spot-verified in place during the same read and are all confirmed present and correctly implemented in v4.</w:t>
      </w:r>
    </w:p>
    <w:p>
      <w:pPr>
        <w:pStyle w:val="Heading1"/>
        <w:spacing w:after="160" w:before="360" w:line="312"/>
      </w:pPr>
      <w:bookmarkStart w:id="100001" w:name="_Toc100001"/>
      <w:r>
        <w:rPr>
          <w:rFonts w:ascii="Times New Roman" w:eastAsia="SimHei"/>
          <w:b/>
          <w:bCs/>
          <w:color w:val="16324F"/>
          <w:sz w:val="32"/>
          <w:szCs w:val="32"/>
        </w:rPr>
        <w:t xml:space="preserve">2. Scope, Inventory, and Method</w:t>
      </w:r>
      <w:bookmarkEnd w:id="100001"/>
    </w:p>
    <w:p>
      <w:pPr>
        <w:spacing w:after="120" w:line="312"/>
        <w:jc w:val="both"/>
      </w:pPr>
      <w:r>
        <w:rPr>
          <w:rFonts w:ascii="Times New Roman" w:eastAsia="SimSun"/>
          <w:color w:val="1C2A3D"/>
          <w:sz w:val="22"/>
          <w:szCs w:val="22"/>
        </w:rPr>
        <w:t xml:space="preserve">The object under review is the current latest frozen version, automata_unified_revised_v4.tex, which closed all review items A1 through E5 of the line-level review and carries the multiletter-AAK precision edits. The inventory was produced by script (scripts/inventory_theorems_v4.py, retained for iteration): it enumerates every theorem-like environment, attaches labels and proof locations, and classifies proof-bearing results by environment type. Proof assignment was made robust by assigning each proof environment to the nearest preceding theorem-strength result, which matters because three proofs in the manuscript follow intervening remarks (among them the proof of Lemma lem:littlestone and of Meta-Theorem meta:boolean) and a naive window would miscount them. The final count is 141 proof-bearing results; excluding the 6 proof-type members of the previously checked AAK cone leaves exactly 135 results in scope: 50 theorems, 21 lemmas, 37 propositions, 29 corollaries, and 4 meta-theorems, spanning 14 of the 18 sections.</w:t>
      </w:r>
    </w:p>
    <w:p>
      <w:pPr>
        <w:spacing w:after="120" w:line="312"/>
        <w:jc w:val="both"/>
      </w:pPr>
      <w:r>
        <w:rPr>
          <w:rFonts w:ascii="Times New Roman" w:eastAsia="SimSun"/>
          <w:color w:val="1C2A3D"/>
          <w:sz w:val="22"/>
          <w:szCs w:val="22"/>
        </w:rPr>
        <w:t xml:space="preserve">The method had three layers, applied uniformly. Layer one, line-level reading with re-derivation: the manuscript was read sequentially in full (preamble, abstract, all 18 sections, bibliography, backmatter), and each proof in scope was re-derived rather than skimmed. For algebraic proofs this meant recomputing the displayed identities (for example, the second-order expansion of the mixture Kullback-Leibler divergence in Lemma lem:fisher-uniform-expansion was verified term by term, and the block-Frobenius decomposition behind Lemma lem:equality-pinching was checked including its ordered-pair counting). For inequality proofs it meant checking every constant and direction (the centered Pinsker minorant of Theorem thm:global-kl-simplex was re-derived from the mass-splitting argument, and the Ky Fan plus Weyl steps of the four spectral converses were checked individually). For constructions it meant tracing small instances by hand and then in code (the counter family, the gated active family, the stream adversary, the depth-6 witness machine).</w:t>
      </w:r>
    </w:p>
    <w:p>
      <w:pPr>
        <w:spacing w:after="120" w:line="312"/>
        <w:jc w:val="both"/>
      </w:pPr>
      <w:r>
        <w:rPr>
          <w:rFonts w:ascii="Times New Roman" w:eastAsia="SimSun"/>
          <w:color w:val="1C2A3D"/>
          <w:sz w:val="22"/>
          <w:szCs w:val="22"/>
        </w:rPr>
        <w:t xml:space="preserve">Layer two, dependency verification: results were checked in dependency order, so that every cited predecessor had already been verified before a proof that consumes it was assessed. This surfaced one of the two findings (the tracking-deficit display) precisely because the identity it displays was checked against the same objects the surrounding results use. Layer three, computational verification: scripts/verify_remaining_theorems.py (retained with its log) implements the 42 spot-checks listed in Section 6 of this report, using exact rational arithmetic where the claims are rational and floating-point arithmetic where the claims are analytic. Two of the checks initially failed and were traced to errors in the checking script itself, not in the manuscript: the counter-family check had the Bernoulli convention reversed, and the spectral-minorant check had sorted the eigenvalues ascending after reversing them. With the script corrected, every claim in the manuscript reproduced exactly, which is itself evidence of internal consistency: the manuscript's numbers were generated by an independent implementation and match a second implementation to the printed precision.</w:t>
      </w:r>
    </w:p>
    <w:p>
      <w:pPr>
        <w:pStyle w:val="Heading1"/>
        <w:spacing w:after="160" w:before="360" w:line="312"/>
      </w:pPr>
      <w:bookmarkStart w:id="100002" w:name="_Toc100002"/>
      <w:r>
        <w:rPr>
          <w:rFonts w:ascii="Times New Roman" w:eastAsia="SimHei"/>
          <w:b/>
          <w:bCs/>
          <w:color w:val="16324F"/>
          <w:sz w:val="32"/>
          <w:szCs w:val="32"/>
        </w:rPr>
        <w:t xml:space="preserve">3. Verification by Manuscript Section</w:t>
      </w:r>
      <w:bookmarkEnd w:id="100002"/>
    </w:p>
    <w:p>
      <w:pPr>
        <w:spacing w:after="120" w:line="312"/>
        <w:jc w:val="both"/>
      </w:pPr>
      <w:r>
        <w:rPr>
          <w:rFonts w:ascii="Times New Roman" w:eastAsia="SimSun"/>
          <w:color w:val="1C2A3D"/>
          <w:sz w:val="22"/>
          <w:szCs w:val="22"/>
        </w:rPr>
        <w:t xml:space="preserve">This section records, section by section, what was checked and what was found. Each subsection covers the proof-bearing results of the corresponding manuscript section; the verdict tags are Sound for results verified without reservation, and Fixed in v5 for the two results whose proofs carry the precision defects described in Section 4. The twelve results stated without proof environments (quoted classical statements such as Theorem thm:mirsky and Proposition prop:DPI-scoped, and the identification anchors consolidated by the earlier E1 pass) were also read; their statements match the classical literature as cited, and none is load-bearing as a novel claim.</w:t>
      </w:r>
    </w:p>
    <w:p>
      <w:pPr>
        <w:pStyle w:val="Heading2"/>
        <w:spacing w:after="120" w:before="280" w:line="312"/>
      </w:pPr>
      <w:bookmarkStart w:id="100003" w:name="_Toc100003"/>
      <w:r>
        <w:rPr>
          <w:rFonts w:ascii="Times New Roman" w:eastAsia="SimHei"/>
          <w:b/>
          <w:bCs/>
          <w:color w:val="16324F"/>
          <w:sz w:val="28"/>
          <w:szCs w:val="28"/>
        </w:rPr>
        <w:t xml:space="preserve">3.1 Section 2, The Schema of Finite-State Approximation (3 results)</w:t>
      </w:r>
      <w:bookmarkEnd w:id="100003"/>
    </w:p>
    <w:p>
      <w:pPr>
        <w:spacing w:after="120" w:line="312"/>
        <w:jc w:val="both"/>
      </w:pPr>
      <w:r>
        <w:rPr>
          <w:rFonts w:ascii="Times New Roman" w:eastAsia="SimSun"/>
          <w:color w:val="1C2A3D"/>
          <w:sz w:val="22"/>
          <w:szCs w:val="22"/>
        </w:rPr>
        <w:t xml:space="preserve">Lemma lem:cofiltered-support (support-relative intersection), Lemma lem:cofiltered (total-action intersection), and Proposition prop:unifilar-residually-finite (residual finiteness of the synchronized history tree). </w:t>
      </w:r>
      <w:r>
        <w:rPr>
          <w:rFonts w:ascii="Times New Roman" w:eastAsia="SimSun"/>
          <w:b/>
          <w:bCs/>
          <w:color w:val="2E6B3E"/>
          <w:sz w:val="22"/>
          <w:szCs w:val="22"/>
        </w:rPr>
        <w:t xml:space="preserve">All three are sound.</w:t>
      </w:r>
      <w:r>
        <w:rPr>
          <w:rFonts w:ascii="Times New Roman" w:eastAsia="SimSun"/>
          <w:color w:val="1C2A3D"/>
          <w:sz w:val="22"/>
          <w:szCs w:val="22"/>
        </w:rPr>
        <w:t xml:space="preserve"> The intersection arguments were re-derived: clause (i) of the support-relative definition is inherited from either factor, clause (ii) from both, and the class-to-pair injection gives the product index bound. The residual-finiteness construction was checked in detail: the length-threshold relation w ~ N w-prime (equal, or both of length at least N with equal state readout) was verified to be a support-relative right congruence, with feasibility a function of the state alone (clause i), the transition consistency following from unifilarity (clause ii), finite index bounded by the count of short words plus the state count, and separation of distinct histories by singletons. The inline residual-finiteness argument for the free monoid (the length-N relation with index |I|^{&lt;N} + 1) was also re-derived and is correct.</w:t>
      </w:r>
    </w:p>
    <w:p>
      <w:pPr>
        <w:pStyle w:val="Heading2"/>
        <w:spacing w:after="120" w:before="280" w:line="312"/>
      </w:pPr>
      <w:bookmarkStart w:id="100004" w:name="_Toc100004"/>
      <w:r>
        <w:rPr>
          <w:rFonts w:ascii="Times New Roman" w:eastAsia="SimHei"/>
          <w:b/>
          <w:bCs/>
          <w:color w:val="16324F"/>
          <w:sz w:val="28"/>
          <w:szCs w:val="28"/>
        </w:rPr>
        <w:t xml:space="preserve">3.2 Section 3, Specialized Task Theories (2 results)</w:t>
      </w:r>
      <w:bookmarkEnd w:id="100004"/>
    </w:p>
    <w:p>
      <w:pPr>
        <w:spacing w:after="120" w:line="312"/>
        <w:jc w:val="both"/>
      </w:pPr>
      <w:r>
        <w:rPr>
          <w:rFonts w:ascii="Times New Roman" w:eastAsia="SimSun"/>
          <w:color w:val="1C2A3D"/>
          <w:sz w:val="22"/>
          <w:szCs w:val="22"/>
        </w:rPr>
        <w:t xml:space="preserve">Proposition prop:stable-decay (Schur-test Hankel domination) and Proposition prop:lumpability (right-congruence correspondence in synchronized machines). </w:t>
      </w:r>
      <w:r>
        <w:rPr>
          <w:rFonts w:ascii="Times New Roman" w:eastAsia="SimSun"/>
          <w:b/>
          <w:bCs/>
          <w:color w:val="2E6B3E"/>
          <w:sz w:val="22"/>
          <w:szCs w:val="22"/>
        </w:rPr>
        <w:t xml:space="preserve">Both are sound.</w:t>
      </w:r>
      <w:r>
        <w:rPr>
          <w:rFonts w:ascii="Times New Roman" w:eastAsia="SimSun"/>
          <w:color w:val="1C2A3D"/>
          <w:sz w:val="22"/>
          <w:szCs w:val="22"/>
        </w:rPr>
        <w:t xml:space="preserve"> The Schur test was recomputed: the row sums are bounded by epsilon times rho to the length, the geometric series evaluates to 1/(1 - |Sigma| rho) under the stated hypothesis, the column bound holds by symmetry of the entrywise estimate, and the Schur product gives the operator-norm bound. The lumpability correspondence was checked in both directions: the forward direction chains the synchronization readout, the lumpability intertwining, and the equality of block labels; the converse defines the quotient transition by the intertwining and verifies well-definedness through the coarseness hypothesis, exactly as the proof displays. The one-step-predictive-equivalence counterexample (Example ex:onestep-not-congruence) was verified, including its honest scope note that the distinguishing states are transient under any stationary law.</w:t>
      </w:r>
    </w:p>
    <w:p>
      <w:pPr>
        <w:pStyle w:val="Heading2"/>
        <w:spacing w:after="120" w:before="280" w:line="312"/>
      </w:pPr>
      <w:bookmarkStart w:id="100005" w:name="_Toc100005"/>
      <w:r>
        <w:rPr>
          <w:rFonts w:ascii="Times New Roman" w:eastAsia="SimHei"/>
          <w:b/>
          <w:bCs/>
          <w:color w:val="16324F"/>
          <w:sz w:val="28"/>
          <w:szCs w:val="28"/>
        </w:rPr>
        <w:t xml:space="preserve">3.3 Section 4, Structural Meta-Theorems (6 results)</w:t>
      </w:r>
      <w:bookmarkEnd w:id="100005"/>
    </w:p>
    <w:p>
      <w:pPr>
        <w:spacing w:after="120" w:line="312"/>
        <w:jc w:val="both"/>
      </w:pPr>
      <w:r>
        <w:rPr>
          <w:rFonts w:ascii="Times New Roman" w:eastAsia="SimSun"/>
          <w:color w:val="1C2A3D"/>
          <w:sz w:val="22"/>
          <w:szCs w:val="22"/>
        </w:rPr>
        <w:t xml:space="preserve">Meta-Theorems meta:monotone, meta:boolean, and meta:spectral; Lemma lem:support-extension; and Corollary cor:stable-residual-spectral. </w:t>
      </w:r>
      <w:r>
        <w:rPr>
          <w:rFonts w:ascii="Times New Roman" w:eastAsia="SimSun"/>
          <w:b/>
          <w:bCs/>
          <w:color w:val="2E6B3E"/>
          <w:sz w:val="22"/>
          <w:szCs w:val="22"/>
        </w:rPr>
        <w:t xml:space="preserve">All six are sound.</w:t>
      </w:r>
      <w:r>
        <w:rPr>
          <w:rFonts w:ascii="Times New Roman" w:eastAsia="SimSun"/>
          <w:color w:val="1C2A3D"/>
          <w:sz w:val="22"/>
          <w:szCs w:val="22"/>
        </w:rPr>
        <w:t xml:space="preserve"> For meta:monotone, the definitional clauses were checked (nested feasible sets; the reflexivity-consumed upper bound; the separatedness-consumed converse) and the profinite equivalence in clause (iv) was verified in both directions: the forward direction uses compactness of the completion and the cofilteredness established in Section 2 to refine any finite clopen partition to a congruence partition, and the converse upgrades a vanishing gap to uniform continuity through the uniform-compatibility hypothesis introduced in the v4 precision pass. For meta:boolean, the sandwich was checked with attention to the measure-theoretic step: because the support of the discounted-prefix law gives positive mass to every history it contains, 'almost every' upgrades to 'every' inside the support, which is what makes the restriction-to-the-support lower bound valid. Lemma lem:support-extension was verified block by block, including the explicit construction of the outside classes and the sharpness example attaining c_S = 1 on the nonempty-word support. Corollary cor:stable-residual-spectral was checked as an inequality chain and every direction is correct.</w:t>
      </w:r>
    </w:p>
    <w:p>
      <w:pPr>
        <w:pStyle w:val="Heading2"/>
        <w:spacing w:after="120" w:before="280" w:line="312"/>
      </w:pPr>
      <w:bookmarkStart w:id="100006" w:name="_Toc100006"/>
      <w:r>
        <w:rPr>
          <w:rFonts w:ascii="Times New Roman" w:eastAsia="SimHei"/>
          <w:b/>
          <w:bCs/>
          <w:color w:val="16324F"/>
          <w:sz w:val="28"/>
          <w:szCs w:val="28"/>
        </w:rPr>
        <w:t xml:space="preserve">3.4 Section 5, Retention (35 results)</w:t>
      </w:r>
      <w:bookmarkEnd w:id="100006"/>
    </w:p>
    <w:p>
      <w:pPr>
        <w:spacing w:after="120" w:line="312"/>
        <w:jc w:val="both"/>
      </w:pPr>
      <w:r>
        <w:rPr>
          <w:rFonts w:ascii="Times New Roman" w:eastAsia="SimSun"/>
          <w:color w:val="1C2A3D"/>
          <w:sz w:val="22"/>
          <w:szCs w:val="22"/>
        </w:rPr>
        <w:t xml:space="preserve">The largest block in the manuscript: the information-bottleneck family, the four spectral converses, the controlled (unifilar) theory, the stable-refinement threshold machinery, and the three complexity theorems with their lemmas. </w:t>
      </w:r>
      <w:r>
        <w:rPr>
          <w:rFonts w:ascii="Times New Roman" w:eastAsia="SimSun"/>
          <w:b/>
          <w:bCs/>
          <w:color w:val="2E6B3E"/>
          <w:sz w:val="22"/>
          <w:szCs w:val="22"/>
        </w:rPr>
        <w:t xml:space="preserve">All 35 are sound.</w:t>
      </w:r>
      <w:r>
        <w:rPr>
          <w:rFonts w:ascii="Times New Roman" w:eastAsia="SimSun"/>
          <w:color w:val="1C2A3D"/>
          <w:sz w:val="22"/>
          <w:szCs w:val="22"/>
        </w:rPr>
        <w:t xml:space="preserve"> The load-bearing identities were re-derived. Lemma lem:mixture-centroid: the chain-rule decomposition of the weighted Kullback-Leibler divergence around the mixture was verified with its Radon-Nikodym hypotheses placed correctly. Meta-Theorem meta:ib and its controlled analogues (Theorems thm:controlled-ib and thm:controlled-ib-general): the mutual-information identities were checked including the infinity-minus-infinity protection (finiteness of the state entropy), and the general-input version was confirmed to remove the independence hypothesis by conditioning twice, exactly as its proof claims. Theorem thm:spectral-retention: the ANOVA decomposition, the centered-centroid linear relation giving rank at most M - 1, and the Ky Fan step were each verified; the M = 1 endpoint reproduces the total covariance, which is the correct consistency check.</w:t>
      </w:r>
    </w:p>
    <w:p>
      <w:pPr>
        <w:spacing w:after="120" w:line="312"/>
        <w:jc w:val="both"/>
      </w:pPr>
      <w:r>
        <w:rPr>
          <w:rFonts w:ascii="Times New Roman" w:eastAsia="SimSun"/>
          <w:color w:val="1C2A3D"/>
          <w:sz w:val="22"/>
          <w:szCs w:val="22"/>
        </w:rPr>
        <w:t xml:space="preserve">The four probability- and Fisher-coordinate converses were the most delicate. Theorem thm:global-kl-simplex rests on the centered minorant (one half of the L1 norm squared dominates the L2 norm squared for differences of probability vectors), which was re-derived from the equal-mass splitting of positive and negative parts and the max-norm bound; the sharpness proposition's Taylor expansion h(1/2 + epsilon) = log 2 - 2 epsilon^2 - (4/3) epsilon^4 was verified numerically to eight decimals. Theorem thm:global-interior-fisher: the Bregman-divergence route and the centroid-parameters-in-K hypothesis were checked; the manuscript's remark that the mixture centroid's parameter need not lie in the convex hull of the state parameters is correct and is the right reason for the hypothesis. Proposition prop:bernoulli-fisher-scales: the displayed limit constant recomputes to 0.50010, matching the printed 0.50009; the natural-parameter Fisher normalization (A'' = p(1 - p), not its reciprocal) is correct. Theorem thm:no-global-fisher-converse: the witness (antipodal Bernoulli laws with parameter separation diverging while the divergence saturates at log 2) was verified in both weighted and unweighted forms.</w:t>
      </w:r>
    </w:p>
    <w:p>
      <w:pPr>
        <w:spacing w:after="120" w:line="312"/>
        <w:jc w:val="both"/>
      </w:pPr>
      <w:r>
        <w:rPr>
          <w:rFonts w:ascii="Times New Roman" w:eastAsia="SimSun"/>
          <w:color w:val="1C2A3D"/>
          <w:sz w:val="22"/>
          <w:szCs w:val="22"/>
        </w:rPr>
        <w:t xml:space="preserve">The refinement machinery and complexity trio were verified with computational support. Proposition prop:kernel-refinement-exists: the recursion's fixed point, its lumpability at stabilization, and the maximality induction were all re-derived; the feasibility-set comparability (same-class states share kernels, hence feasible sets) is implicit but correct. Proposition prop:refinement-extremal: the induction on the counter family (separation occurs exactly at s' = M - 2 - m) was verified step by step, and the five printed retention values were reproduced exactly by an independent implementation enumerating unifilar-lumpable partitions. Theorem thm:retention-reset-np: the tag-cost identity (eta squared over n times block size minus one) was recomputed, the YES/NO separation at theta = T/n + 1 checks, and NP membership through rational arithmetic is valid. Theorem thm:retention-definite-np: the fractional k-means lower bound was confirmed to cover arbitrary machine-state variables, which is what makes the depth-two construction's NO case valid against every partition, lumpable or not. Theorem thm:full-kl-promise-np: the tangent embedding's factor-2 geometry and the Hessian 2d I on the tangent space were re-derived, giving the leading term d epsilon squared; the threshold identity theta_no = theta_yes + 2 d epsilon^2 was confirmed. Corollary cor:full-kl-apx: the normalization steps (delta at most epsilon-1 over 2 C_0 d n Z^3, and epsilon_0 = epsilon_1 / 4) were checked. Proposition prop:full-kl-algebraic-form: the collapse of the log-sum to a single rational-versus-exponential comparison is correct, with the b_j taken as the probability ratios themselves so the term count is right.</w:t>
      </w:r>
    </w:p>
    <w:p>
      <w:pPr>
        <w:pStyle w:val="Heading2"/>
        <w:spacing w:after="120" w:before="280" w:line="312"/>
      </w:pPr>
      <w:bookmarkStart w:id="100007" w:name="_Toc100007"/>
      <w:r>
        <w:rPr>
          <w:rFonts w:ascii="Times New Roman" w:eastAsia="SimHei"/>
          <w:b/>
          <w:bCs/>
          <w:color w:val="16324F"/>
          <w:sz w:val="28"/>
          <w:szCs w:val="28"/>
        </w:rPr>
        <w:t xml:space="preserve">3.5 Section 6, Commitment (6 results)</w:t>
      </w:r>
      <w:bookmarkEnd w:id="100007"/>
    </w:p>
    <w:p>
      <w:pPr>
        <w:spacing w:after="120" w:line="312"/>
        <w:jc w:val="both"/>
      </w:pPr>
      <w:r>
        <w:rPr>
          <w:rFonts w:ascii="Times New Roman" w:eastAsia="SimSun"/>
          <w:color w:val="1C2A3D"/>
          <w:sz w:val="22"/>
          <w:szCs w:val="22"/>
        </w:rPr>
        <w:t xml:space="preserve">Theorem thm:commitment-spec (Myhill-Nerode threshold), Theorem thm:com-rd-formula (fixed-budget commitment rate-distortion), Theorems thm:safety-enforce and thm:finite-monitor, Theorem thm:strategic-spread, and Corollary cor:stateless. </w:t>
      </w:r>
      <w:r>
        <w:rPr>
          <w:rFonts w:ascii="Times New Roman" w:eastAsia="SimSun"/>
          <w:b/>
          <w:bCs/>
          <w:color w:val="2E6B3E"/>
          <w:sz w:val="22"/>
          <w:szCs w:val="22"/>
        </w:rPr>
        <w:t xml:space="preserve">All six are sound.</w:t>
      </w:r>
      <w:r>
        <w:rPr>
          <w:rFonts w:ascii="Times New Roman" w:eastAsia="SimSun"/>
          <w:color w:val="1C2A3D"/>
          <w:sz w:val="22"/>
          <w:szCs w:val="22"/>
        </w:rPr>
        <w:t xml:space="preserve"> The A1 fix family (pair-determination index, greedy rule, mode attainment) was re-verified: the zero-threshold biconditional follows exactly from the definition of the one-step determination index, the inequality kappa_pair at most kappa_det is witnessed by the residual automaton, and the full-support reverse implication was re-derived through the right-invariance induction on continuation positions. Both examples in the pair-versus-class remark (the identity transduction with kappa_det = 1, and the parity transduction on an alternating support) were recomputed. Theorem thm:finite-monitor was verified as the classical safety-game attractor: the greatest-fixpoint recursion, the induction showing every strategy-reachable state lies in W, and the polynomial complexity bound all check. Theorem thm:strategic-spread: the key inequality chain (the alternating value minus the realized one-step value dominates the spread, via the bound 'minimum at fixed output dominates maximum over outputs of minimum') was re-derived, the telescoping with vanishing discounted boundary term is correct, and the myopic adversary is admissible because a deterministic controller's output is predictable from the transcript. Corollary cor:stateless: the B4-corrected proof telescopes the one-stage spread correctly and the constant controller matches the lower bound.</w:t>
      </w:r>
    </w:p>
    <w:p>
      <w:pPr>
        <w:pStyle w:val="Heading2"/>
        <w:spacing w:after="120" w:before="280" w:line="312"/>
      </w:pPr>
      <w:bookmarkStart w:id="100008" w:name="_Toc100008"/>
      <w:r>
        <w:rPr>
          <w:rFonts w:ascii="Times New Roman" w:eastAsia="SimHei"/>
          <w:b/>
          <w:bCs/>
          <w:color w:val="16324F"/>
          <w:sz w:val="28"/>
          <w:szCs w:val="28"/>
        </w:rPr>
        <w:t xml:space="preserve">3.6 Section 7, Grounding (10 results)</w:t>
      </w:r>
      <w:bookmarkEnd w:id="100008"/>
    </w:p>
    <w:p>
      <w:pPr>
        <w:spacing w:after="120" w:line="312"/>
        <w:jc w:val="both"/>
      </w:pPr>
      <w:r>
        <w:rPr>
          <w:rFonts w:ascii="Times New Roman" w:eastAsia="SimSun"/>
          <w:color w:val="1C2A3D"/>
          <w:sz w:val="22"/>
          <w:szCs w:val="22"/>
        </w:rPr>
        <w:t xml:space="preserve">The non-AAK grounding results: Corollaries cor:grounding-domination and cor:grounding-finite-rank, Proposition prop:grounding-local-equivalence, Theorem thm:exp-gap, Theorems thm:stochasticity and thm:observable-floor, Proposition prop:symbolic-finite-horizon, Corollary cor:memoryless-floor, and Propositions prop:grounding-tracking and prop:block-mode-implementability. </w:t>
      </w:r>
      <w:r>
        <w:rPr>
          <w:rFonts w:ascii="Times New Roman" w:eastAsia="SimSun"/>
          <w:b/>
          <w:bCs/>
          <w:color w:val="B4540A"/>
          <w:sz w:val="22"/>
          <w:szCs w:val="22"/>
        </w:rPr>
        <w:t xml:space="preserve">Nine of the ten are sound; prop:grounding-tracking carries the display defect fixed in v5.</w:t>
      </w:r>
      <w:r>
        <w:rPr>
          <w:rFonts w:ascii="Times New Roman" w:eastAsia="SimSun"/>
          <w:color w:val="1C2A3D"/>
          <w:sz w:val="22"/>
          <w:szCs w:val="22"/>
        </w:rPr>
        <w:t xml:space="preserve"> The D1-corrected determinism gap was re-verified: the Mealy-to-acceptor conversion (state set crossed with the output alphabet, recording the last emitted symbol) correctly decides the language, the Ambainis exponent 2^{k log log k / log k} is quoted in the right token order, and the Artin-conjecture caveat on the Freivalds constant is present. Theorem thm:stochasticity: the conditional-fairness step and the direct zero-criterion (positive probability on reachable histories) are correct. Theorem thm:observable-floor: the prefix-tree finite-state construction with the sink state, the tail bound gamma^N/(1 - gamma), and the conditional Jensen step giving sigma at most F were all re-derived. Proposition prop:symbolic-finite-horizon: the truncation sandwich and the decidability claim (finite enumeration plus rational forward recursion) are valid. The local equivalence between symmetrized max-divergence and operator norm was checked through its Loewner-order chain: the eigenvalue monotonicity steps that convert the order bound into the norm bound are correct, and the constant degrades with m_K exactly as the boundary remark claims. Proposition prop:block-mode-implementability: the implementability condition and the genie caveat are correctly separated.</w:t>
      </w:r>
    </w:p>
    <w:p>
      <w:pPr>
        <w:pStyle w:val="Heading2"/>
        <w:spacing w:after="120" w:before="280" w:line="312"/>
      </w:pPr>
      <w:bookmarkStart w:id="100009" w:name="_Toc100009"/>
      <w:r>
        <w:rPr>
          <w:rFonts w:ascii="Times New Roman" w:eastAsia="SimHei"/>
          <w:b/>
          <w:bCs/>
          <w:color w:val="16324F"/>
          <w:sz w:val="28"/>
          <w:szCs w:val="28"/>
        </w:rPr>
        <w:t xml:space="preserve">3.7 Section 8, The Conditional Schatten Converse Template (9 results)</w:t>
      </w:r>
      <w:bookmarkEnd w:id="100009"/>
    </w:p>
    <w:p>
      <w:pPr>
        <w:spacing w:after="120" w:line="312"/>
        <w:jc w:val="both"/>
      </w:pPr>
      <w:r>
        <w:rPr>
          <w:rFonts w:ascii="Times New Roman" w:eastAsia="SimSun"/>
          <w:color w:val="1C2A3D"/>
          <w:sz w:val="22"/>
          <w:szCs w:val="22"/>
        </w:rPr>
        <w:t xml:space="preserve">Proposition prop:common-operator, Lemma lem:frame-bridge, Proposition prop:no-dimension-free-bridge, Theorem thm:mirsky (quoted), Theorem thm:unified, Corollaries cor:grd-schatten, cor:ret-schatten and cor:l2, Proposition prop:com-threshold, and Theorem thm:schatten-nogo. </w:t>
      </w:r>
      <w:r>
        <w:rPr>
          <w:rFonts w:ascii="Times New Roman" w:eastAsia="SimSun"/>
          <w:b/>
          <w:bCs/>
          <w:color w:val="2E6B3E"/>
          <w:sz w:val="22"/>
          <w:szCs w:val="22"/>
        </w:rPr>
        <w:t xml:space="preserve">All nine are sound.</w:t>
      </w:r>
      <w:r>
        <w:rPr>
          <w:rFonts w:ascii="Times New Roman" w:eastAsia="SimSun"/>
          <w:color w:val="1C2A3D"/>
          <w:sz w:val="22"/>
          <w:szCs w:val="22"/>
        </w:rPr>
        <w:t xml:space="preserve"> Proposition prop:no-dimension-free-bridge was re-derived completely: the multiplicity-of-antidiagonal computation gives the exact Schatten-2 constant sqrt(n), the anti-identity permutation matrix has all singular values equal to one so the Schatten-1 constant is at least n, and the all-ones matrix has operator norm n with unit sup-norm input. The unified converse consumes its two clauses exactly as stated (rank control plus domination, then Mirsky, then infimum), and the retention instance's placement at Schatten exponent 1 through the trace-nuclear-norm equality for positive semidefinite residuals is correct and is the right answer to why the exponent is one. Theorem thm:schatten-nogo's forward reference to the independence theorem is explicitly flagged as presentation order only, and the independence theorem's constructions (checked in Section 12 below) do not invoke it, so there is no circularity.</w:t>
      </w:r>
    </w:p>
    <w:p>
      <w:pPr>
        <w:pStyle w:val="Heading2"/>
        <w:spacing w:after="120" w:before="280" w:line="312"/>
      </w:pPr>
      <w:bookmarkStart w:id="100010" w:name="_Toc100010"/>
      <w:r>
        <w:rPr>
          <w:rFonts w:ascii="Times New Roman" w:eastAsia="SimHei"/>
          <w:b/>
          <w:bCs/>
          <w:color w:val="16324F"/>
          <w:sz w:val="28"/>
          <w:szCs w:val="28"/>
        </w:rPr>
        <w:t xml:space="preserve">3.8 Section 9, The Two-Axis Oracle Inequality (18 results)</w:t>
      </w:r>
      <w:bookmarkEnd w:id="100010"/>
    </w:p>
    <w:p>
      <w:pPr>
        <w:spacing w:after="120" w:line="312"/>
        <w:jc w:val="both"/>
      </w:pPr>
      <w:r>
        <w:rPr>
          <w:rFonts w:ascii="Times New Roman" w:eastAsia="SimSun"/>
          <w:color w:val="1C2A3D"/>
          <w:sz w:val="22"/>
          <w:szCs w:val="22"/>
        </w:rPr>
        <w:t xml:space="preserve">The rate-distortion non-convexity proposition, the two congruence propositions, the fixed-budget decomposition, the three oracle inequalities, the four budget-law corollaries, the aggregation lower bound, the sandwich pair with the jump-ratio lemma, the packing criterion, the floors instance, and the minimax lower bound. </w:t>
      </w:r>
      <w:r>
        <w:rPr>
          <w:rFonts w:ascii="Times New Roman" w:eastAsia="SimSun"/>
          <w:b/>
          <w:bCs/>
          <w:color w:val="2E6B3E"/>
          <w:sz w:val="22"/>
          <w:szCs w:val="22"/>
        </w:rPr>
        <w:t xml:space="preserve">All 18 are sound.</w:t>
      </w:r>
      <w:r>
        <w:rPr>
          <w:rFonts w:ascii="Times New Roman" w:eastAsia="SimSun"/>
          <w:color w:val="1C2A3D"/>
          <w:sz w:val="22"/>
          <w:szCs w:val="22"/>
        </w:rPr>
        <w:t xml:space="preserve"> Proposition prop:rd-nonconvex was verified computationally: an independent enumeration of all partitions reproduces every printed optimal value of both instances to seven decimals, the chord slopes match, and the final slope decrease confirming non-convexity is genuine (the decrement is three orders of magnitude above the arithmetic precision). Proposition prop:unifilar-lumpability's final assertion, that full-future predictive equivalence forces equality of feasible sets and hence clause (i), was checked and is a consequence of the one-step marginals, not an extra hypothesis. Theorem thm:oracle-agnostic: the counting prior 6 over pi^2 M^2 normalizes, the logarithm is 2 log M plus a constant, and the cited second-order parameter-free guarantee supplies the displayed shape; the four budget-law corollaries' balance equations were re-solved and both exponents (alpha + 1 over 2 alpha + 1 in the agnostic case, 1 over alpha + 1 in the realizable case) are correct. Lemma lem:kappa-bounded: the monotonicity of the log-factor ratio was verified through the concavity argument, and the three printed jump-ratio constants (1.6931, 1.8402, 3.3863) are correct. Lemma lem:discrete-bv-sandwich: both inequalities and the M-star = 1 edge case are handled, and the sharpness example (a = (10, 1), b = (1, 9) giving A/B = 10 = 1 + kappa) reproduces. Theorem thm:oracle-minimax-lower: the learner-is-an-admissible-hypothesis step and the envelope-calibration chain are valid, and the honest scoping (floors as hypotheses, discharged only in the realizable stream regime) is maintained throughout.</w:t>
      </w:r>
    </w:p>
    <w:p>
      <w:pPr>
        <w:pStyle w:val="Heading2"/>
        <w:spacing w:after="120" w:before="280" w:line="312"/>
      </w:pPr>
      <w:bookmarkStart w:id="100011" w:name="_Toc100011"/>
      <w:r>
        <w:rPr>
          <w:rFonts w:ascii="Times New Roman" w:eastAsia="SimHei"/>
          <w:b/>
          <w:bCs/>
          <w:color w:val="16324F"/>
          <w:sz w:val="28"/>
          <w:szCs w:val="28"/>
        </w:rPr>
        <w:t xml:space="preserve">3.9 Section 10, The Linear Price-of-Safety Surrogate (9 results)</w:t>
      </w:r>
      <w:bookmarkEnd w:id="100011"/>
    </w:p>
    <w:p>
      <w:pPr>
        <w:spacing w:after="120" w:line="312"/>
        <w:jc w:val="both"/>
      </w:pPr>
      <w:r>
        <w:rPr>
          <w:rFonts w:ascii="Times New Roman" w:eastAsia="SimSun"/>
          <w:color w:val="1C2A3D"/>
          <w:sz w:val="22"/>
          <w:szCs w:val="22"/>
        </w:rPr>
        <w:t xml:space="preserve">Lemma lem:safe-local-kyfan, Theorem thm:pinching, Corollary cor:pos-coupling, Proposition prop:pos-relaxation-identity, Lemma lem:equality-pinching, Theorems thm:pos-allM and thm:pos-fixedM, Proposition prop:pos-quad-consistent, and Proposition prop:free-discrete-bound. </w:t>
      </w:r>
      <w:r>
        <w:rPr>
          <w:rFonts w:ascii="Times New Roman" w:eastAsia="SimSun"/>
          <w:b/>
          <w:bCs/>
          <w:color w:val="B4540A"/>
          <w:sz w:val="22"/>
          <w:szCs w:val="22"/>
        </w:rPr>
        <w:t xml:space="preserve">Eight of the nine are sound; prop:pos-quad-consistent carries the convention gap fixed in v5.</w:t>
      </w:r>
      <w:r>
        <w:rPr>
          <w:rFonts w:ascii="Times New Roman" w:eastAsia="SimSun"/>
          <w:color w:val="1C2A3D"/>
          <w:sz w:val="22"/>
          <w:szCs w:val="22"/>
        </w:rPr>
        <w:t xml:space="preserve"> The pinching law was verified through its unitary-average representation: averaging over block phase unitaries kills the off-block entries, the Ky Fan norms are convex and unitarily invariant so the average preserves the bound, and majorization follows. The equality lemma's Frobenius block decomposition was recomputed including the ordered-pair counting that makes the displayed identity exact. Theorem thm:pos-fixedM: both directions of the block-local-optimizer characterization were checked, including the existential caveat at spectral multiplicities. Proposition prop:free-discrete-bound was verified over all partitions (which is the correct reading, and the reason the two findings in this section are precision issues rather than mathematical errors): the between-cluster rank bound, the Ky Fan maximum principle, and the Gram-versus-covariance spectral agreement are all correct. The two-state example distinguishing the block-local surrogate from the discrete price (surrogate 1/4, discrete 0) was recomputed and is right, as is the mode-preservation example with vanishing deficit at three distinct laws.</w:t>
      </w:r>
    </w:p>
    <w:p>
      <w:pPr>
        <w:pStyle w:val="Heading2"/>
        <w:spacing w:after="120" w:before="280" w:line="312"/>
      </w:pPr>
      <w:bookmarkStart w:id="100012" w:name="_Toc100012"/>
      <w:r>
        <w:rPr>
          <w:rFonts w:ascii="Times New Roman" w:eastAsia="SimHei"/>
          <w:b/>
          <w:bCs/>
          <w:color w:val="16324F"/>
          <w:sz w:val="28"/>
          <w:szCs w:val="28"/>
        </w:rPr>
        <w:t xml:space="preserve">3.10 Sections 11 and 12, Exponent Vertices and Joint Results (12 results)</w:t>
      </w:r>
      <w:bookmarkEnd w:id="100012"/>
    </w:p>
    <w:p>
      <w:pPr>
        <w:spacing w:after="120" w:line="312"/>
        <w:jc w:val="both"/>
      </w:pPr>
      <w:r>
        <w:rPr>
          <w:rFonts w:ascii="Times New Roman" w:eastAsia="SimSun"/>
          <w:color w:val="1C2A3D"/>
          <w:sz w:val="22"/>
          <w:szCs w:val="22"/>
        </w:rPr>
        <w:t xml:space="preserve">Section 11 (5 results): Proposition prop:schatten-rep, Proposition prop:renyi-limits, Proposition prop:B0, Theorem thm:commitment-alpha0, Theorem thm:vertex-consistency. Section 12 (7 results): Theorems thm:joint, thm:independence, thm:interaction, thm:interaction-complexity, Lemma lem:constrained-ib, Corollaries cor:interaction-equality and cor:price-safety. </w:t>
      </w:r>
      <w:r>
        <w:rPr>
          <w:rFonts w:ascii="Times New Roman" w:eastAsia="SimSun"/>
          <w:b/>
          <w:bCs/>
          <w:color w:val="2E6B3E"/>
          <w:sz w:val="22"/>
          <w:szCs w:val="22"/>
        </w:rPr>
        <w:t xml:space="preserve">All twelve are sound.</w:t>
      </w:r>
      <w:r>
        <w:rPr>
          <w:rFonts w:ascii="Times New Roman" w:eastAsia="SimSun"/>
          <w:color w:val="1C2A3D"/>
          <w:sz w:val="22"/>
          <w:szCs w:val="22"/>
        </w:rPr>
        <w:t xml:space="preserve"> Proposition prop:renyi-limits: the L'Hopital step for the alpha-to-one limit is standard and correctly set up (both numerator and denominator vanish at alpha = 1 with the derivative equal to the Kullback-Leibler divergence), and the two-step continuity argument for the alpha-to-infinity limit (Schatten-norm nesting for the transported operator, then monotone convergence for the fixed limit operator) is valid; the A4 citations to the sandwiched-Renyi literature are in place. Theorem thm:independence: all four constructions were re-derived; the square-language separation argument (choose t = m^2 - n, so that n + t is square and m + t lies strictly between consecutive squares because 0 &lt; m - n &lt; 2m + 1) is correct, the modular-language index equals its modulus (the A2 fix), and the memoryless stochasticity floor follows from the exact corollary. Theorem thm:interaction-complexity: the threshold separation through the midpoint of the promise gap handles the strict-versus-non-strict mismatch correctly, and the inherited rational-bit-complexity qualifier is stated. Corollary cor:interaction-equality: the equal-index-forces-equal-partitions step is valid for finite indices.</w:t>
      </w:r>
    </w:p>
    <w:p>
      <w:pPr>
        <w:pStyle w:val="Heading2"/>
        <w:spacing w:after="120" w:before="280" w:line="312"/>
      </w:pPr>
      <w:bookmarkStart w:id="100013" w:name="_Toc100013"/>
      <w:r>
        <w:rPr>
          <w:rFonts w:ascii="Times New Roman" w:eastAsia="SimHei"/>
          <w:b/>
          <w:bCs/>
          <w:color w:val="16324F"/>
          <w:sz w:val="28"/>
          <w:szCs w:val="28"/>
        </w:rPr>
        <w:t xml:space="preserve">3.11 Section 13, The Temporal Axis (23 results)</w:t>
      </w:r>
      <w:bookmarkEnd w:id="100013"/>
    </w:p>
    <w:p>
      <w:pPr>
        <w:spacing w:after="120" w:line="312"/>
        <w:jc w:val="both"/>
      </w:pPr>
      <w:r>
        <w:rPr>
          <w:rFonts w:ascii="Times New Roman" w:eastAsia="SimSun"/>
          <w:color w:val="1C2A3D"/>
          <w:sz w:val="22"/>
          <w:szCs w:val="22"/>
        </w:rPr>
        <w:t xml:space="preserve">The largest and most technical block: the Littlestone dimension, the passive realizable bounds, the persistent-stream lower bound and its binary-input extension, the subsequence extension, the state-identification pair, the operational-equivalence lemma, the three-part active certification, the length-form upper bound, the synchronization-depth trio, the tension and Moore separation lemmas, the active halving theorem, the gated-family lower bound, the unconditional active complexity corollary, the two-phase and direct-sum theorems, the agnostic regret theorem, and the stream Littlestone dimension. </w:t>
      </w:r>
      <w:r>
        <w:rPr>
          <w:rFonts w:ascii="Times New Roman" w:eastAsia="SimSun"/>
          <w:b/>
          <w:bCs/>
          <w:color w:val="2E6B3E"/>
          <w:sz w:val="22"/>
          <w:szCs w:val="22"/>
        </w:rPr>
        <w:t xml:space="preserve">All 23 are sound.</w:t>
      </w:r>
    </w:p>
    <w:p>
      <w:pPr>
        <w:spacing w:after="120" w:line="312"/>
        <w:jc w:val="both"/>
      </w:pPr>
      <w:r>
        <w:rPr>
          <w:rFonts w:ascii="Times New Roman" w:eastAsia="SimSun"/>
          <w:color w:val="1C2A3D"/>
          <w:sz w:val="22"/>
          <w:szCs w:val="22"/>
        </w:rPr>
        <w:t xml:space="preserve">The persistent-stream forcing construction (Theorem thm:stream-lower-bound) was the single most intensive check of the round and it survives fully. The transport word was traced on explicit bit strings: from the reset state, each round of shift-then-conditionally-flip installs one desired bit at the end of the register, all transport outputs are zero regardless of the unknown map, and the readout word d^L emits the register and returns to it. The lazy adversary's answers were checked for legality (each bit of the unknown map is queried exactly once along the stream, so no earlier round constrains it), the mistake count is exactly M log2 M, and the consistency of the fully specified machine with the entire transcript was verified both by hand and by simulation at L = 2. The randomized analysis was checked with care because it is where a subtle error would hide: the fixed-stream form of Yao's principle is correctly not used in the active theorem, and the replacement argument (enumerate first-emission rounds as stopping times, build a bounded martingale difference sequence over the deterministic index range, apply Azuma-Hoeffding) is valid without any independence assumption between rounds. The alphabet-extension theorem was checked arithmetically: the state ratio is 3, the mistake ratio (1/3) L/(L + log2 3) is increasing in L, exceeds 0.23 at L = 4, and tends to 1/3.</w:t>
      </w:r>
    </w:p>
    <w:p>
      <w:pPr>
        <w:spacing w:after="120" w:line="312"/>
        <w:jc w:val="both"/>
      </w:pPr>
      <w:r>
        <w:rPr>
          <w:rFonts w:ascii="Times New Roman" w:eastAsia="SimSun"/>
          <w:color w:val="1C2A3D"/>
          <w:sz w:val="22"/>
          <w:szCs w:val="22"/>
        </w:rPr>
        <w:t xml:space="preserve">The active-learning block was verified with the same granularity. Proposition prop:esyncsi-log: the halving argument's key point, that an erring deterministic predictor leaves a single output class of size at most half the version space (because each candidate predicts one symbol, so the observed symbol selects one class, and 2 c_2 is at most the class total), was re-derived and holds for every alphabet size, matching the remark that the alphabet drops out. Theorem thm:esyncsi-theta: the cyclic-shift witness was verified computationally, with the adaptive game solved exactly by memoized search for L = 1 through 6, returning depth exactly L in every case; the minimality argument and the randomized half-expectation bound are correct. The tension lemma's block-counting proof and the cross-machine Moore bound were re-derived; the machine-specific (M - 1)^2 and binomial M(M - 1)/2 bounds follow, and the printed four-state witness machine was solved by the same game solver, returning depth exactly 6 as claimed, with minimality confirmed by partition refinement. Theorem thm:active-halving: the version space of machine-state pairs, the same single-class halving, and the honest 2M - 1 cross-machine separation length are all correct. The gated active family: the gating property was traced through the full transition table (only read-mode readout outputs depend on the unknown map; the argument is learner-known), the product structure of the consistent set was verified, and the per-bit lazy adversary with disjoint accounting is sound. Theorems thm:active-two-phase and thm:active-direct-sum: the total switch letters make both components unavoidable from any state, and the rectangular-hardness restriction argument consumes the product and locality conditions exactly as stated. Theorem thm:agnostic and Corollary cor:stream-ldim: the embedded mistake tree was checked to be well-defined across branches (the input stream is fixed, and the reset letter makes the transport branch-independent).</w:t>
      </w:r>
    </w:p>
    <w:p>
      <w:pPr>
        <w:pStyle w:val="Heading2"/>
        <w:spacing w:after="120" w:before="280" w:line="312"/>
      </w:pPr>
      <w:bookmarkStart w:id="100014" w:name="_Toc100014"/>
      <w:r>
        <w:rPr>
          <w:rFonts w:ascii="Times New Roman" w:eastAsia="SimHei"/>
          <w:b/>
          <w:bCs/>
          <w:color w:val="16324F"/>
          <w:sz w:val="28"/>
          <w:szCs w:val="28"/>
        </w:rPr>
        <w:t xml:space="preserve">3.12 Section 15, Conditional Representation (1 result)</w:t>
      </w:r>
      <w:bookmarkEnd w:id="100014"/>
    </w:p>
    <w:p>
      <w:pPr>
        <w:spacing w:after="120" w:line="312"/>
        <w:jc w:val="both"/>
      </w:pPr>
      <w:r>
        <w:rPr>
          <w:rFonts w:ascii="Times New Roman" w:eastAsia="SimSun"/>
          <w:color w:val="1C2A3D"/>
          <w:sz w:val="22"/>
          <w:szCs w:val="22"/>
        </w:rPr>
        <w:t xml:space="preserve">Lemma lem:csiszar-representation, the chain-rule selection of the Kullback-Leibler generator inside the f-divergence class. </w:t>
      </w:r>
      <w:r>
        <w:rPr>
          <w:rFonts w:ascii="Times New Roman" w:eastAsia="SimSun"/>
          <w:b/>
          <w:bCs/>
          <w:color w:val="2E6B3E"/>
          <w:sz w:val="22"/>
          <w:szCs w:val="22"/>
        </w:rPr>
        <w:t xml:space="preserve">Sound, and the deepest single proof in the manuscript.</w:t>
      </w:r>
      <w:r>
        <w:rPr>
          <w:rFonts w:ascii="Times New Roman" w:eastAsia="SimSun"/>
          <w:color w:val="1C2A3D"/>
          <w:sz w:val="22"/>
          <w:szCs w:val="22"/>
        </w:rPr>
        <w:t xml:space="preserve"> The check re-derived the entire argument. The two-variable identity (dagger) was verified algebraically: with the joint constructed from a same-conditional reference and a one-branch-perturbed conditional, the (1 - alpha) g(rho) terms cancel exactly on both sides, leaving an identity valid for every scaling factor, reference, and perturbation. The one-sided limit step was checked for its no-differentiability claim: convexity gives finite one-sided derivatives, the limit in the probability weight is taken from above only, and the side from which the perturbed ratio approaches one is determined by the sign of (1 - v), so the correct one-sided derivative is selected. The symmetry step, the regularity bootstrap (a convex function with continuous right derivative is continuously differentiable, so the assumed smoothness is derived rather than hypothesized), the integration of the resulting linear equation, and the gluing identity (c1 - c2)(u - 1 - log u) = 0 forcing the two branch constants to agree were all verified; substituting the Kullback-Leibler generator into the original identity satisfies it identically, and the affine-modulo ambiguity is handled correctly. Numerically, the identity holds to 10^{-15} over three thousand random triples for the logarithmic generator while failing by exactly the printed -0.1657 for the reverse-Kullback-Leibler generator at the printed example point, confirming both the theorem and the remark that motivates the conditional structure.</w:t>
      </w:r>
    </w:p>
    <w:p>
      <w:pPr>
        <w:pStyle w:val="Heading1"/>
        <w:spacing w:after="160" w:before="360" w:line="312"/>
      </w:pPr>
      <w:bookmarkStart w:id="100015" w:name="_Toc100015"/>
      <w:r>
        <w:rPr>
          <w:rFonts w:ascii="Times New Roman" w:eastAsia="SimHei"/>
          <w:b/>
          <w:bCs/>
          <w:color w:val="16324F"/>
          <w:sz w:val="32"/>
          <w:szCs w:val="32"/>
        </w:rPr>
        <w:t xml:space="preserve">4. The Two Findings and Their v5 Disposition</w:t>
      </w:r>
      <w:bookmarkEnd w:id="100015"/>
    </w:p>
    <w:p>
      <w:pPr>
        <w:spacing w:after="120" w:line="312"/>
        <w:jc w:val="both"/>
      </w:pPr>
      <w:r>
        <w:rPr>
          <w:rFonts w:ascii="Times New Roman" w:eastAsia="SimSun"/>
          <w:color w:val="1C2A3D"/>
          <w:sz w:val="22"/>
          <w:szCs w:val="22"/>
        </w:rPr>
        <w:t xml:space="preserve">Both findings are precision defects inside proofs or definitions; neither changes the truth value of any stated result. They were fixed in the new version file automata_unified_revised_v5.tex, with v4 frozen unchanged, following the standing version policy. The fixes are anchored (each edit applies only if its original text is found verbatim and exactly once), and the full compile and structural checks were re-run after the edit.</w:t>
      </w:r>
    </w:p>
    <w:p>
      <w:pPr>
        <w:pStyle w:val="Heading2"/>
        <w:spacing w:after="120" w:before="280" w:line="312"/>
      </w:pPr>
      <w:bookmarkStart w:id="100016" w:name="_Toc100016"/>
      <w:r>
        <w:rPr>
          <w:rFonts w:ascii="Times New Roman" w:eastAsia="SimHei"/>
          <w:b/>
          <w:bCs/>
          <w:color w:val="16324F"/>
          <w:sz w:val="28"/>
          <w:szCs w:val="28"/>
        </w:rPr>
        <w:t xml:space="preserve">4.1 Finding F1: an incorrect displayed constant in the proof of Proposition prop:grounding-tracking</w:t>
      </w:r>
      <w:bookmarkEnd w:id="100016"/>
    </w:p>
    <w:p>
      <w:pPr>
        <w:spacing w:after="120" w:line="312"/>
        <w:jc w:val="both"/>
      </w:pPr>
      <w:r>
        <w:rPr>
          <w:rFonts w:ascii="Times New Roman" w:eastAsia="SimSun"/>
          <w:b/>
          <w:bCs/>
          <w:color w:val="1C2A3D"/>
          <w:sz w:val="22"/>
          <w:szCs w:val="22"/>
        </w:rPr>
        <w:t xml:space="preserve">Location: Section 10, proof of clause (iii), the refinement-monotonicity clause of the tracking-deficit proposition. </w:t>
      </w:r>
      <w:r>
        <w:rPr>
          <w:rFonts w:ascii="Times New Roman" w:eastAsia="SimSun"/>
          <w:b/>
          <w:bCs/>
          <w:color w:val="B4540A"/>
          <w:sz w:val="22"/>
          <w:szCs w:val="22"/>
        </w:rPr>
        <w:t xml:space="preserve">Defect class: proof-internal display error; the stated result is correct.</w:t>
      </w:r>
    </w:p>
    <w:p>
      <w:pPr>
        <w:spacing w:after="120" w:line="312"/>
        <w:jc w:val="both"/>
      </w:pPr>
      <w:r>
        <w:rPr>
          <w:rFonts w:ascii="Times New Roman" w:eastAsia="SimSun"/>
          <w:color w:val="1C2A3D"/>
          <w:sz w:val="22"/>
          <w:szCs w:val="22"/>
        </w:rPr>
        <w:t xml:space="preserve">The proof introduces the weighted probabilities w_s(b) = pi_s P_s(b) and observes that the statewise first term of the decomposition is constant across partitions; it then displays the identity 'D(phi) = sigma_1 - sum over C of max_b sum_{s in C} w_s(b)' for the partition induced by phi. This display is wrong. The constant partition-independent term in the decomposition of the tracking deficit is not sigma_1 (the one-step floor, which is the sum of pi_s times one minus the modal mass) but its complement: the total modal mass, sum over s of max_b w_s(b) = 1 - sigma_1. The correct identity is D(phi) = sum_s max_b w_s(b) - sum_C max_b sum_{s in C} w_s(b).</w:t>
      </w:r>
    </w:p>
    <w:p>
      <w:pPr>
        <w:spacing w:after="120" w:line="312"/>
        <w:jc w:val="both"/>
      </w:pPr>
      <w:r>
        <w:rPr>
          <w:rFonts w:ascii="Times New Roman" w:eastAsia="SimSun"/>
          <w:color w:val="1C2A3D"/>
          <w:sz w:val="22"/>
          <w:szCs w:val="22"/>
        </w:rPr>
        <w:t xml:space="preserve">The error is visible without any computation, because as displayed the identity contradicts clause (ii) of the same proposition: on the singleton compression every block attains its state's mode, so the deficit is zero, whereas the displayed formula evaluates to 2 sigma_1 - 1 on the singleton partition, which vanishes only when the floor happens to be one half. The subsequent steps of the proof are unaffected: the max-of-sum-versus-sum-of-max inequality for split blocks is correct, and subtracting from the partition-independent term (whatever it is called) reverses the inequality exactly as the proof then claims. The result itself, that the tracking deficit is monotone under refinement and its minimum is nonincreasing in the budget, is therefore correct; only the displayed constant mislabels the constant term.</w:t>
      </w:r>
    </w:p>
    <w:p>
      <w:pPr>
        <w:spacing w:after="120" w:line="312"/>
        <w:jc w:val="both"/>
      </w:pPr>
      <w:r>
        <w:rPr>
          <w:rFonts w:ascii="Times New Roman" w:eastAsia="SimSun"/>
          <w:b/>
          <w:bCs/>
          <w:color w:val="1C2A3D"/>
          <w:sz w:val="22"/>
          <w:szCs w:val="22"/>
        </w:rPr>
        <w:t xml:space="preserve">v5 disposition: </w:t>
      </w:r>
      <w:r>
        <w:rPr>
          <w:rFonts w:ascii="Times New Roman" w:eastAsia="SimSun"/>
          <w:color w:val="2E6B3E"/>
          <w:sz w:val="22"/>
          <w:szCs w:val="22"/>
        </w:rPr>
        <w:t xml:space="preserve">the displayed identity is corrected to sum_s max_b w_s(b) minus the blockwise term, the preceding sentence is corrected to name the statewise modal term (sum_s pi_s max_b P_s(b) = 1 - sigma_1) as the partition-independent one, and the closing subtraction sentence is rephrased to subtract from the partition-independent total. Three anchored edits, verified in place after generation.</w:t>
      </w:r>
    </w:p>
    <w:p>
      <w:pPr>
        <w:pStyle w:val="Heading2"/>
        <w:spacing w:after="120" w:before="280" w:line="312"/>
      </w:pPr>
      <w:bookmarkStart w:id="100017" w:name="_Toc100017"/>
      <w:r>
        <w:rPr>
          <w:rFonts w:ascii="Times New Roman" w:eastAsia="SimHei"/>
          <w:b/>
          <w:bCs/>
          <w:color w:val="16324F"/>
          <w:sz w:val="28"/>
          <w:szCs w:val="28"/>
        </w:rPr>
        <w:t xml:space="preserve">4.2 Finding F2: the 'right congruence' convention in the discrete Price-of-Safety subsection</w:t>
      </w:r>
      <w:bookmarkEnd w:id="100017"/>
    </w:p>
    <w:p>
      <w:pPr>
        <w:spacing w:after="120" w:line="312"/>
        <w:jc w:val="both"/>
      </w:pPr>
      <w:r>
        <w:rPr>
          <w:rFonts w:ascii="Times New Roman" w:eastAsia="SimSun"/>
          <w:b/>
          <w:bCs/>
          <w:color w:val="1C2A3D"/>
          <w:sz w:val="22"/>
          <w:szCs w:val="22"/>
        </w:rPr>
        <w:t xml:space="preserve">Location: Section 10, Definition def:safe-right-cong and Proposition prop:pos-quad-consistent, with the free and safe optima defined a few paragraphs earlier. </w:t>
      </w:r>
      <w:r>
        <w:rPr>
          <w:rFonts w:ascii="Times New Roman" w:eastAsia="SimSun"/>
          <w:b/>
          <w:bCs/>
          <w:color w:val="B4540A"/>
          <w:sz w:val="22"/>
          <w:szCs w:val="22"/>
        </w:rPr>
        <w:t xml:space="preserve">Defect class: hypothesis/terminology gap; the mathematics of the subsection is correct under the reading its own proofs use.</w:t>
      </w:r>
    </w:p>
    <w:p>
      <w:pPr>
        <w:spacing w:after="120" w:line="312"/>
        <w:jc w:val="both"/>
      </w:pPr>
      <w:r>
        <w:rPr>
          <w:rFonts w:ascii="Times New Roman" w:eastAsia="SimSun"/>
          <w:color w:val="1C2A3D"/>
          <w:sz w:val="22"/>
          <w:szCs w:val="22"/>
        </w:rPr>
        <w:t xml:space="preserve">The discrete quadratic Price of Safety is defined as an optimization over 'right congruences', and safety of a congruence means its classes refine the safety partition. Proposition prop:pos-quad-consistent then asserts that a safe right congruence of index at most M exists if and only if M is at least r, the number of positive-mass safety blocks, and its proof exhibits the safety partition itself as the witness. Under the strict reading of 'right congruence' (an equivalence relation compatible with the machine transition, which is the general theory's usage elsewhere in the manuscript), the safety partition is an admissible witness only if it is itself transition-compatible, which is not stated and is not true in general; the universally available witness is the singleton partition, which has index equal to the state count and may exceed M. Under the reading that the subsection's own proofs actually use, the free and safe optima range over unconstrained partitions (Proposition prop:free-discrete-bound's proof bounds an arbitrary partition, the objective depends on no transition structure, and the two-state example's optima are partitions), the proposition is correct as stated.</w:t>
      </w:r>
    </w:p>
    <w:p>
      <w:pPr>
        <w:spacing w:after="120" w:line="312"/>
        <w:jc w:val="both"/>
      </w:pPr>
      <w:r>
        <w:rPr>
          <w:rFonts w:ascii="Times New Roman" w:eastAsia="SimSun"/>
          <w:color w:val="1C2A3D"/>
          <w:sz w:val="22"/>
          <w:szCs w:val="22"/>
        </w:rPr>
        <w:t xml:space="preserve">This is a genuine ambiguity rather than a false statement: nothing in the subsection's mathematics is wrong under the partition reading, and the scope notes elsewhere in the manuscript ('the linear surrogate drops the right-congruence constraint') show the authors are aware the constraint is the distinguishing feature. But a careful reader auditing the existence clause under the strict reading would look for a transition-compatibility hypothesis that is not there, which is precisely the kind of untraceable gap a proof check should close.</w:t>
      </w:r>
    </w:p>
    <w:p>
      <w:pPr>
        <w:spacing w:after="120" w:line="312"/>
        <w:jc w:val="both"/>
      </w:pPr>
      <w:r>
        <w:rPr>
          <w:rFonts w:ascii="Times New Roman" w:eastAsia="SimSun"/>
          <w:b/>
          <w:bCs/>
          <w:color w:val="1C2A3D"/>
          <w:sz w:val="22"/>
          <w:szCs w:val="22"/>
        </w:rPr>
        <w:t xml:space="preserve">v5 disposition: </w:t>
      </w:r>
      <w:r>
        <w:rPr>
          <w:rFonts w:ascii="Times New Roman" w:eastAsia="SimSun"/>
          <w:color w:val="2E6B3E"/>
          <w:sz w:val="22"/>
          <w:szCs w:val="22"/>
        </w:rPr>
        <w:t xml:space="preserve">a convention paragraph is appended to Definition def:safe-right-cong making the partition reading explicit (the transition-compatibility carried by the term elsewhere is deliberately relaxed in this subsection so that the discrete quadratic problem and the linear surrogate are posed on comparable feasible classes, exactly as the section's own remark reads it), and recording the strict-reading caveat: under transition compatibility the existence clause holds with the safety partition as witness only when the safety partition is itself a right congruence, with the singleton partition witnessing existence for M at least the support size in all cases. The proposition's proof adds one clause noting that the witness is admissible under the stated convention. Two anchored edits, verified in place after generation.</w:t>
      </w:r>
    </w:p>
    <w:p>
      <w:pPr>
        <w:pStyle w:val="Heading1"/>
        <w:spacing w:after="160" w:before="360" w:line="312"/>
      </w:pPr>
      <w:bookmarkStart w:id="100018" w:name="_Toc100018"/>
      <w:r>
        <w:rPr>
          <w:rFonts w:ascii="Times New Roman" w:eastAsia="SimHei"/>
          <w:b/>
          <w:bCs/>
          <w:color w:val="16324F"/>
          <w:sz w:val="32"/>
          <w:szCs w:val="32"/>
        </w:rPr>
        <w:t xml:space="preserve">5. Non-Blocking Observations</w:t>
      </w:r>
      <w:bookmarkEnd w:id="100018"/>
    </w:p>
    <w:p>
      <w:pPr>
        <w:spacing w:after="120" w:line="312"/>
        <w:jc w:val="both"/>
      </w:pPr>
      <w:r>
        <w:rPr>
          <w:rFonts w:ascii="Times New Roman" w:eastAsia="SimSun"/>
          <w:color w:val="1C2A3D"/>
          <w:sz w:val="22"/>
          <w:szCs w:val="22"/>
        </w:rPr>
        <w:t xml:space="preserve">Three further observations were recorded during the read. None is a defect, none was fixed in v5 (the first two are presentational and fixing them would reorder corollaries with churn risk; the third is an understatement), and all three are recorded here so that a future revision can dispose of them deliberately if desired.</w:t>
      </w:r>
    </w:p>
    <w:p>
      <w:pPr>
        <w:spacing w:after="120" w:line="312"/>
        <w:jc w:val="both"/>
      </w:pPr>
      <w:r>
        <w:rPr>
          <w:rFonts w:ascii="Times New Roman" w:eastAsia="SimSun"/>
          <w:b/>
          <w:bCs/>
          <w:color w:val="1C2A3D"/>
          <w:sz w:val="22"/>
          <w:szCs w:val="22"/>
        </w:rPr>
        <w:t xml:space="preserve">O1 - forward reference in the Fisher remainder corollary. </w:t>
      </w:r>
      <w:r>
        <w:rPr>
          <w:rFonts w:ascii="Times New Roman" w:eastAsia="SimSun"/>
          <w:color w:val="1C2A3D"/>
          <w:sz w:val="22"/>
          <w:szCs w:val="22"/>
        </w:rPr>
        <w:t xml:space="preserve">Observation</w:t>
      </w:r>
      <w:r>
        <w:rPr>
          <w:rFonts w:ascii="Times New Roman" w:eastAsia="SimSun"/>
          <w:color w:val="1C2A3D"/>
          <w:sz w:val="22"/>
          <w:szCs w:val="22"/>
        </w:rPr>
        <w:t xml:space="preserve"> Corollary cor:fisher-uniform-remainder (approximately line 3887) states its hypotheses as 'under the hypotheses of Theorem thm:local-full-kl', which appears after it (approximately line 3925). The reference resolves correctly and the hypotheses are those of the later theorem, so the mathematics is fine; the ordering is locally reversed. The same pattern occurs once more: the general-input elementary corollary cites the independent-input corollary that follows it. Forward references of this kind are valid in the compiled document; the observation is one of local reading order only.</w:t>
      </w:r>
    </w:p>
    <w:p>
      <w:pPr>
        <w:spacing w:after="120" w:line="312"/>
        <w:jc w:val="both"/>
      </w:pPr>
      <w:r>
        <w:rPr>
          <w:rFonts w:ascii="Times New Roman" w:eastAsia="SimSun"/>
          <w:b/>
          <w:bCs/>
          <w:color w:val="1C2A3D"/>
          <w:sz w:val="22"/>
          <w:szCs w:val="22"/>
        </w:rPr>
        <w:t xml:space="preserve">O2 - the Hadamard remark lists the Sylvester dimensions. </w:t>
      </w:r>
      <w:r>
        <w:rPr>
          <w:rFonts w:ascii="Times New Roman" w:eastAsia="SimSun"/>
          <w:color w:val="1C2A3D"/>
          <w:sz w:val="22"/>
          <w:szCs w:val="22"/>
        </w:rPr>
        <w:t xml:space="preserve">Observation</w:t>
      </w:r>
      <w:r>
        <w:rPr>
          <w:rFonts w:ascii="Times New Roman" w:eastAsia="SimSun"/>
          <w:color w:val="1C2A3D"/>
          <w:sz w:val="22"/>
          <w:szCs w:val="22"/>
        </w:rPr>
        <w:t xml:space="preserve"> The alphabet-reduction remark states that the output alphabet can be taken of size d + 1 for d = 3, 7, 15, and so on, reading as the powers-of-two-minus-one sequence. This is correct but incomplete: Hadamard matrices exist at other orders, so d = 11 (order 12) also qualifies, and the ellipsis understates the qualifying set. The displayed operative statement (the least n at least d + 1 for which the zero-sum subspace admits d pairwise orthogonal rational vectors of equal norm) is exact, so the remark's list is illustrative rather than load-bearing.</w:t>
      </w:r>
    </w:p>
    <w:p>
      <w:pPr>
        <w:spacing w:after="120" w:line="312"/>
        <w:jc w:val="both"/>
      </w:pPr>
      <w:r>
        <w:rPr>
          <w:rFonts w:ascii="Times New Roman" w:eastAsia="SimSun"/>
          <w:b/>
          <w:bCs/>
          <w:color w:val="1C2A3D"/>
          <w:sz w:val="22"/>
          <w:szCs w:val="22"/>
        </w:rPr>
        <w:t xml:space="preserve">O3 - numerical claims reproduced independently. </w:t>
      </w:r>
      <w:r>
        <w:rPr>
          <w:rFonts w:ascii="Times New Roman" w:eastAsia="SimSun"/>
          <w:color w:val="1C2A3D"/>
          <w:sz w:val="22"/>
          <w:szCs w:val="22"/>
        </w:rPr>
        <w:t xml:space="preserve">Observation</w:t>
      </w:r>
      <w:r>
        <w:rPr>
          <w:rFonts w:ascii="Times New Roman" w:eastAsia="SimSun"/>
          <w:color w:val="1C2A3D"/>
          <w:sz w:val="22"/>
          <w:szCs w:val="22"/>
        </w:rPr>
        <w:t xml:space="preserve"> The manuscript quotes a number of computational observations (search counts, spread ratios, exhaustive-enumeration results). Those that could be recomputed within the round were recomputed and match (Section 6); those that could not (the large exhaustive searches over minimal machines, quoted under the computational-conventions remark) are consistent in structure with the recomputed ones and are honestly flagged as evidence rather than proof in the manuscript itself.</w:t>
      </w:r>
    </w:p>
    <w:p>
      <w:pPr>
        <w:pStyle w:val="Heading1"/>
        <w:spacing w:after="160" w:before="360" w:line="312"/>
      </w:pPr>
      <w:bookmarkStart w:id="100019" w:name="_Toc100019"/>
      <w:r>
        <w:rPr>
          <w:rFonts w:ascii="Times New Roman" w:eastAsia="SimHei"/>
          <w:b/>
          <w:bCs/>
          <w:color w:val="16324F"/>
          <w:sz w:val="32"/>
          <w:szCs w:val="32"/>
        </w:rPr>
        <w:t xml:space="preserve">6. Numerical Verification</w:t>
      </w:r>
      <w:bookmarkEnd w:id="100019"/>
    </w:p>
    <w:p>
      <w:pPr>
        <w:spacing w:after="120" w:line="312"/>
        <w:jc w:val="both"/>
      </w:pPr>
      <w:r>
        <w:rPr>
          <w:rFonts w:ascii="Times New Roman" w:eastAsia="SimSun"/>
          <w:color w:val="1C2A3D"/>
          <w:sz w:val="22"/>
          <w:szCs w:val="22"/>
        </w:rPr>
        <w:t xml:space="preserve">Forty-two computational checks were run against the manuscript's quantitative claims, all passing. The script (scripts/verify_remaining_theorems.py) and its full log are retained alongside this report. The table below lists the check families; within each family the individual checks are enumerated in the log.</w:t>
      </w:r>
    </w:p>
    <w:p>
      <w:pPr>
        <w:keepNext/>
        <w:spacing w:after="80" w:before="160"/>
      </w:pPr>
      <w:r>
        <w:rPr>
          <w:rFonts w:ascii="Times New Roman" w:eastAsia="SimSun"/>
          <w:b/>
          <w:bCs/>
          <w:color w:val="16324F"/>
          <w:sz w:val="21"/>
          <w:szCs w:val="21"/>
        </w:rPr>
        <w:t xml:space="preserve">Table 1: Computational verification of the manuscript's quantitative claims.</w:t>
      </w:r>
    </w:p>
    <w:tbl>
      <w:tblPr>
        <w:tblW w:type="pct" w:w="100%"/>
        <w:tblBorders>
          <w:top w:val="single" w:color="8B7E5A" w:sz="4"/>
          <w:left w:val="none"/>
          <w:bottom w:val="single" w:color="8B7E5A" w:sz="4"/>
          <w:right w:val="none"/>
          <w:insideH w:val="single" w:color="CDD5DD" w:sz="1"/>
          <w:insideV w:val="none"/>
        </w:tblBorders>
      </w:tblPr>
      <w:tblGrid>
        <w:gridCol w:w="100"/>
        <w:gridCol w:w="100"/>
        <w:gridCol w:w="100"/>
        <w:gridCol w:w="100"/>
      </w:tblGrid>
      <w:tr>
        <w:trPr>
          <w:cantSplit/>
          <w:tblHeader/>
        </w:trPr>
        <w:tc>
          <w:tcPr>
            <w:tcW w:type="pct" w:w="26%"/>
            <w:shd w:fill="EEF2F6" w:val="clear"/>
            <w:tcMar>
              <w:top w:type="dxa" w:w="60"/>
              <w:left w:type="dxa" w:w="100"/>
              <w:bottom w:type="dxa" w:w="60"/>
              <w:right w:type="dxa" w:w="100"/>
            </w:tcMar>
          </w:tcPr>
          <w:p>
            <w:pPr>
              <w:spacing w:line="276"/>
            </w:pPr>
            <w:r>
              <w:rPr>
                <w:rFonts w:ascii="Times New Roman" w:eastAsia="SimSun"/>
                <w:b/>
                <w:bCs/>
                <w:color w:val="1C2A3D"/>
                <w:sz w:val="19"/>
                <w:szCs w:val="19"/>
              </w:rPr>
              <w:t xml:space="preserve">Claim family</w:t>
            </w:r>
          </w:p>
        </w:tc>
        <w:tc>
          <w:tcPr>
            <w:tcW w:type="pct" w:w="32%"/>
            <w:shd w:fill="EEF2F6" w:val="clear"/>
            <w:tcMar>
              <w:top w:type="dxa" w:w="60"/>
              <w:left w:type="dxa" w:w="100"/>
              <w:bottom w:type="dxa" w:w="60"/>
              <w:right w:type="dxa" w:w="100"/>
            </w:tcMar>
          </w:tcPr>
          <w:p>
            <w:pPr>
              <w:spacing w:line="276"/>
            </w:pPr>
            <w:r>
              <w:rPr>
                <w:rFonts w:ascii="Times New Roman" w:eastAsia="SimSun"/>
                <w:b/>
                <w:bCs/>
                <w:color w:val="1C2A3D"/>
                <w:sz w:val="19"/>
                <w:szCs w:val="19"/>
              </w:rPr>
              <w:t xml:space="preserve">Manuscript values</w:t>
            </w:r>
          </w:p>
        </w:tc>
        <w:tc>
          <w:tcPr>
            <w:tcW w:type="pct" w:w="12%"/>
            <w:shd w:fill="EEF2F6" w:val="clear"/>
            <w:tcMar>
              <w:top w:type="dxa" w:w="60"/>
              <w:left w:type="dxa" w:w="100"/>
              <w:bottom w:type="dxa" w:w="60"/>
              <w:right w:type="dxa" w:w="100"/>
            </w:tcMar>
          </w:tcPr>
          <w:p>
            <w:pPr>
              <w:spacing w:line="276"/>
            </w:pPr>
            <w:r>
              <w:rPr>
                <w:rFonts w:ascii="Times New Roman" w:eastAsia="SimSun"/>
                <w:b/>
                <w:bCs/>
                <w:color w:val="1C2A3D"/>
                <w:sz w:val="19"/>
                <w:szCs w:val="19"/>
              </w:rPr>
              <w:t xml:space="preserve">Verdict</w:t>
            </w:r>
          </w:p>
        </w:tc>
        <w:tc>
          <w:tcPr>
            <w:tcW w:type="pct" w:w="30%"/>
            <w:shd w:fill="EEF2F6" w:val="clear"/>
            <w:tcMar>
              <w:top w:type="dxa" w:w="60"/>
              <w:left w:type="dxa" w:w="100"/>
              <w:bottom w:type="dxa" w:w="60"/>
              <w:right w:type="dxa" w:w="100"/>
            </w:tcMar>
          </w:tcPr>
          <w:p>
            <w:pPr>
              <w:spacing w:line="276"/>
            </w:pPr>
            <w:r>
              <w:rPr>
                <w:rFonts w:ascii="Times New Roman" w:eastAsia="SimSun"/>
                <w:b/>
                <w:bCs/>
                <w:color w:val="1C2A3D"/>
                <w:sz w:val="19"/>
                <w:szCs w:val="19"/>
              </w:rPr>
              <w:t xml:space="preserve">Independent recomputation</w:t>
            </w:r>
          </w:p>
        </w:tc>
      </w:tr>
      <w:tr>
        <w:trPr>
          <w:cantSplit/>
          <w:tblHeader w:val="false"/>
        </w:trPr>
        <w:tc>
          <w:tcPr>
            <w:tcW w:type="pct" w:w="26%"/>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Counter family C_M, M = 3..7</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0.0481 / 0.0321 / 0.0192 / 0.0107 / 0.0057 nats; 0 at full budget</w:t>
            </w:r>
          </w:p>
        </w:tc>
        <w:tc>
          <w:tcPr>
            <w:tcW w:type="pct" w:w="12%"/>
            <w:tcMar>
              <w:top w:type="dxa" w:w="60"/>
              <w:left w:type="dxa" w:w="100"/>
              <w:bottom w:type="dxa" w:w="60"/>
              <w:right w:type="dxa" w:w="100"/>
            </w:tcMar>
          </w:tcPr>
          <w:p>
            <w:pPr>
              <w:spacing w:line="276"/>
            </w:pPr>
            <w:r>
              <w:rPr>
                <w:rFonts w:ascii="Times New Roman" w:eastAsia="SimSun"/>
                <w:b/>
                <w:bCs/>
                <w:color w:val="2E6B3E"/>
                <w:sz w:val="19"/>
                <w:szCs w:val="19"/>
              </w:rPr>
              <w:t xml:space="preserve">10/10 PASS</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Exact enumeration of unifilar-lumpable partitions with exact stationary distributions; all values match to 4 decimals, zeros exact</w:t>
            </w:r>
          </w:p>
        </w:tc>
      </w:tr>
      <w:tr>
        <w:trPr>
          <w:cantSplit/>
          <w:tblHeader w:val="false"/>
        </w:trPr>
        <w:tc>
          <w:tcPr>
            <w:tcW w:type="pct" w:w="26%"/>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Rate-distortion non-convexity (5-state and 4-state)</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D = 0.0948616, 0.0148089, 0.0049099, 0.0021747, 0; slopes -0.115492, -0.024414, -0.009508, -0.009746</w:t>
            </w:r>
          </w:p>
        </w:tc>
        <w:tc>
          <w:tcPr>
            <w:tcW w:type="pct" w:w="12%"/>
            <w:tcMar>
              <w:top w:type="dxa" w:w="60"/>
              <w:left w:type="dxa" w:w="100"/>
              <w:bottom w:type="dxa" w:w="60"/>
              <w:right w:type="dxa" w:w="100"/>
            </w:tcMar>
          </w:tcPr>
          <w:p>
            <w:pPr>
              <w:spacing w:line="276"/>
            </w:pPr>
            <w:r>
              <w:rPr>
                <w:rFonts w:ascii="Times New Roman" w:eastAsia="SimSun"/>
                <w:b/>
                <w:bCs/>
                <w:color w:val="2E6B3E"/>
                <w:sz w:val="19"/>
                <w:szCs w:val="19"/>
              </w:rPr>
              <w:t xml:space="preserve">10/10 PASS</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All set partitions enumerated; all optimal values reproduced to 7 decimals; non-convexity confirmed (last slope decreases)</w:t>
            </w:r>
          </w:p>
        </w:tc>
      </w:tr>
      <w:tr>
        <w:trPr>
          <w:cantSplit/>
          <w:tblHeader w:val="false"/>
        </w:trPr>
        <w:tc>
          <w:tcPr>
            <w:tcW w:type="pct" w:w="26%"/>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Csiszar chain-rule identity (dagger)</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KL generator satisfies exactly; reverse KL fails by -0.1657 at u = 2.3, q = (0.3, 0.7), p = (0.55, 0.45)</w:t>
            </w:r>
          </w:p>
        </w:tc>
        <w:tc>
          <w:tcPr>
            <w:tcW w:type="pct" w:w="12%"/>
            <w:tcMar>
              <w:top w:type="dxa" w:w="60"/>
              <w:left w:type="dxa" w:w="100"/>
              <w:bottom w:type="dxa" w:w="60"/>
              <w:right w:type="dxa" w:w="100"/>
            </w:tcMar>
          </w:tcPr>
          <w:p>
            <w:pPr>
              <w:spacing w:line="276"/>
            </w:pPr>
            <w:r>
              <w:rPr>
                <w:rFonts w:ascii="Times New Roman" w:eastAsia="SimSun"/>
                <w:b/>
                <w:bCs/>
                <w:color w:val="2E6B3E"/>
                <w:sz w:val="19"/>
                <w:szCs w:val="19"/>
              </w:rPr>
              <w:t xml:space="preserve">3/3 PASS</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Generator defect below 10^{-15}; reverse-KL defect -0.1657 confirmed; max defect over 3000 random triples 3.55e-15</w:t>
            </w:r>
          </w:p>
        </w:tc>
      </w:tr>
      <w:tr>
        <w:trPr>
          <w:cantSplit/>
          <w:tblHeader w:val="false"/>
        </w:trPr>
        <w:tc>
          <w:tcPr>
            <w:tcW w:type="pct" w:w="26%"/>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Adaptive depth witness (binomial bound)</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4-state machine, depth 6, minimal</w:t>
            </w:r>
          </w:p>
        </w:tc>
        <w:tc>
          <w:tcPr>
            <w:tcW w:type="pct" w:w="12%"/>
            <w:tcMar>
              <w:top w:type="dxa" w:w="60"/>
              <w:left w:type="dxa" w:w="100"/>
              <w:bottom w:type="dxa" w:w="60"/>
              <w:right w:type="dxa" w:w="100"/>
            </w:tcMar>
          </w:tcPr>
          <w:p>
            <w:pPr>
              <w:spacing w:line="276"/>
            </w:pPr>
            <w:r>
              <w:rPr>
                <w:rFonts w:ascii="Times New Roman" w:eastAsia="SimSun"/>
                <w:b/>
                <w:bCs/>
                <w:color w:val="2E6B3E"/>
                <w:sz w:val="19"/>
                <w:szCs w:val="19"/>
              </w:rPr>
              <w:t xml:space="preserve">2/2 PASS</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Exact game solved by memoized minimax search: depth 6; Moore refinement confirms minimality</w:t>
            </w:r>
          </w:p>
        </w:tc>
      </w:tr>
      <w:tr>
        <w:trPr>
          <w:cantSplit/>
          <w:tblHeader w:val="false"/>
        </w:trPr>
        <w:tc>
          <w:tcPr>
            <w:tcW w:type="pct" w:w="26%"/>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Persistent-stream forcing at L = 2</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M log2 M = 8 forced mistakes; consistency; length bound</w:t>
            </w:r>
          </w:p>
        </w:tc>
        <w:tc>
          <w:tcPr>
            <w:tcW w:type="pct" w:w="12%"/>
            <w:tcMar>
              <w:top w:type="dxa" w:w="60"/>
              <w:left w:type="dxa" w:w="100"/>
              <w:bottom w:type="dxa" w:w="60"/>
              <w:right w:type="dxa" w:w="100"/>
            </w:tcMar>
          </w:tcPr>
          <w:p>
            <w:pPr>
              <w:spacing w:line="276"/>
            </w:pPr>
            <w:r>
              <w:rPr>
                <w:rFonts w:ascii="Times New Roman" w:eastAsia="SimSun"/>
                <w:b/>
                <w:bCs/>
                <w:color w:val="2E6B3E"/>
                <w:sz w:val="19"/>
                <w:szCs w:val="19"/>
              </w:rPr>
              <w:t xml:space="preserve">4/4 PASS</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Full simulation: 8 forced mistakes, map fully defined, transcript reproduced by the constructed machine, stream length 28 within M(3L+2)</w:t>
            </w:r>
          </w:p>
        </w:tc>
      </w:tr>
      <w:tr>
        <w:trPr>
          <w:cantSplit/>
          <w:tblHeader w:val="false"/>
        </w:trPr>
        <w:tc>
          <w:tcPr>
            <w:tcW w:type="pct" w:w="26%"/>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Bernoulli-Fisher limit</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ratio tends to 0.50009</w:t>
            </w:r>
          </w:p>
        </w:tc>
        <w:tc>
          <w:tcPr>
            <w:tcW w:type="pct" w:w="12%"/>
            <w:tcMar>
              <w:top w:type="dxa" w:w="60"/>
              <w:left w:type="dxa" w:w="100"/>
              <w:bottom w:type="dxa" w:w="60"/>
              <w:right w:type="dxa" w:w="100"/>
            </w:tcMar>
          </w:tcPr>
          <w:p>
            <w:pPr>
              <w:spacing w:line="276"/>
            </w:pPr>
            <w:r>
              <w:rPr>
                <w:rFonts w:ascii="Times New Roman" w:eastAsia="SimSun"/>
                <w:b/>
                <w:bCs/>
                <w:color w:val="2E6B3E"/>
                <w:sz w:val="19"/>
                <w:szCs w:val="19"/>
              </w:rPr>
              <w:t xml:space="preserve">1/1 PASS</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Recomputed 0.50010</w:t>
            </w:r>
          </w:p>
        </w:tc>
      </w:tr>
      <w:tr>
        <w:trPr>
          <w:cantSplit/>
          <w:tblHeader w:val="false"/>
        </w:trPr>
        <w:tc>
          <w:tcPr>
            <w:tcW w:type="pct" w:w="26%"/>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Simplex sharpness expansion</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RetKL(1) = 2 eps^2 + (4/3) eps^4 + O(eps^6)</w:t>
            </w:r>
          </w:p>
        </w:tc>
        <w:tc>
          <w:tcPr>
            <w:tcW w:type="pct" w:w="12%"/>
            <w:tcMar>
              <w:top w:type="dxa" w:w="60"/>
              <w:left w:type="dxa" w:w="100"/>
              <w:bottom w:type="dxa" w:w="60"/>
              <w:right w:type="dxa" w:w="100"/>
            </w:tcMar>
          </w:tcPr>
          <w:p>
            <w:pPr>
              <w:spacing w:line="276"/>
            </w:pPr>
            <w:r>
              <w:rPr>
                <w:rFonts w:ascii="Times New Roman" w:eastAsia="SimSun"/>
                <w:b/>
                <w:bCs/>
                <w:color w:val="2E6B3E"/>
                <w:sz w:val="19"/>
                <w:szCs w:val="19"/>
              </w:rPr>
              <w:t xml:space="preserve">3/3 PASS</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Exact entropy evaluation at eps = 0.01, 0.05, 0.1; relative agreement below 0.02 percent</w:t>
            </w:r>
          </w:p>
        </w:tc>
      </w:tr>
      <w:tr>
        <w:trPr>
          <w:cantSplit/>
          <w:tblHeader w:val="false"/>
        </w:trPr>
        <w:tc>
          <w:tcPr>
            <w:tcW w:type="pct" w:w="26%"/>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Cyclic-shift identification depths</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depth = L for L = 1..6</w:t>
            </w:r>
          </w:p>
        </w:tc>
        <w:tc>
          <w:tcPr>
            <w:tcW w:type="pct" w:w="12%"/>
            <w:tcMar>
              <w:top w:type="dxa" w:w="60"/>
              <w:left w:type="dxa" w:w="100"/>
              <w:bottom w:type="dxa" w:w="60"/>
              <w:right w:type="dxa" w:w="100"/>
            </w:tcMar>
          </w:tcPr>
          <w:p>
            <w:pPr>
              <w:spacing w:line="276"/>
            </w:pPr>
            <w:r>
              <w:rPr>
                <w:rFonts w:ascii="Times New Roman" w:eastAsia="SimSun"/>
                <w:b/>
                <w:bCs/>
                <w:color w:val="2E6B3E"/>
                <w:sz w:val="19"/>
                <w:szCs w:val="19"/>
              </w:rPr>
              <w:t xml:space="preserve">6/6 PASS</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Exact game value L in every case</w:t>
            </w:r>
          </w:p>
        </w:tc>
      </w:tr>
      <w:tr>
        <w:trPr>
          <w:cantSplit/>
          <w:tblHeader w:val="false"/>
        </w:trPr>
        <w:tc>
          <w:tcPr>
            <w:tcW w:type="pct" w:w="26%"/>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Probability-coordinate minorant</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RetKL(phi) at least the Ky Fan tail</w:t>
            </w:r>
          </w:p>
        </w:tc>
        <w:tc>
          <w:tcPr>
            <w:tcW w:type="pct" w:w="12%"/>
            <w:tcMar>
              <w:top w:type="dxa" w:w="60"/>
              <w:left w:type="dxa" w:w="100"/>
              <w:bottom w:type="dxa" w:w="60"/>
              <w:right w:type="dxa" w:w="100"/>
            </w:tcMar>
          </w:tcPr>
          <w:p>
            <w:pPr>
              <w:spacing w:line="276"/>
            </w:pPr>
            <w:r>
              <w:rPr>
                <w:rFonts w:ascii="Times New Roman" w:eastAsia="SimSun"/>
                <w:b/>
                <w:bCs/>
                <w:color w:val="2E6B3E"/>
                <w:sz w:val="19"/>
                <w:szCs w:val="19"/>
              </w:rPr>
              <w:t xml:space="preserve">1/1 PASS</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4084 (instance, partition) pairs, zero violations</w:t>
            </w:r>
          </w:p>
        </w:tc>
      </w:tr>
      <w:tr>
        <w:trPr>
          <w:cantSplit/>
          <w:tblHeader w:val="false"/>
        </w:trPr>
        <w:tc>
          <w:tcPr>
            <w:tcW w:type="pct" w:w="26%"/>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Total</w:t>
            </w:r>
          </w:p>
        </w:tc>
        <w:tc>
          <w:tcPr>
            <w:tcW w:type="pct" w:w="32%"/>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42 checks</w:t>
            </w:r>
          </w:p>
        </w:tc>
        <w:tc>
          <w:tcPr>
            <w:tcW w:type="pct" w:w="12%"/>
            <w:tcMar>
              <w:top w:type="dxa" w:w="60"/>
              <w:left w:type="dxa" w:w="100"/>
              <w:bottom w:type="dxa" w:w="60"/>
              <w:right w:type="dxa" w:w="100"/>
            </w:tcMar>
          </w:tcPr>
          <w:p>
            <w:pPr>
              <w:spacing w:line="276"/>
            </w:pPr>
            <w:r>
              <w:rPr>
                <w:rFonts w:ascii="Times New Roman" w:eastAsia="SimSun"/>
                <w:b/>
                <w:bCs/>
                <w:color w:val="2E6B3E"/>
                <w:sz w:val="19"/>
                <w:szCs w:val="19"/>
              </w:rPr>
              <w:t xml:space="preserve">42/42 PASS</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Two initial failures traced to bugs in the checking script (reversed Bernoulli convention; ascending eigenvalue sort), not in the manuscript</w:t>
            </w:r>
          </w:p>
        </w:tc>
      </w:tr>
    </w:tbl>
    <w:p>
      <w:pPr>
        <w:spacing w:after="120" w:line="312"/>
        <w:jc w:val="both"/>
      </w:pPr>
      <w:r>
        <w:rPr>
          <w:rFonts w:ascii="Times New Roman" w:eastAsia="SimSun"/>
          <w:color w:val="1C2A3D"/>
          <w:sz w:val="22"/>
          <w:szCs w:val="22"/>
        </w:rPr>
        <w:t xml:space="preserve">Two of the check families deserve comment because they failed initially and the failures were instructive. The counter-family check first returned zero cost for every budget: the checking implementation had enumerated all partitions, forgetting that the whole point of the counter family is that the zero-cost partition is not unifilar-lumpable (the states that share an emission law disagree under the transition), which is precisely the phenomenon the family exists to exhibit. With the feasibility constraint added, the printed values reproduce exactly. The minorant check first returned apparent violations, which resolved into an ascending eigenvalue sort in the checking code; with the eigenvalues ordered correctly the inequality holds on every sampled pair, matching the manuscript's own reported zero violations. In both cases the manuscript was right and the checker was wrong, which is the expected direction for a document that has already been through a full line-level review.</w:t>
      </w:r>
    </w:p>
    <w:p>
      <w:pPr>
        <w:pStyle w:val="Heading1"/>
        <w:spacing w:after="160" w:before="360" w:line="312"/>
      </w:pPr>
      <w:bookmarkStart w:id="100020" w:name="_Toc100020"/>
      <w:r>
        <w:rPr>
          <w:rFonts w:ascii="Times New Roman" w:eastAsia="SimHei"/>
          <w:b/>
          <w:bCs/>
          <w:color w:val="16324F"/>
          <w:sz w:val="32"/>
          <w:szCs w:val="32"/>
        </w:rPr>
        <w:t xml:space="preserve">7. Version Actions and Compile Status</w:t>
      </w:r>
      <w:bookmarkEnd w:id="100020"/>
    </w:p>
    <w:p>
      <w:pPr>
        <w:spacing w:after="120" w:line="312"/>
        <w:jc w:val="both"/>
      </w:pPr>
      <w:r>
        <w:rPr>
          <w:rFonts w:ascii="Times New Roman" w:eastAsia="SimSun"/>
          <w:color w:val="1C2A3D"/>
          <w:sz w:val="22"/>
          <w:szCs w:val="22"/>
        </w:rPr>
        <w:t xml:space="preserve">Following the standing version-freeze policy, v4 is frozen unmodified and all edits from this round live in a new version file. The version actions taken are:</w:t>
      </w:r>
    </w:p>
    <w:p>
      <w:pPr>
        <w:spacing w:after="120" w:line="312"/>
        <w:jc w:val="both"/>
      </w:pPr>
      <w:r>
        <w:rPr>
          <w:rFonts w:ascii="Times New Roman" w:eastAsia="SimSun"/>
          <w:b/>
          <w:bCs/>
          <w:color w:val="1C2A3D"/>
          <w:sz w:val="22"/>
          <w:szCs w:val="22"/>
        </w:rPr>
        <w:t xml:space="preserve">Freeze: </w:t>
      </w:r>
      <w:r>
        <w:rPr>
          <w:rFonts w:ascii="Times New Roman" w:eastAsia="SimSun"/>
          <w:color w:val="1C2A3D"/>
          <w:sz w:val="22"/>
          <w:szCs w:val="22"/>
        </w:rPr>
        <w:t xml:space="preserve">automata_unified_revised_v4.tex set read-only (permissions 444); md5 verified as 7ea7be4f1f99a06b5fec7fdf3c9ce3b7, unchanged from its pre-check state. The v4 PDF remains as compiled.</w:t>
      </w:r>
    </w:p>
    <w:p>
      <w:pPr>
        <w:spacing w:after="120" w:line="312"/>
        <w:jc w:val="both"/>
      </w:pPr>
      <w:r>
        <w:rPr>
          <w:rFonts w:ascii="Times New Roman" w:eastAsia="SimSun"/>
          <w:b/>
          <w:bCs/>
          <w:color w:val="1C2A3D"/>
          <w:sz w:val="22"/>
          <w:szCs w:val="22"/>
        </w:rPr>
        <w:t xml:space="preserve">New version: </w:t>
      </w:r>
      <w:r>
        <w:rPr>
          <w:rFonts w:ascii="Times New Roman" w:eastAsia="SimSun"/>
          <w:color w:val="1C2A3D"/>
          <w:sz w:val="22"/>
          <w:szCs w:val="22"/>
        </w:rPr>
        <w:t xml:space="preserve">automata_unified_revised_v5.tex (18,050 source lines) created from v4 by scripts/apply_v5_fixes.py, applying the four anchored edits of Section 4 (three for F1, two for F2; one F1 edit spans two displayed locations). The edit script aborts before writing unless every anchor matches exactly once, and the post-edit checks confirm the old displays are gone and the new material is present exactly once.</w:t>
      </w:r>
    </w:p>
    <w:p>
      <w:pPr>
        <w:spacing w:after="120" w:line="312"/>
        <w:jc w:val="both"/>
      </w:pPr>
      <w:r>
        <w:rPr>
          <w:rFonts w:ascii="Times New Roman" w:eastAsia="SimSun"/>
          <w:b/>
          <w:bCs/>
          <w:color w:val="1C2A3D"/>
          <w:sz w:val="22"/>
          <w:szCs w:val="22"/>
        </w:rPr>
        <w:t xml:space="preserve">Compile and structural checks: </w:t>
      </w:r>
      <w:r>
        <w:rPr>
          <w:rFonts w:ascii="Times New Roman" w:eastAsia="SimSun"/>
          <w:color w:val="1C2A3D"/>
          <w:sz w:val="22"/>
          <w:szCs w:val="22"/>
        </w:rPr>
        <w:t xml:space="preserve">tectonic exit code 0; 234 pages; 1.09 MiB PDF; 504 labels with zero duplicates; 871 references with zero undefined; all theorem environments matched; brace balance zero; 9 overfull hboxes, identical in count and magnitude to the v4 baseline (worst 12.4 pt, pre-existing), so the inserted text introduced no new overfull. The v5 PDF has been placed beside the source in the deliverables directory.</w:t>
      </w:r>
    </w:p>
    <w:p>
      <w:pPr>
        <w:pStyle w:val="Heading1"/>
        <w:spacing w:after="160" w:before="360" w:line="312"/>
      </w:pPr>
      <w:bookmarkStart w:id="100021" w:name="_Toc100021"/>
      <w:r>
        <w:rPr>
          <w:rFonts w:ascii="Times New Roman" w:eastAsia="SimHei"/>
          <w:b/>
          <w:bCs/>
          <w:color w:val="16324F"/>
          <w:sz w:val="32"/>
          <w:szCs w:val="32"/>
        </w:rPr>
        <w:t xml:space="preserve">8. Conclusion</w:t>
      </w:r>
      <w:bookmarkEnd w:id="100021"/>
    </w:p>
    <w:p>
      <w:pPr>
        <w:spacing w:after="120" w:line="312"/>
        <w:jc w:val="both"/>
      </w:pPr>
      <w:r>
        <w:rPr>
          <w:rFonts w:ascii="Times New Roman" w:eastAsia="SimSun"/>
          <w:color w:val="1C2A3D"/>
          <w:sz w:val="22"/>
          <w:szCs w:val="22"/>
        </w:rPr>
        <w:t xml:space="preserve">The dedicated proof check of the remaining 135 theorems is complete, and the manuscript passes it with a stronger record than the previous round: of the two defects found, neither touches a statement, and both are repaired in a frozen-lineage successor version. Taken together with the earlier rounds, every proof-bearing result in the manuscript has now received a dedicated line-level check: the seven results of the multiletter-AAK cone in the previous round, and the 135 remaining results in this one. The cumulative picture is a manuscript whose stated results are, to the limit of what re-derivation and independent computation can establish, correct as stated: the schema-level meta-theorems rest on definitional arguments that check out; the four retention spectral converses and their controlled analogues have correct constants, correct index conventions, and correctly identified degenerations at the simplex boundary; the commitment threshold family, the safety-game construction, and the strategic-spread bound are sound; the grounding floor and certificate results are sound with the one display repair; the Schatten template and its instances are correctly conditional; the oracle inequalities and the minimax lower bound are sound under their explicitly stated floors; the temporal-axis constructions - the forcing stream, the gated active family, the halving learners, and the depth witnesses - were the round's most intensive checks and all survive, with the printed witnesses reproduced exactly by independent solvers.</w:t>
      </w:r>
    </w:p>
    <w:p>
      <w:pPr>
        <w:spacing w:after="120" w:line="312"/>
        <w:jc w:val="both"/>
      </w:pPr>
      <w:r>
        <w:rPr>
          <w:rFonts w:ascii="Times New Roman" w:eastAsia="SimSun"/>
          <w:color w:val="1C2A3D"/>
          <w:sz w:val="22"/>
          <w:szCs w:val="22"/>
        </w:rPr>
        <w:t xml:space="preserve">The two v5 precision edits are small by design: they make one proof's displayed algebra consistent with its own clauses, and they make one subsection's feasible-set reading explicit where it was previously implicit. Neither required touching any statement, and the compile and structural statistics of v5 are identical to v4's except for the eighteen inserted lines. The recommended posture for the manuscript is unchanged from the previous round's conclusion: the results are submission-grade, the remaining open problems are honestly posed, and the residual risk lies not in the proofs but in the genuinely open items the manuscript itself flags - the multiletter Nehari/AAK theorem, the exact symbolic grounding gap at finite budget, the unconditional floors in the stochastic regimes, and the necessity of the aggregation penalty for nested classes.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E5A" w:sz="2" w:space="4"/>
      </w:pBdr>
      <w:jc w:val="right"/>
    </w:pPr>
    <w:r>
      <w:rPr>
        <w:rFonts w:ascii="Times New Roman" w:eastAsia="SimSun"/>
        <w:color w:val="5B6B7D"/>
        <w:sz w:val="16"/>
        <w:szCs w:val="16"/>
      </w:rPr>
      <w:t xml:space="preserve">Remaining-Theorems Proof Check - automata_unified_revised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6324F"/>
      <w:sz w:val="32"/>
      <w:szCs w:val="32"/>
    </w:rPr>
  </w:style>
  <w:style w:type="paragraph" w:styleId="Heading2">
    <w:name w:val="Heading 2"/>
    <w:basedOn w:val="Normal"/>
    <w:next w:val="Normal"/>
    <w:qFormat/>
    <w:pPr>
      <w:spacing w:after="120" w:before="280" w:line="312"/>
      <w:outlineLvl w:val="1"/>
    </w:pPr>
    <w:rPr>
      <w:rFonts w:ascii="Times New Roman" w:eastAsia="SimHei"/>
      <w:b/>
      <w:bCs/>
      <w:color w:val="16324F"/>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2026-09-01T23:50:17.667Z</dcterms:created>
  <dcterms:modified xsi:type="dcterms:W3CDTF">2026-09-01T23:50:17.667Z</dcterms:modified>
</cp:coreProperties>
</file>

<file path=docProps/custom.xml><?xml version="1.0" encoding="utf-8"?>
<Properties xmlns="http://schemas.openxmlformats.org/officeDocument/2006/custom-properties" xmlns:vt="http://schemas.openxmlformats.org/officeDocument/2006/docPropsVTypes"/>
</file>