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Sampled Governance, Empirical Identification, and Falsification Design: The Sample-and-Hold Model of Periodic Review, Spectral and Power Screens, and the Northern Cod Case at Its Exact Causal Status</w:t>
      </w:r>
    </w:p>
    <w:p>
      <w:pPr>
        <w:spacing w:after="120" w:before="0" w:line="240" w:lineRule="auto"/>
        <w:jc w:val="center"/>
      </w:pPr>
      <w:r>
        <w:rPr>
          <w:rFonts w:ascii="Times New Roman" w:hAnsi="Times New Roman" w:cs="Times New Roman" w:eastAsia="Times New Roman"/>
          <w:b w:val="0"/>
          <w:i/>
          <w:sz w:val="24"/>
        </w:rPr>
        <w:t>Methodology and case study</w:t>
      </w:r>
    </w:p>
    <w:p>
      <w:pPr>
        <w:spacing w:after="600" w:before="0" w:line="240" w:lineRule="auto"/>
        <w:jc w:val="center"/>
      </w:pPr>
      <w:r>
        <w:rPr>
          <w:rFonts w:ascii="Times New Roman" w:hAnsi="Times New Roman" w:cs="Times New Roman" w:eastAsia="Times New Roman"/>
          <w:b w:val="0"/>
          <w:i w:val="0"/>
          <w:sz w:val="24"/>
        </w:rPr>
        <w:t>Prepared for submission to ICES Journal of Marine Science</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This article models periodic assessment-review cycles as sample-and-hold control, screens 42 fish stocks for review-band spectral signatures, places the northern cod collapse at its exact causal status, and specifies falsifiable prospective designs.</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fisheries governance; sample-and-hold; aliasing; empirical identification; falsification; Northern cod</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Fisheries management runs on periodic review — assessments, decisions, and held catch or effort controls at discrete times — and this article treats that cadence as a sampling-control problem. The representation is a sample-and-hold model: between reviews a logistic stock evolves under held effort, a filtered nonnegative deficit signal carries institutional memory, and a projected explicit effort update (the extractive controller SD-E-B3, an explicit controller discretisation, not a generic harvest-control rule) resets effort at each review, with assessment separated from observation and latent state. The sampled state space is forward invariant (positivity, signal nonnegativity, effort admissibility, by induction over review intervals). The rapid-review limit is a finite-horizon consistency statement (an</w:t>
      </w:r>
      <w:r>
        <w:rPr>
          <w:rFonts w:ascii="Times New Roman" w:hAnsi="Times New Roman" w:cs="Times New Roman" w:eastAsia="Times New Roman"/>
          <w:sz w:val="24"/>
        </w:rPr>
        <w:t xml:space="preserve"> </w:t>
      </w:r>
      <m:oMath>
        <m:r>
          <m:t>O</m:t>
        </m:r>
        <m:d>
          <m:dPr>
            <m:begChr m:val="("/>
            <m:endChr m:val=")"/>
            <m:sepChr m:val=""/>
            <m:grow/>
          </m:dPr>
          <m:e>
            <m:sSub>
              <m:e>
                <m:r>
                  <m:t>T</m:t>
                </m:r>
              </m:e>
              <m:sub>
                <m:r>
                  <m:t>r</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Gronwall-type estimate) establishing neither stability at any positive review interval nor the reported response regions. Delayed-recruitment calculations, classified from long-horizon trajectories rather than Poincaré-map multipliers, locate exploratory response regions near 3–4 yr (anchovy-class) and 6–12 yr (sprat-class) review intervals, with cod-class convergence over the tested 1–20 yr grid and slow-stock transitions near 30–50 yr. A multiplicity-controlled Lomb–Scargle screen of a 42-stock annual-review cohort (RAM Legacy v4.66; AR(1) red-noise null; Benjamini–Hochberg FDR control) found no robust target-band peak, and injected-signal power on 100–200 yr synthetic records is high only in favourable noise and record-length regimes (sprat-class power 1.0 at</w:t>
      </w:r>
      <w:r>
        <w:rPr>
          <w:rFonts w:ascii="Times New Roman" w:hAnsi="Times New Roman" w:cs="Times New Roman" w:eastAsia="Times New Roman"/>
          <w:sz w:val="24"/>
        </w:rPr>
        <w:t xml:space="preserve"> </w:t>
      </w:r>
      <m:oMath>
        <m:r>
          <m:t>σ</m:t>
        </m:r>
        <m:r>
          <m:rPr>
            <m:sty m:val="p"/>
          </m:rPr>
          <m:t>=</m:t>
        </m:r>
        <m:r>
          <m:t>0.1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 0.24–0.58 at</w:t>
      </w:r>
      <w:r>
        <w:rPr>
          <w:rFonts w:ascii="Times New Roman" w:hAnsi="Times New Roman" w:cs="Times New Roman" w:eastAsia="Times New Roman"/>
          <w:sz w:val="24"/>
        </w:rPr>
        <w:t xml:space="preserve"> </w:t>
      </w:r>
      <m:oMath>
        <m:r>
          <m:t>σ</m:t>
        </m:r>
        <m:r>
          <m:rPr>
            <m:sty m:val="p"/>
          </m:rPr>
          <m:t>=</m:t>
        </m:r>
        <m:r>
          <m:t>0.3</m:t>
        </m:r>
      </m:oMath>
      <w:r>
        <w:rPr>
          <w:rFonts w:ascii="Times New Roman" w:hAnsi="Times New Roman" w:cs="Times New Roman" w:eastAsia="Times New Roman"/>
          <w:sz w:val="24"/>
        </w:rPr>
        <w:t xml:space="preserve">; anchovy-class 0.02–0.14). A structured search across more than thirty systems returned zero eligible cases under four confound-exclusion criteria. The northern cod case (NAFO 2J3KL) is carried at its exact causal status: the positive result is the two-window split — crash interpretation formulation-dependent, non-recovery unexplained in both formulations — with the scalar-autonomous phase-line obstruction as the mathematics. Five falsification criteria and five prospective designs — governance-event panels, quasi-experimental timing, out-of-sample mechanism comparison, randomized human-in-the-loop experiments, and closed-loop management strategy evaluation — complete the falsification programme.</w:t>
      </w:r>
    </w:p>
    <w:bookmarkEnd w:id="20"/>
    <w:bookmarkStart w:id="27"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bookmarkStart w:id="21" w:name="the-question-this-article-answers"/>
    <w:p>
      <w:pPr>
        <w:pStyle w:val="Heading2"/>
        <w:spacing w:before="240" w:after="120" w:line="360" w:lineRule="auto"/>
        <w:ind w:firstLine="0" w:left="0"/>
        <w:jc w:val="left"/>
      </w:pPr>
      <w:r>
        <w:rPr>
          <w:rFonts w:ascii="Times New Roman" w:hAnsi="Times New Roman" w:cs="Times New Roman" w:eastAsia="Times New Roman"/>
          <w:b/>
          <w:sz w:val="24"/>
        </w:rPr>
        <w:t xml:space="preserve">1.1 The question this article answers</w:t>
      </w:r>
    </w:p>
    <w:p>
      <w:pPr>
        <w:pStyle w:val="FirstParagraph"/>
        <w:spacing w:line="360" w:lineRule="auto" w:after="120"/>
        <w:ind w:firstLine="720"/>
        <w:jc w:val="both"/>
      </w:pPr>
      <w:r>
        <w:rPr>
          <w:rFonts w:ascii="Times New Roman" w:hAnsi="Times New Roman" w:cs="Times New Roman" w:eastAsia="Times New Roman"/>
          <w:b/>
          <w:bCs/>
          <w:sz w:val="24"/>
        </w:rPr>
        <w:t xml:space="preserve">How do periodic review, observation, implementation delay, and uncertainty alter the scarcity-mobilising mechanism, and how can the alteration be identified and falsified empirically?</w:t>
      </w:r>
    </w:p>
    <w:p>
      <w:pPr>
        <w:pStyle w:val="BodyText"/>
        <w:spacing w:line="360" w:lineRule="auto" w:after="120"/>
        <w:ind w:firstLine="720"/>
        <w:jc w:val="both"/>
      </w:pPr>
      <w:r>
        <w:rPr>
          <w:rFonts w:ascii="Times New Roman" w:hAnsi="Times New Roman" w:cs="Times New Roman" w:eastAsia="Times New Roman"/>
          <w:sz w:val="24"/>
        </w:rPr>
        <w:t xml:space="preserve">Fisheries governance is sampled governance. A stock assessment is produced at discrete times; a management body meets and decides at discrete times; and the resulting total allowable catch, effort control, or harvest rule is held — often for a year or more — until the next assessment cycle resets it. The control engineering of such loops is well developed: sampling a feedback loop changes its dynamics, a sample-and-hold controller has its own spectrum, and the interaction between a review cadence and a resource’s response timescale — the sampling-control analogue of aliasing — can relocate or delete boundaries that a continuous idealization would place elsewhere. Yet in fisheries advice the review interval is usually a scheduling fact rather than a modelled object, and the causal status of retrospective collapse narratives is rarely pinned to what the data can identify. This article treats the review cycle as a sampling-control problem and builds the identification and falsification layer that follows.</w:t>
      </w:r>
    </w:p>
    <w:p>
      <w:pPr>
        <w:pStyle w:val="BodyText"/>
        <w:spacing w:line="360" w:lineRule="auto" w:after="120"/>
        <w:ind w:firstLine="720"/>
        <w:jc w:val="both"/>
      </w:pPr>
      <w:r>
        <w:rPr>
          <w:rFonts w:ascii="Times New Roman" w:hAnsi="Times New Roman" w:cs="Times New Roman" w:eastAsia="Times New Roman"/>
          <w:sz w:val="24"/>
        </w:rPr>
        <w:t xml:space="preserve">Two failure modes motivate the question. The first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architecture substitution</w:t>
      </w:r>
      <w:r>
        <w:rPr>
          <w:rFonts w:ascii="Times New Roman" w:hAnsi="Times New Roman" w:cs="Times New Roman" w:eastAsia="Times New Roman"/>
          <w:sz w:val="24"/>
        </w:rPr>
        <w:t xml:space="preserve">: a continuous delay differential equation assumes a delayed signal entering a continuously evolving control law, while many real institutions observe or assess a resource at discrete times, choose a rule-based action, and hold that action until the next review; replacing one architecture by the other can move or delete stability boundaries, so the governance architecture itself must be tested, not merely re-parameterised. The second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causal promotion</w:t>
      </w:r>
      <w:r>
        <w:rPr>
          <w:rFonts w:ascii="Times New Roman" w:hAnsi="Times New Roman" w:cs="Times New Roman" w:eastAsia="Times New Roman"/>
          <w:sz w:val="24"/>
        </w:rPr>
        <w:t xml:space="preserve">: spectral peaks, cohort cycles, and crisis-driven monitoring records circulate as evidence for institutional-delay mechanisms when they carry no controller-sign information at all. This article builds the layer that resists both failures: the review interval is treated as an operator with its own spectrum, every diagnostic is typed, and every empirical record carries its evidentiary level with its restrictions on the line. The observation and epistemic layer (§4) fixes, at the level of principle, when observation-based certification is possible at all and when information that arrives too late is operationally equivalent to no information — governance implications that bound what adaptive review cycles can certify before any data analysis begins.</w:t>
      </w:r>
    </w:p>
    <w:bookmarkEnd w:id="21"/>
    <w:bookmarkStart w:id="22" w:name="what-enters-this-article"/>
    <w:p>
      <w:pPr>
        <w:pStyle w:val="Heading2"/>
        <w:spacing w:before="240" w:after="120" w:line="360" w:lineRule="auto"/>
        <w:ind w:firstLine="0" w:left="0"/>
        <w:jc w:val="left"/>
      </w:pPr>
      <w:r>
        <w:rPr>
          <w:rFonts w:ascii="Times New Roman" w:hAnsi="Times New Roman" w:cs="Times New Roman" w:eastAsia="Times New Roman"/>
          <w:b/>
          <w:sz w:val="24"/>
        </w:rPr>
        <w:t xml:space="preserve">1.2 What enters this article</w:t>
      </w:r>
    </w:p>
    <w:p>
      <w:pPr>
        <w:pStyle w:val="FirstParagraph"/>
        <w:spacing w:line="360" w:lineRule="auto" w:after="120"/>
        <w:ind w:firstLine="720"/>
        <w:jc w:val="both"/>
      </w:pPr>
      <w:r>
        <w:rPr>
          <w:rFonts w:ascii="Times New Roman" w:hAnsi="Times New Roman" w:cs="Times New Roman" w:eastAsia="Times New Roman"/>
          <w:sz w:val="24"/>
        </w:rPr>
        <w:t xml:space="preserve">This article is the empirical-identification and falsification-design paper of a five-paper research programme. Its retained set consists of the 57 statement-inventory rows routed to it by the programme’s destination allocation: the periodic-review source’s model family, response regions, robustness and spectral diagnostics, screen, power analysis, and case search (23 rows, the empirical core); the northern cod case (10 rows); the eligible adaptive-capacity and distributive-measurement material (6 rows); the dimensionless identifiability chart and the empirical screen of the unified applied source (2 rows); the observation and epistemic layer (15 rows across five sources — 4, 3, 5, 1, and 2 rows); and the sampled-review variant registration (1 row). Per-statement provenance keys link every inventory-sourced statement to a 409-row statement inventory (source location, canonical module, mapping type, evidence status, destination); the keys themselves are carried in Appendix A. Six manuscript-native entries carry the article’s own local content: the governance-time ontology, the forward-invariance (positivity) proposition, the SD-E-B3 instance of the finite-horizon consistency statement, the four prospective identification designs, the closed-loop management-strategy-evaluation design, and the falsification criteria (§9). Four further manuscript-native entries restate source-declared content that carries no inventory row: the architecture-level empirical hypotheses (§5.2), the assessment-table values of the cod case’s two windows (§6.3), the alternative-mechanism enumeration behind the case-search criteria (§6.1), and the fixed-</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idealisation caveat (§7.1).</w:t>
      </w:r>
    </w:p>
    <w:bookmarkEnd w:id="22"/>
    <w:bookmarkStart w:id="23" w:name="claim-status-discipline"/>
    <w:p>
      <w:pPr>
        <w:pStyle w:val="Heading2"/>
        <w:spacing w:before="240" w:after="120" w:line="360" w:lineRule="auto"/>
        <w:ind w:firstLine="0" w:left="0"/>
        <w:jc w:val="left"/>
      </w:pPr>
      <w:r>
        <w:rPr>
          <w:rFonts w:ascii="Times New Roman" w:hAnsi="Times New Roman" w:cs="Times New Roman" w:eastAsia="Times New Roman"/>
          <w:b/>
          <w:sz w:val="24"/>
        </w:rPr>
        <w:t xml:space="preserve">1.3 Claim-status discipline</w:t>
      </w:r>
    </w:p>
    <w:p>
      <w:pPr>
        <w:pStyle w:val="FirstParagraph"/>
        <w:spacing w:line="360" w:lineRule="auto" w:after="120"/>
        <w:ind w:firstLine="720"/>
        <w:jc w:val="both"/>
      </w:pPr>
      <w:r>
        <w:rPr>
          <w:rFonts w:ascii="Times New Roman" w:hAnsi="Times New Roman" w:cs="Times New Roman" w:eastAsia="Times New Roman"/>
          <w:sz w:val="24"/>
        </w:rPr>
        <w:t xml:space="preserve">Every statement below carries a status label from the research programme’s hierarchy (the canonical source’s own table, adopted programme-wide):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Admission rule</w:t>
            </w:r>
          </w:p>
        </w:tc>
      </w:tr>
      <w:tr>
        <w:tc>
          <w:tcPr/>
          <w:p>
            <w:pPr>
              <w:pStyle w:val="Compact"/>
              <w:spacing w:line="240" w:lineRule="auto" w:after="40" w:before="40"/>
              <w:jc w:val="left"/>
            </w:pPr>
            <w:r>
              <w:rPr>
                <w:rFonts w:ascii="Times New Roman" w:hAnsi="Times New Roman" w:cs="Times New Roman" w:eastAsia="Times New Roman"/>
                <w:sz w:val="19"/>
              </w:rPr>
              <w:t xml:space="preserve">Axiom/definition</w:t>
            </w:r>
          </w:p>
        </w:tc>
        <w:tc>
          <w:tcPr/>
          <w:p>
            <w:pPr>
              <w:pStyle w:val="Compact"/>
              <w:spacing w:line="240" w:lineRule="auto" w:after="40" w:before="40"/>
              <w:jc w:val="left"/>
            </w:pPr>
            <w:r>
              <w:rPr>
                <w:rFonts w:ascii="Times New Roman" w:hAnsi="Times New Roman" w:cs="Times New Roman" w:eastAsia="Times New Roman"/>
                <w:sz w:val="19"/>
              </w:rPr>
              <w:t xml:space="preserve">Declares an object, domain, type, or convention; asserts no empirical truth</w:t>
            </w:r>
          </w:p>
        </w:tc>
      </w:tr>
      <w:tr>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Follows by construction or direct algebra</w:t>
            </w:r>
          </w:p>
        </w:tc>
      </w:tr>
      <w:tr>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Complete proof under explicit mathematical assumptions</w:t>
            </w:r>
          </w:p>
        </w:tc>
      </w:tr>
      <w:tr>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Complete implication whose hypotheses are not established for every intended application</w:t>
            </w:r>
          </w:p>
        </w:tc>
      </w:tr>
      <w:tr>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Precise unproved statement with a declared proof gap and disproof route</w:t>
            </w:r>
          </w:p>
        </w:tc>
      </w:tr>
      <w:tr>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An explicit construction establishing that an implication fails</w:t>
            </w:r>
          </w:p>
        </w:tc>
      </w:tr>
    </w:tbl>
    <w:p>
      <w:pPr>
        <w:pStyle w:val="BodyText"/>
        <w:spacing w:line="360" w:lineRule="auto" w:after="120"/>
        <w:ind w:firstLine="720"/>
        <w:jc w:val="both"/>
      </w:pPr>
      <w:r>
        <w:rPr>
          <w:rFonts w:ascii="Times New Roman" w:hAnsi="Times New Roman" w:cs="Times New Roman" w:eastAsia="Times New Roman"/>
          <w:sz w:val="24"/>
        </w:rPr>
        <w:t xml:space="preserve">Empirical and computational records additionally carry their source-specific evidentiary level, stated per record and never relaxed:</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Evidentiary level</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Meaning</w:t>
            </w:r>
          </w:p>
        </w:tc>
      </w:tr>
      <w:tr>
        <w:tc>
          <w:tcPr/>
          <w:p>
            <w:pPr>
              <w:pStyle w:val="Compact"/>
              <w:spacing w:line="240" w:lineRule="auto" w:after="40" w:before="40"/>
              <w:jc w:val="left"/>
            </w:pPr>
            <w:r>
              <w:rPr>
                <w:rFonts w:ascii="Times New Roman" w:hAnsi="Times New Roman" w:cs="Times New Roman" w:eastAsia="Times New Roman"/>
                <w:sz w:val="19"/>
              </w:rPr>
              <w:t xml:space="preserve">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A definition or declared object verified in the source; no empirical truth asserted</w:t>
            </w:r>
          </w:p>
        </w:tc>
      </w:tr>
      <w:tr>
        <w:tc>
          <w:tcPr/>
          <w:p>
            <w:pPr>
              <w:pStyle w:val="Compact"/>
              <w:spacing w:line="240" w:lineRule="auto" w:after="40" w:before="40"/>
              <w:jc w:val="left"/>
            </w:pPr>
            <w:r>
              <w:rPr>
                <w:rFonts w:ascii="Times New Roman" w:hAnsi="Times New Roman" w:cs="Times New Roman" w:eastAsia="Times New Roman"/>
                <w:sz w:val="19"/>
              </w:rPr>
              <w:t xml:space="preserve">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A computational or empirical record whose source-declared restrictions govern its use (exploratory finite-grid classification, author calculations, conditional simulations)</w:t>
            </w:r>
          </w:p>
        </w:tc>
      </w:tr>
      <w:tr>
        <w:tc>
          <w:tcPr/>
          <w:p>
            <w:pPr>
              <w:pStyle w:val="Compact"/>
              <w:spacing w:line="240" w:lineRule="auto" w:after="40" w:before="40"/>
              <w:jc w:val="left"/>
            </w:pPr>
            <w:r>
              <w:rPr>
                <w:rFonts w:ascii="Times New Roman" w:hAnsi="Times New Roman" w:cs="Times New Roman" w:eastAsia="Times New Roman"/>
                <w:sz w:val="19"/>
              </w:rPr>
              <w:t xml:space="preserve">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The source’s statement is accepted at face value; the reproduction artifact is declared and not attached</w:t>
            </w:r>
          </w:p>
        </w:tc>
      </w:tr>
      <w:tr>
        <w:tc>
          <w:tcPr/>
          <w:p>
            <w:pPr>
              <w:pStyle w:val="Compact"/>
              <w:spacing w:line="240" w:lineRule="auto" w:after="40" w:before="40"/>
              <w:jc w:val="left"/>
            </w:pPr>
            <w:r>
              <w:rPr>
                <w:rFonts w:ascii="Times New Roman" w:hAnsi="Times New Roman" w:cs="Times New Roman" w:eastAsia="Times New Roman"/>
                <w:sz w:val="19"/>
              </w:rPr>
              <w:t xml:space="preserve">Status crosswalk required</w:t>
            </w:r>
          </w:p>
        </w:tc>
        <w:tc>
          <w:tcPr/>
          <w:p>
            <w:pPr>
              <w:pStyle w:val="Compact"/>
              <w:spacing w:line="240" w:lineRule="auto" w:after="40" w:before="40"/>
              <w:jc w:val="left"/>
            </w:pPr>
            <w:r>
              <w:rPr>
                <w:rFonts w:ascii="Times New Roman" w:hAnsi="Times New Roman" w:cs="Times New Roman" w:eastAsia="Times New Roman"/>
                <w:sz w:val="19"/>
              </w:rPr>
              <w:t xml:space="preserve">The record’s claim type must be restated at the governing classification before use (e.g. formulation attribution, background-only content)</w:t>
            </w:r>
          </w:p>
        </w:tc>
      </w:tr>
      <w:tr>
        <w:tc>
          <w:tcPr/>
          <w:p>
            <w:pPr>
              <w:pStyle w:val="Compact"/>
              <w:spacing w:line="240" w:lineRule="auto" w:after="40" w:before="40"/>
              <w:jc w:val="left"/>
            </w:pPr>
            <w:r>
              <w:rPr>
                <w:rFonts w:ascii="Times New Roman" w:hAnsi="Times New Roman" w:cs="Times New Roman" w:eastAsia="Times New Roman"/>
                <w:sz w:val="19"/>
              </w:rPr>
              <w:t xml:space="preserve">Conditional/open</w:t>
            </w:r>
          </w:p>
        </w:tc>
        <w:tc>
          <w:tcPr/>
          <w:p>
            <w:pPr>
              <w:pStyle w:val="Compact"/>
              <w:spacing w:line="240" w:lineRule="auto" w:after="40" w:before="40"/>
              <w:jc w:val="left"/>
            </w:pPr>
            <w:r>
              <w:rPr>
                <w:rFonts w:ascii="Times New Roman" w:hAnsi="Times New Roman" w:cs="Times New Roman" w:eastAsia="Times New Roman"/>
                <w:sz w:val="19"/>
              </w:rPr>
              <w:t xml:space="preserve">Hypothesis, conjecture, or open problem with declared test requirements</w:t>
            </w:r>
          </w:p>
        </w:tc>
      </w:tr>
    </w:tbl>
    <w:p>
      <w:pPr>
        <w:pStyle w:val="BodyText"/>
        <w:spacing w:line="360" w:lineRule="auto" w:after="120"/>
        <w:ind w:firstLine="720"/>
        <w:jc w:val="both"/>
      </w:pPr>
      <w:r>
        <w:rPr>
          <w:rFonts w:ascii="Times New Roman" w:hAnsi="Times New Roman" w:cs="Times New Roman" w:eastAsia="Times New Roman"/>
          <w:sz w:val="24"/>
        </w:rPr>
        <w:t xml:space="preserve">Two rules govern this article.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promotion: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conditional theorem is never stated as a theorem; an exploratory response region is never stated as a stability boundary; an arithmetic transformation is never stated as an independent observation; a formulation attribution is never stated as a causal claim.</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silent transfer: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status proven for one model class does not transfer to extensions, reductions, or applications without a declared map, and the diagnostic no-transfer rule of the architecture is binding throughout —</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 diagnostic is not a causal claim</w:t>
      </w:r>
      <w:r>
        <w:rPr>
          <w:rFonts w:ascii="Times New Roman" w:hAnsi="Times New Roman" w:cs="Times New Roman" w:eastAsia="Times New Roman"/>
          <w:sz w:val="24"/>
        </w:rPr>
        <w:t xml:space="preserve">.</w:t>
      </w:r>
    </w:p>
    <w:bookmarkEnd w:id="23"/>
    <w:bookmarkStart w:id="24" w:name="provenance-and-auditability"/>
    <w:p>
      <w:pPr>
        <w:pStyle w:val="Heading2"/>
        <w:spacing w:before="240" w:after="120" w:line="360" w:lineRule="auto"/>
        <w:ind w:firstLine="0" w:left="0"/>
        <w:jc w:val="left"/>
      </w:pPr>
      <w:r>
        <w:rPr>
          <w:rFonts w:ascii="Times New Roman" w:hAnsi="Times New Roman" w:cs="Times New Roman" w:eastAsia="Times New Roman"/>
          <w:b/>
          <w:sz w:val="24"/>
        </w:rPr>
        <w:t xml:space="preserve">1.4 Provenance and auditability</w:t>
      </w:r>
    </w:p>
    <w:p>
      <w:pPr>
        <w:pStyle w:val="FirstParagraph"/>
        <w:spacing w:line="360" w:lineRule="auto" w:after="120"/>
        <w:ind w:firstLine="720"/>
        <w:jc w:val="both"/>
      </w:pPr>
      <w:r>
        <w:rPr>
          <w:rFonts w:ascii="Times New Roman" w:hAnsi="Times New Roman" w:cs="Times New Roman" w:eastAsia="Times New Roman"/>
          <w:sz w:val="24"/>
        </w:rPr>
        <w:t xml:space="preserve">All 57 of this article’s inventory-sourced statements are closed at content level: each was verified against its source manuscript in a dated full-read campaign (the architecture, canonical, and periodic-review sources on 2026-08-27; the remaining seven sources on 2026-08-28), with per-statement confirmation of existence, kind, proof presence, module, and mapping type. They are stated below at exactly those statuses, with no promotion. Content-level acceptance means the statement’s existence, kind, proof presence, module, and mapping type were verified against the source; it is not a theorem-status promotion, and the cross-module interface contract remains an open obligation recorded per row. Of the 409-row statement inventory, 354 rows are content-verified; the 27 rows that remain open are exactly the three conditional-paper sources — none of them behind this article.</w:t>
      </w:r>
    </w:p>
    <w:bookmarkEnd w:id="24"/>
    <w:bookmarkStart w:id="25" w:name="relationship-to-the-companion-studies"/>
    <w:p>
      <w:pPr>
        <w:pStyle w:val="Heading2"/>
        <w:spacing w:before="240" w:after="120" w:line="360" w:lineRule="auto"/>
        <w:ind w:firstLine="0" w:left="0"/>
        <w:jc w:val="left"/>
      </w:pPr>
      <w:r>
        <w:rPr>
          <w:rFonts w:ascii="Times New Roman" w:hAnsi="Times New Roman" w:cs="Times New Roman" w:eastAsia="Times New Roman"/>
          <w:b/>
          <w:sz w:val="24"/>
        </w:rPr>
        <w:t xml:space="preserve">1.5 Relationship to the companion studies</w:t>
      </w:r>
    </w:p>
    <w:p>
      <w:pPr>
        <w:pStyle w:val="FirstParagraph"/>
        <w:spacing w:line="360" w:lineRule="auto" w:after="120"/>
        <w:ind w:firstLine="720"/>
        <w:jc w:val="both"/>
      </w:pPr>
      <w:r>
        <w:rPr>
          <w:rFonts w:ascii="Times New Roman" w:hAnsi="Times New Roman" w:cs="Times New Roman" w:eastAsia="Times New Roman"/>
          <w:sz w:val="24"/>
        </w:rPr>
        <w:t xml:space="preserve">This article is one of five companion papers of a research programme, prepared under separate review. One companion owns the typed canonical architecture, including the diagnostic types and their no-transfer rule; this article carries a Minimal Working Realization of the observation–governance objects it needs and never transfers a status across modules. Another companion owns the theorem atlas: the sampled, hybrid, and information-state kernel family and the observation and epistemic-viability family are stated and proved there, and where this article needs one of those objects it states the local instance and cross-references the owning entry — the atlas is the map, this article owns the empirical identification and falsification layer. A third owns the conserved-material ledgers, the componentwise depletion diagnostics, and the worked fisheries ledger cases; the spectral screen’s input cohort is an analysis-side criterion, not a ledger example, and the boundary is stated at the screen (§5.3). A fourth owns the named retarded systems, their bifurcation analysis, and the delayed-recruitment registration object; the response-region outputs read here ride that registration at its declared status (§3.4). The research programme’s four scored empirical manuscripts (two forecast ladders and two intervention-selection legs on the northern cod and Edwards Aquifer systems) are outside this article’s scope; they enter as context at the cod case (§6.3) and in the admission-standard discussion (§9). No paper depends on another for a locally load-bearing definition: the sampled model, its conventions, the screen, and the designs are stated in full here.</w:t>
      </w:r>
    </w:p>
    <w:bookmarkEnd w:id="25"/>
    <w:bookmarkStart w:id="26" w:name="roadmap"/>
    <w:p>
      <w:pPr>
        <w:pStyle w:val="Heading2"/>
        <w:spacing w:before="240" w:after="120" w:line="360" w:lineRule="auto"/>
        <w:ind w:firstLine="0" w:left="0"/>
        <w:jc w:val="left"/>
      </w:pPr>
      <w:r>
        <w:rPr>
          <w:rFonts w:ascii="Times New Roman" w:hAnsi="Times New Roman" w:cs="Times New Roman" w:eastAsia="Times New Roman"/>
          <w:b/>
          <w:sz w:val="24"/>
        </w:rPr>
        <w:t xml:space="preserve">1.6 Roadmap</w:t>
      </w:r>
    </w:p>
    <w:p>
      <w:pPr>
        <w:pStyle w:val="FirstParagraph"/>
        <w:spacing w:line="360" w:lineRule="auto" w:after="120"/>
        <w:ind w:firstLine="720"/>
        <w:jc w:val="both"/>
      </w:pPr>
      <w:r>
        <w:rPr>
          <w:rFonts w:ascii="Times New Roman" w:hAnsi="Times New Roman" w:cs="Times New Roman" w:eastAsia="Times New Roman"/>
          <w:sz w:val="24"/>
        </w:rPr>
        <w:t xml:space="preserve">The remainder of this article is organized as follows. §2 states the sample-and-hold model of periodic review: the governance-time ontology, the process, observation, and assessment equations, the review map and the controller family, and the registration conventions. §3 establishes forward invariance of the sampled process, states the finite-horizon rapid-review consistency result and what it does not establish, fixes sampled-data stability terminology, records the trajectory-classified response regions and the robustness and diagnostic spectra, and states the two-operator discipline. §4 carries the observation, implementation-delay, and epistemic layer: the observation-fibre certification limit, information monotonicity, the informational failure modes, the ideal benchmark and the epistemic-institutional kernel, the value-of-information templates, the model-object/proxy discipline, and an open problem. §5 states the dimensionless identifiability chart, the empirical hypotheses with declared tests, the cross-sectional spectral screen, and the power and detectability analysis. §6 reports the structured case search with its zero count and carries the northern cod case at its exact causal status, including the phase-line obstruction and the two-window split. §7 specifies the five prospective designs. §8 states the distributive and adaptive-capacity constraints where reproducible. §9 declares the falsification standard. §10 records provenance, reproducibility, and limits. Appendix A carries the statement inventory in two tables; the references and the data and code availability statement close the article.</w:t>
      </w:r>
    </w:p>
    <w:bookmarkEnd w:id="26"/>
    <w:bookmarkEnd w:id="27"/>
    <w:bookmarkStart w:id="32" w:name="X26a2fb04e677fc0bc300c9fc4ec9abd3164a353"/>
    <w:p>
      <w:pPr>
        <w:pStyle w:val="Heading1"/>
        <w:spacing w:before="360" w:after="120" w:line="360" w:lineRule="auto"/>
        <w:ind w:firstLine="0" w:left="0"/>
        <w:jc w:val="left"/>
      </w:pPr>
      <w:r>
        <w:rPr>
          <w:rFonts w:ascii="Times New Roman" w:hAnsi="Times New Roman" w:cs="Times New Roman" w:eastAsia="Times New Roman"/>
          <w:b/>
          <w:sz w:val="28"/>
        </w:rPr>
        <w:t xml:space="preserve">2. The sample-and-hold model of periodic review (Minimal Working Realization)</w:t>
      </w:r>
    </w:p>
    <w:bookmarkStart w:id="28" w:name="Xb10131cea0e7031a72c6d704d61d45aadd2892b"/>
    <w:p>
      <w:pPr>
        <w:pStyle w:val="Heading2"/>
        <w:spacing w:before="240" w:after="120" w:line="360" w:lineRule="auto"/>
        <w:ind w:firstLine="0" w:left="0"/>
        <w:jc w:val="left"/>
      </w:pPr>
      <w:r>
        <w:rPr>
          <w:rFonts w:ascii="Times New Roman" w:hAnsi="Times New Roman" w:cs="Times New Roman" w:eastAsia="Times New Roman"/>
          <w:b/>
          <w:sz w:val="24"/>
        </w:rPr>
        <w:t xml:space="preserve">2.1 Governance time: seven objects and the no-collapse rule</w:t>
      </w:r>
    </w:p>
    <w:p>
      <w:pPr>
        <w:pStyle w:val="FirstParagraph"/>
        <w:spacing w:line="360" w:lineRule="auto" w:after="120"/>
        <w:ind w:firstLine="720"/>
        <w:jc w:val="both"/>
      </w:pPr>
      <w:r>
        <w:rPr>
          <w:rFonts w:ascii="Times New Roman" w:hAnsi="Times New Roman" w:cs="Times New Roman" w:eastAsia="Times New Roman"/>
          <w:sz w:val="24"/>
        </w:rPr>
        <w:t xml:space="preserve">The model’s declaration layer separates the time objects of governance: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Object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Definition</w:t>
            </w:r>
          </w:p>
        </w:tc>
      </w:tr>
      <w:tr>
        <w:tc>
          <w:tcPr/>
          <w:p>
            <w:pPr>
              <w:pStyle w:val="Compact"/>
              <w:spacing w:line="240" w:lineRule="auto" w:after="40" w:before="40"/>
              <w:jc w:val="left"/>
            </w:pPr>
            <w:r>
              <w:rPr>
                <w:rFonts w:ascii="Times New Roman" w:hAnsi="Times New Roman" w:cs="Times New Roman" w:eastAsia="Times New Roman"/>
                <w:sz w:val="19"/>
              </w:rPr>
              <w:t xml:space="preserve">Observation interval</w:t>
            </w:r>
            <w:r>
              <w:rPr>
                <w:rFonts w:ascii="Times New Roman" w:hAnsi="Times New Roman" w:cs="Times New Roman" w:eastAsia="Times New Roman"/>
                <w:sz w:val="19"/>
              </w:rPr>
              <w:t xml:space="preserve"> </w:t>
            </w:r>
            <m:oMath>
              <m:sSub>
                <m:e>
                  <m:r>
                    <m:t>T</m:t>
                  </m:r>
                </m:e>
                <m:sub>
                  <m:r>
                    <m:rPr>
                      <m:sty m:val="p"/>
                    </m:rPr>
                    <m:t>o</m:t>
                  </m:r>
                  <m:r>
                    <m:rPr>
                      <m:sty m:val="p"/>
                    </m:rPr>
                    <m:t>b</m:t>
                  </m:r>
                  <m:r>
                    <m:rPr>
                      <m:sty m:val="p"/>
                    </m:rPr>
                    <m:t>s</m:t>
                  </m:r>
                </m:sub>
              </m:sSub>
            </m:oMath>
          </w:p>
        </w:tc>
        <w:tc>
          <w:tcPr/>
          <w:p>
            <w:pPr>
              <w:pStyle w:val="Compact"/>
              <w:spacing w:line="240" w:lineRule="auto" w:after="40" w:before="40"/>
              <w:jc w:val="left"/>
            </w:pPr>
            <w:r>
              <w:rPr>
                <w:rFonts w:ascii="Times New Roman" w:hAnsi="Times New Roman" w:cs="Times New Roman" w:eastAsia="Times New Roman"/>
                <w:sz w:val="19"/>
              </w:rPr>
              <w:t xml:space="preserve">Time between raw measurements</w:t>
            </w:r>
          </w:p>
        </w:tc>
      </w:tr>
      <w:tr>
        <w:tc>
          <w:tcPr/>
          <w:p>
            <w:pPr>
              <w:pStyle w:val="Compact"/>
              <w:spacing w:line="240" w:lineRule="auto" w:after="40" w:before="40"/>
              <w:jc w:val="left"/>
            </w:pPr>
            <w:r>
              <w:rPr>
                <w:rFonts w:ascii="Times New Roman" w:hAnsi="Times New Roman" w:cs="Times New Roman" w:eastAsia="Times New Roman"/>
                <w:sz w:val="19"/>
              </w:rPr>
              <w:t xml:space="preserve">Assessment interval</w:t>
            </w:r>
            <w:r>
              <w:rPr>
                <w:rFonts w:ascii="Times New Roman" w:hAnsi="Times New Roman" w:cs="Times New Roman" w:eastAsia="Times New Roman"/>
                <w:sz w:val="19"/>
              </w:rPr>
              <w:t xml:space="preserve"> </w:t>
            </w:r>
            <m:oMath>
              <m:sSub>
                <m:e>
                  <m:r>
                    <m:t>T</m:t>
                  </m:r>
                </m:e>
                <m:sub>
                  <m:r>
                    <m:rPr>
                      <m:sty m:val="p"/>
                    </m:rPr>
                    <m:t>a</m:t>
                  </m:r>
                  <m:r>
                    <m:rPr>
                      <m:sty m:val="p"/>
                    </m:rPr>
                    <m:t>s</m:t>
                  </m:r>
                  <m:r>
                    <m:rPr>
                      <m:sty m:val="p"/>
                    </m:rPr>
                    <m:t>s</m:t>
                  </m:r>
                  <m:r>
                    <m:rPr>
                      <m:sty m:val="p"/>
                    </m:rPr>
                    <m:t>e</m:t>
                  </m:r>
                  <m:r>
                    <m:rPr>
                      <m:sty m:val="p"/>
                    </m:rPr>
                    <m:t>s</m:t>
                  </m:r>
                  <m:r>
                    <m:rPr>
                      <m:sty m:val="p"/>
                    </m:rPr>
                    <m:t>s</m:t>
                  </m:r>
                </m:sub>
              </m:sSub>
            </m:oMath>
          </w:p>
        </w:tc>
        <w:tc>
          <w:tcPr/>
          <w:p>
            <w:pPr>
              <w:pStyle w:val="Compact"/>
              <w:spacing w:line="240" w:lineRule="auto" w:after="40" w:before="40"/>
              <w:jc w:val="left"/>
            </w:pPr>
            <w:r>
              <w:rPr>
                <w:rFonts w:ascii="Times New Roman" w:hAnsi="Times New Roman" w:cs="Times New Roman" w:eastAsia="Times New Roman"/>
                <w:sz w:val="19"/>
              </w:rPr>
              <w:t xml:space="preserve">Time between formal state estimates</w:t>
            </w:r>
          </w:p>
        </w:tc>
      </w:tr>
      <w:tr>
        <w:tc>
          <w:tcPr/>
          <w:p>
            <w:pPr>
              <w:pStyle w:val="Compact"/>
              <w:spacing w:line="240" w:lineRule="auto" w:after="40" w:before="40"/>
              <w:jc w:val="left"/>
            </w:pPr>
            <w:r>
              <w:rPr>
                <w:rFonts w:ascii="Times New Roman" w:hAnsi="Times New Roman" w:cs="Times New Roman" w:eastAsia="Times New Roman"/>
                <w:sz w:val="19"/>
              </w:rPr>
              <w:t xml:space="preserve">Review interval</w:t>
            </w:r>
            <w:r>
              <w:rPr>
                <w:rFonts w:ascii="Times New Roman" w:hAnsi="Times New Roman" w:cs="Times New Roman" w:eastAsia="Times New Roman"/>
                <w:sz w:val="19"/>
              </w:rPr>
              <w:t xml:space="preserve"> </w:t>
            </w:r>
            <m:oMath>
              <m:sSub>
                <m:e>
                  <m:r>
                    <m:t>T</m:t>
                  </m:r>
                </m:e>
                <m:sub>
                  <m:r>
                    <m:t>r</m:t>
                  </m:r>
                </m:sub>
              </m:sSub>
            </m:oMath>
          </w:p>
        </w:tc>
        <w:tc>
          <w:tcPr/>
          <w:p>
            <w:pPr>
              <w:pStyle w:val="Compact"/>
              <w:spacing w:line="240" w:lineRule="auto" w:after="40" w:before="40"/>
              <w:jc w:val="left"/>
            </w:pPr>
            <w:r>
              <w:rPr>
                <w:rFonts w:ascii="Times New Roman" w:hAnsi="Times New Roman" w:cs="Times New Roman" w:eastAsia="Times New Roman"/>
                <w:sz w:val="19"/>
              </w:rPr>
              <w:t xml:space="preserve">Time between opportunities to change the command</w:t>
            </w:r>
          </w:p>
        </w:tc>
      </w:tr>
      <w:tr>
        <w:tc>
          <w:tcPr/>
          <w:p>
            <w:pPr>
              <w:pStyle w:val="Compact"/>
              <w:spacing w:line="240" w:lineRule="auto" w:after="40" w:before="40"/>
              <w:jc w:val="left"/>
            </w:pPr>
            <w:r>
              <w:rPr>
                <w:rFonts w:ascii="Times New Roman" w:hAnsi="Times New Roman" w:cs="Times New Roman" w:eastAsia="Times New Roman"/>
                <w:sz w:val="19"/>
              </w:rPr>
              <w:t xml:space="preserve">Decision lag</w:t>
            </w:r>
            <w:r>
              <w:rPr>
                <w:rFonts w:ascii="Times New Roman" w:hAnsi="Times New Roman" w:cs="Times New Roman" w:eastAsia="Times New Roman"/>
                <w:sz w:val="19"/>
              </w:rPr>
              <w:t xml:space="preserve"> </w:t>
            </w:r>
            <m:oMath>
              <m:sSub>
                <m:e>
                  <m:r>
                    <m:t>τ</m:t>
                  </m:r>
                </m:e>
                <m:sub>
                  <m:r>
                    <m:rPr>
                      <m:sty m:val="p"/>
                    </m:rPr>
                    <m:t>d</m:t>
                  </m:r>
                  <m:r>
                    <m:rPr>
                      <m:sty m:val="p"/>
                    </m:rPr>
                    <m:t>e</m:t>
                  </m:r>
                  <m:r>
                    <m:rPr>
                      <m:sty m:val="p"/>
                    </m:rPr>
                    <m:t>c</m:t>
                  </m:r>
                </m:sub>
              </m:sSub>
            </m:oMath>
          </w:p>
        </w:tc>
        <w:tc>
          <w:tcPr/>
          <w:p>
            <w:pPr>
              <w:pStyle w:val="Compact"/>
              <w:spacing w:line="240" w:lineRule="auto" w:after="40" w:before="40"/>
              <w:jc w:val="left"/>
            </w:pPr>
            <w:r>
              <w:rPr>
                <w:rFonts w:ascii="Times New Roman" w:hAnsi="Times New Roman" w:cs="Times New Roman" w:eastAsia="Times New Roman"/>
                <w:sz w:val="19"/>
              </w:rPr>
              <w:t xml:space="preserve">Assessment completion to formal decision</w:t>
            </w:r>
          </w:p>
        </w:tc>
      </w:tr>
      <w:tr>
        <w:tc>
          <w:tcPr/>
          <w:p>
            <w:pPr>
              <w:pStyle w:val="Compact"/>
              <w:spacing w:line="240" w:lineRule="auto" w:after="40" w:before="40"/>
              <w:jc w:val="left"/>
            </w:pPr>
            <w:r>
              <w:rPr>
                <w:rFonts w:ascii="Times New Roman" w:hAnsi="Times New Roman" w:cs="Times New Roman" w:eastAsia="Times New Roman"/>
                <w:sz w:val="19"/>
              </w:rPr>
              <w:t xml:space="preserve">Deployment lag</w:t>
            </w:r>
            <w:r>
              <w:rPr>
                <w:rFonts w:ascii="Times New Roman" w:hAnsi="Times New Roman" w:cs="Times New Roman" w:eastAsia="Times New Roman"/>
                <w:sz w:val="19"/>
              </w:rPr>
              <w:t xml:space="preserve"> </w:t>
            </w:r>
            <m:oMath>
              <m:sSub>
                <m:e>
                  <m:r>
                    <m:t>τ</m:t>
                  </m:r>
                </m:e>
                <m:sub>
                  <m:r>
                    <m:rPr>
                      <m:sty m:val="p"/>
                    </m:rPr>
                    <m:t>d</m:t>
                  </m:r>
                  <m:r>
                    <m:rPr>
                      <m:sty m:val="p"/>
                    </m:rPr>
                    <m:t>e</m:t>
                  </m:r>
                  <m:r>
                    <m:rPr>
                      <m:sty m:val="p"/>
                    </m:rPr>
                    <m:t>p</m:t>
                  </m:r>
                </m:sub>
              </m:sSub>
            </m:oMath>
          </w:p>
        </w:tc>
        <w:tc>
          <w:tcPr/>
          <w:p>
            <w:pPr>
              <w:pStyle w:val="Compact"/>
              <w:spacing w:line="240" w:lineRule="auto" w:after="40" w:before="40"/>
              <w:jc w:val="left"/>
            </w:pPr>
            <w:r>
              <w:rPr>
                <w:rFonts w:ascii="Times New Roman" w:hAnsi="Times New Roman" w:cs="Times New Roman" w:eastAsia="Times New Roman"/>
                <w:sz w:val="19"/>
              </w:rPr>
              <w:t xml:space="preserve">Decision to implemented change in extraction pressure</w:t>
            </w:r>
          </w:p>
        </w:tc>
      </w:tr>
      <w:tr>
        <w:tc>
          <w:tcPr/>
          <w:p>
            <w:pPr>
              <w:pStyle w:val="Compact"/>
              <w:spacing w:line="240" w:lineRule="auto" w:after="40" w:before="40"/>
              <w:jc w:val="left"/>
            </w:pPr>
            <w:r>
              <w:rPr>
                <w:rFonts w:ascii="Times New Roman" w:hAnsi="Times New Roman" w:cs="Times New Roman" w:eastAsia="Times New Roman"/>
                <w:sz w:val="19"/>
              </w:rPr>
              <w:t xml:space="preserve">Ecological response lag</w:t>
            </w:r>
            <w:r>
              <w:rPr>
                <w:rFonts w:ascii="Times New Roman" w:hAnsi="Times New Roman" w:cs="Times New Roman" w:eastAsia="Times New Roman"/>
                <w:sz w:val="19"/>
              </w:rPr>
              <w:t xml:space="preserve"> </w:t>
            </w:r>
            <m:oMath>
              <m:sSub>
                <m:e>
                  <m:r>
                    <m:t>τ</m:t>
                  </m:r>
                </m:e>
                <m:sub>
                  <m:r>
                    <m:rPr>
                      <m:sty m:val="p"/>
                    </m:rPr>
                    <m:t>e</m:t>
                  </m:r>
                  <m:r>
                    <m:rPr>
                      <m:sty m:val="p"/>
                    </m:rPr>
                    <m:t>c</m:t>
                  </m:r>
                  <m:r>
                    <m:rPr>
                      <m:sty m:val="p"/>
                    </m:rPr>
                    <m:t>o</m:t>
                  </m:r>
                </m:sub>
              </m:sSub>
            </m:oMath>
          </w:p>
        </w:tc>
        <w:tc>
          <w:tcPr/>
          <w:p>
            <w:pPr>
              <w:pStyle w:val="Compact"/>
              <w:spacing w:line="240" w:lineRule="auto" w:after="40" w:before="40"/>
              <w:jc w:val="left"/>
            </w:pPr>
            <w:r>
              <w:rPr>
                <w:rFonts w:ascii="Times New Roman" w:hAnsi="Times New Roman" w:cs="Times New Roman" w:eastAsia="Times New Roman"/>
                <w:sz w:val="19"/>
              </w:rPr>
              <w:t xml:space="preserve">Implementation to detectable ecological response</w:t>
            </w:r>
          </w:p>
        </w:tc>
      </w:tr>
      <w:tr>
        <w:tc>
          <w:tcPr/>
          <w:p>
            <w:pPr>
              <w:pStyle w:val="Compact"/>
              <w:spacing w:line="240" w:lineRule="auto" w:after="40" w:before="40"/>
              <w:jc w:val="left"/>
            </w:pPr>
            <w:r>
              <w:rPr>
                <w:rFonts w:ascii="Times New Roman" w:hAnsi="Times New Roman" w:cs="Times New Roman" w:eastAsia="Times New Roman"/>
                <w:sz w:val="19"/>
              </w:rPr>
              <w:t xml:space="preserve">Memory timescale</w:t>
            </w:r>
            <w:r>
              <w:rPr>
                <w:rFonts w:ascii="Times New Roman" w:hAnsi="Times New Roman" w:cs="Times New Roman" w:eastAsia="Times New Roman"/>
                <w:sz w:val="19"/>
              </w:rPr>
              <w:t xml:space="preserve"> </w:t>
            </w:r>
            <m:oMath>
              <m:sSub>
                <m:e>
                  <m:r>
                    <m:t>τ</m:t>
                  </m:r>
                </m:e>
                <m:sub>
                  <m:r>
                    <m:t>m</m:t>
                  </m:r>
                </m:sub>
              </m:sSub>
            </m:oMath>
          </w:p>
        </w:tc>
        <w:tc>
          <w:tcPr/>
          <w:p>
            <w:pPr>
              <w:pStyle w:val="Compact"/>
              <w:spacing w:line="240" w:lineRule="auto" w:after="40" w:before="40"/>
              <w:jc w:val="left"/>
            </w:pPr>
            <w:r>
              <w:rPr>
                <w:rFonts w:ascii="Times New Roman" w:hAnsi="Times New Roman" w:cs="Times New Roman" w:eastAsia="Times New Roman"/>
                <w:sz w:val="19"/>
              </w:rPr>
              <w:t xml:space="preserve">Relaxation time of a filtered institutional signal; not a discrete delay</w:t>
            </w:r>
          </w:p>
        </w:tc>
      </w:tr>
    </w:tbl>
    <w:p>
      <w:pPr>
        <w:pStyle w:val="BodyText"/>
        <w:spacing w:line="360" w:lineRule="auto" w:after="120"/>
        <w:ind w:firstLine="720"/>
        <w:jc w:val="both"/>
      </w:pPr>
      <w:r>
        <w:rPr>
          <w:rFonts w:ascii="Times New Roman" w:hAnsi="Times New Roman" w:cs="Times New Roman" w:eastAsia="Times New Roman"/>
          <w:sz w:val="24"/>
        </w:rPr>
        <w:t xml:space="preserve">These quantities are not collapsed into 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governance lag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unless the empirical record cannot resolve them and the aggregation rule is declared: reviews can be annual while deployment is delayed, and observations can be frequent while decisions are legally fixed for several years. The separation is not itself an identifiability result — stock and realised-effort series alone may identify only a combined closed-loop phase shift, and separate estimation of assessment, decision, and deployment delays requires dated observation releases, assessment products, commands, and implementation records, or a proved structural-identifiability argument for the declared observation model. The review opportunity is not the same as response sign: the extractive command studied here raises effort in response to a perceived decline; a protective controller that lowers effort is a different model and enters as a comparator (§2.3).</w:t>
      </w:r>
    </w:p>
    <w:bookmarkEnd w:id="28"/>
    <w:bookmarkStart w:id="29" w:name="X1001463e0a8276519ee7f3b11937f62b1b112d5"/>
    <w:p>
      <w:pPr>
        <w:pStyle w:val="Heading2"/>
        <w:spacing w:before="240" w:after="120" w:line="360" w:lineRule="auto"/>
        <w:ind w:firstLine="0" w:left="0"/>
        <w:jc w:val="left"/>
      </w:pPr>
      <w:r>
        <w:rPr>
          <w:rFonts w:ascii="Times New Roman" w:hAnsi="Times New Roman" w:cs="Times New Roman" w:eastAsia="Times New Roman"/>
          <w:b/>
          <w:sz w:val="24"/>
        </w:rPr>
        <w:t xml:space="preserve">2.2 Process, observation, and assessment equations</w:t>
      </w:r>
    </w:p>
    <w:p>
      <w:pPr>
        <w:pStyle w:val="FirstParagraph"/>
        <w:spacing w:line="360" w:lineRule="auto" w:after="120"/>
        <w:ind w:firstLine="720"/>
        <w:jc w:val="both"/>
      </w:pPr>
      <w:r>
        <w:rPr>
          <w:rFonts w:ascii="Times New Roman" w:hAnsi="Times New Roman" w:cs="Times New Roman" w:eastAsia="Times New Roman"/>
          <w:sz w:val="24"/>
        </w:rPr>
        <w:t xml:space="preserve">Let review times be</w:t>
      </w:r>
      <w:r>
        <w:rPr>
          <w:rFonts w:ascii="Times New Roman" w:hAnsi="Times New Roman" w:cs="Times New Roman" w:eastAsia="Times New Roman"/>
          <w:sz w:val="24"/>
        </w:rPr>
        <w:t xml:space="preserve"> </w:t>
      </w:r>
      <m:oMath>
        <m:sSub>
          <m:e>
            <m:r>
              <m:t>t</m:t>
            </m:r>
          </m:e>
          <m:sub>
            <m:r>
              <m:t>n</m:t>
            </m:r>
          </m:sub>
        </m:sSub>
        <m:r>
          <m:rPr>
            <m:sty m:val="p"/>
          </m:rPr>
          <m:t>=</m:t>
        </m:r>
        <m:r>
          <m:t>n</m:t>
        </m:r>
        <m:sSub>
          <m:e>
            <m:r>
              <m:t>T</m:t>
            </m:r>
          </m:e>
          <m:sub>
            <m:r>
              <m:t>r</m:t>
            </m:r>
          </m:sub>
        </m:sSub>
      </m:oMath>
      <w:r>
        <w:rPr>
          <w:rFonts w:ascii="Times New Roman" w:hAnsi="Times New Roman" w:cs="Times New Roman" w:eastAsia="Times New Roman"/>
          <w:sz w:val="24"/>
        </w:rPr>
        <w:t xml:space="preserve">. Between reviews, extractive effort is held at</w:t>
      </w:r>
      <w:r>
        <w:rPr>
          <w:rFonts w:ascii="Times New Roman" w:hAnsi="Times New Roman" w:cs="Times New Roman" w:eastAsia="Times New Roman"/>
          <w:sz w:val="24"/>
        </w:rPr>
        <w:t xml:space="preserve"> </w:t>
      </w:r>
      <m:oMath>
        <m:sSub>
          <m:e>
            <m:r>
              <m:t>E</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resource stock follows the logistic process under held effort:</w:t>
      </w:r>
    </w:p>
    <w:p>
      <w:pPr>
        <w:pStyle w:val="BodyText"/>
        <w:spacing w:line="360" w:lineRule="auto" w:before="120" w:after="120"/>
        <w:ind w:firstLine="0"/>
        <w:jc w:val="center"/>
      </w:pPr>
      <m:oMathPara>
        <m:oMathParaPr>
          <m:jc m:val="center"/>
        </m:oMathParaPr>
        <m:oMath>
          <m:acc>
            <m:accPr>
              <m:chr m:val="̇"/>
            </m:accPr>
            <m:e>
              <m:r>
                <m:t>N</m:t>
              </m:r>
            </m:e>
          </m:acc>
          <m:d>
            <m:dPr>
              <m:begChr m:val="("/>
              <m:endChr m:val=")"/>
              <m:sepChr m:val=""/>
              <m:grow/>
            </m:dPr>
            <m:e>
              <m:r>
                <m:t>t</m:t>
              </m:r>
            </m:e>
          </m:d>
          <m:r>
            <m:rPr>
              <m:sty m:val="p"/>
            </m:rPr>
            <m:t>=</m:t>
          </m:r>
          <m:r>
            <m:t>r</m:t>
          </m:r>
          <m:r>
            <m:t>N</m:t>
          </m:r>
          <m:d>
            <m:dPr>
              <m:begChr m:val="("/>
              <m:endChr m:val=")"/>
              <m:sepChr m:val=""/>
              <m:grow/>
            </m:dPr>
            <m:e>
              <m:r>
                <m:t>t</m:t>
              </m:r>
            </m:e>
          </m:d>
          <m:d>
            <m:dPr>
              <m:begChr m:val="("/>
              <m:endChr m:val=")"/>
              <m:sepChr m:val=""/>
              <m:grow/>
            </m:dPr>
            <m:e>
              <m:r>
                <m:t>1</m:t>
              </m:r>
              <m:r>
                <m:rPr>
                  <m:sty m:val="p"/>
                </m:rPr>
                <m:t>−</m:t>
              </m:r>
              <m:f>
                <m:fPr>
                  <m:type m:val="bar"/>
                </m:fPr>
                <m:num>
                  <m:r>
                    <m:t>N</m:t>
                  </m:r>
                  <m:d>
                    <m:dPr>
                      <m:begChr m:val="("/>
                      <m:endChr m:val=")"/>
                      <m:sepChr m:val=""/>
                      <m:grow/>
                    </m:dPr>
                    <m:e>
                      <m:r>
                        <m:t>t</m:t>
                      </m:r>
                    </m:e>
                  </m:d>
                </m:num>
                <m:den>
                  <m:r>
                    <m:t>K</m:t>
                  </m:r>
                </m:den>
              </m:f>
            </m:e>
          </m:d>
          <m:r>
            <m:rPr>
              <m:sty m:val="p"/>
            </m:rPr>
            <m:t>−</m:t>
          </m:r>
          <m:r>
            <m:t>q</m:t>
          </m:r>
          <m:sSub>
            <m:e>
              <m:r>
                <m:t>E</m:t>
              </m:r>
            </m:e>
            <m:sub>
              <m:r>
                <m:t>n</m:t>
              </m:r>
            </m:sub>
          </m:sSub>
          <m:r>
            <m:t>N</m:t>
          </m:r>
          <m:d>
            <m:dPr>
              <m:begChr m:val="("/>
              <m:endChr m:val=")"/>
              <m:sepChr m:val=""/>
              <m:grow/>
            </m:dPr>
            <m:e>
              <m:r>
                <m:t>t</m:t>
              </m:r>
            </m:e>
          </m:d>
          <m:r>
            <m:rPr>
              <m:sty m:val="p"/>
            </m:rPr>
            <m:t>,</m:t>
          </m:r>
          <m:r>
            <m:t>  </m:t>
          </m:r>
          <m:r>
            <m:t>t</m:t>
          </m:r>
          <m:r>
            <m:rPr>
              <m:sty m:val="p"/>
            </m:rPr>
            <m:t>∈</m:t>
          </m:r>
          <m:r>
            <m:rPr>
              <m:sty m:val="p"/>
            </m:rPr>
            <m:t>[</m:t>
          </m:r>
          <m:sSub>
            <m:e>
              <m:r>
                <m:t>t</m:t>
              </m:r>
            </m:e>
            <m:sub>
              <m:r>
                <m:t>n</m:t>
              </m:r>
            </m:sub>
          </m:sSub>
          <m:r>
            <m:rPr>
              <m:sty m:val="p"/>
            </m:rPr>
            <m:t>,</m:t>
          </m:r>
          <m:sSub>
            <m:e>
              <m:r>
                <m:t>t</m:t>
              </m:r>
            </m:e>
            <m:sub>
              <m:r>
                <m:t>n</m:t>
              </m:r>
              <m:r>
                <m:rPr>
                  <m:sty m:val="p"/>
                </m:rPr>
                <m:t>+</m:t>
              </m:r>
              <m:r>
                <m:t>1</m:t>
              </m:r>
            </m:sub>
          </m:sSub>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while the institutional signal</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filtered nonnegative deficit:</w:t>
      </w:r>
    </w:p>
    <w:p>
      <w:pPr>
        <w:pStyle w:val="BodyText"/>
        <w:spacing w:line="360" w:lineRule="auto" w:before="120" w:after="120"/>
        <w:ind w:firstLine="0"/>
        <w:jc w:val="center"/>
      </w:pPr>
      <m:oMathPara>
        <m:oMathParaPr>
          <m:jc m:val="center"/>
        </m:oMathParaPr>
        <m:oMath>
          <m:acc>
            <m:accPr>
              <m:chr m:val="̇"/>
            </m:accPr>
            <m:e>
              <m:r>
                <m:t>Z</m:t>
              </m:r>
            </m:e>
          </m:acc>
          <m:d>
            <m:dPr>
              <m:begChr m:val="("/>
              <m:endChr m:val=")"/>
              <m:sepChr m:val=""/>
              <m:grow/>
            </m:dPr>
            <m:e>
              <m:r>
                <m:t>t</m:t>
              </m:r>
            </m:e>
          </m:d>
          <m:r>
            <m:rPr>
              <m:sty m:val="p"/>
            </m:rPr>
            <m:t>=</m:t>
          </m:r>
          <m:f>
            <m:fPr>
              <m:type m:val="bar"/>
            </m:fPr>
            <m:num>
              <m:r>
                <m:t>Φ</m:t>
              </m:r>
              <m:d>
                <m:dPr>
                  <m:begChr m:val="("/>
                  <m:endChr m:val=")"/>
                  <m:sepChr m:val=""/>
                  <m:grow/>
                </m:dPr>
                <m:e>
                  <m:r>
                    <m:t>q</m:t>
                  </m:r>
                  <m:sSub>
                    <m:e>
                      <m:r>
                        <m:t>E</m:t>
                      </m:r>
                    </m:e>
                    <m:sub>
                      <m:r>
                        <m:t>n</m:t>
                      </m:r>
                    </m:sub>
                  </m:sSub>
                  <m:r>
                    <m:t>N</m:t>
                  </m:r>
                  <m:d>
                    <m:dPr>
                      <m:begChr m:val="("/>
                      <m:endChr m:val=")"/>
                      <m:sepChr m:val=""/>
                      <m:grow/>
                    </m:dPr>
                    <m:e>
                      <m:r>
                        <m:t>t</m:t>
                      </m:r>
                    </m:e>
                  </m:d>
                  <m:r>
                    <m:rPr>
                      <m:sty m:val="p"/>
                    </m:rPr>
                    <m:t>−</m:t>
                  </m:r>
                  <m:r>
                    <m:t>S</m:t>
                  </m:r>
                  <m:d>
                    <m:dPr>
                      <m:begChr m:val="("/>
                      <m:endChr m:val=")"/>
                      <m:sepChr m:val=""/>
                      <m:grow/>
                    </m:dPr>
                    <m:e>
                      <m:r>
                        <m:t>N</m:t>
                      </m:r>
                      <m:d>
                        <m:dPr>
                          <m:begChr m:val="("/>
                          <m:endChr m:val=")"/>
                          <m:sepChr m:val=""/>
                          <m:grow/>
                        </m:dPr>
                        <m:e>
                          <m:r>
                            <m:t>t</m:t>
                          </m:r>
                        </m:e>
                      </m:d>
                    </m:e>
                  </m:d>
                </m:e>
              </m:d>
              <m:r>
                <m:rPr>
                  <m:sty m:val="p"/>
                </m:rPr>
                <m:t>−</m:t>
              </m:r>
              <m:r>
                <m:t>Z</m:t>
              </m:r>
              <m:d>
                <m:dPr>
                  <m:begChr m:val="("/>
                  <m:endChr m:val=")"/>
                  <m:sepChr m:val=""/>
                  <m:grow/>
                </m:dPr>
                <m:e>
                  <m:r>
                    <m:t>t</m:t>
                  </m:r>
                </m:e>
              </m:d>
            </m:num>
            <m:den>
              <m:sSub>
                <m:e>
                  <m:r>
                    <m:t>τ</m:t>
                  </m:r>
                </m:e>
                <m:sub>
                  <m:r>
                    <m:t>m</m:t>
                  </m:r>
                </m:sub>
              </m:sSub>
            </m:den>
          </m:f>
          <m:r>
            <m:rPr>
              <m:sty m:val="p"/>
            </m:rPr>
            <m:t>,</m:t>
          </m:r>
          <m:r>
            <m:t>  </m:t>
          </m:r>
          <m:sSub>
            <m:e>
              <m:r>
                <m:t>τ</m:t>
              </m:r>
            </m:e>
            <m:sub>
              <m:r>
                <m:t>m</m:t>
              </m:r>
            </m:sub>
          </m:sSub>
          <m:r>
            <m:rPr>
              <m:sty m:val="p"/>
            </m:rPr>
            <m:t>&gt;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S</m:t>
        </m:r>
        <m:d>
          <m:dPr>
            <m:begChr m:val="("/>
            <m:endChr m:val=")"/>
            <m:sepChr m:val=""/>
            <m:grow/>
          </m:dPr>
          <m:e>
            <m:r>
              <m:t>N</m:t>
            </m:r>
          </m:e>
        </m:d>
        <m:r>
          <m:rPr>
            <m:sty m:val="p"/>
          </m:rPr>
          <m:t>=</m:t>
        </m:r>
        <m:r>
          <m:t>r</m:t>
        </m:r>
        <m:r>
          <m:t>N</m:t>
        </m:r>
        <m:d>
          <m:dPr>
            <m:begChr m:val="("/>
            <m:endChr m:val=")"/>
            <m:sepChr m:val=""/>
            <m:grow/>
          </m:dPr>
          <m:e>
            <m:r>
              <m:t>1</m:t>
            </m:r>
            <m:r>
              <m:rPr>
                <m:sty m:val="p"/>
              </m:rPr>
              <m:t>−</m:t>
            </m:r>
            <m:r>
              <m:t>N</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surplus production and</w:t>
      </w:r>
      <w:r>
        <w:rPr>
          <w:rFonts w:ascii="Times New Roman" w:hAnsi="Times New Roman" w:cs="Times New Roman" w:eastAsia="Times New Roman"/>
          <w:sz w:val="24"/>
        </w:rPr>
        <w:t xml:space="preserve"> </w:t>
      </w:r>
      <m:oMath>
        <m:r>
          <m:t>Φ</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nonnegative signal map with memory timescale</w:t>
      </w:r>
      <w:r>
        <w:rPr>
          <w:rFonts w:ascii="Times New Roman" w:hAnsi="Times New Roman" w:cs="Times New Roman" w:eastAsia="Times New Roman"/>
          <w:sz w:val="24"/>
        </w:rPr>
        <w:t xml:space="preserve"> </w:t>
      </w:r>
      <m:oMath>
        <m:sSub>
          <m:e>
            <m:r>
              <m:t>τ</m:t>
            </m:r>
          </m:e>
          <m:sub>
            <m:r>
              <m:t>m</m:t>
            </m:r>
          </m:sub>
        </m:sSub>
      </m:oMath>
      <w:r>
        <w:rPr>
          <w:rFonts w:ascii="Times New Roman" w:hAnsi="Times New Roman" w:cs="Times New Roman" w:eastAsia="Times New Roman"/>
          <w:sz w:val="24"/>
        </w:rPr>
        <w:t xml:space="preserve">. The assessment available at review</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p>
    <w:p>
      <w:pPr>
        <w:pStyle w:val="BodyText"/>
        <w:spacing w:line="360" w:lineRule="auto" w:before="120" w:after="120"/>
        <w:ind w:firstLine="0"/>
        <w:jc w:val="center"/>
      </w:pPr>
      <m:oMathPara>
        <m:oMathParaPr>
          <m:jc m:val="center"/>
        </m:oMathParaPr>
        <m:oMath>
          <m:sSub>
            <m:e>
              <m:acc>
                <m:accPr>
                  <m:chr m:val="̂"/>
                </m:accPr>
                <m:e>
                  <m:r>
                    <m:t>Z</m:t>
                  </m:r>
                </m:e>
              </m:acc>
            </m:e>
            <m:sub>
              <m:r>
                <m:t>n</m:t>
              </m:r>
            </m:sub>
          </m:sSub>
          <m:r>
            <m:rPr>
              <m:sty m:val="p"/>
            </m:rPr>
            <m:t>=</m:t>
          </m:r>
          <m:sSub>
            <m:e>
              <m:r>
                <m:rPr>
                  <m:sty m:val="p"/>
                  <m:scr m:val="script"/>
                </m:rPr>
                <m:t>A</m:t>
              </m:r>
            </m:e>
            <m:sub>
              <m:r>
                <m:t>n</m:t>
              </m:r>
            </m:sub>
          </m:sSub>
          <m:r>
            <m:t>​</m:t>
          </m:r>
          <m:d>
            <m:dPr>
              <m:begChr m:val="("/>
              <m:endChr m:val=")"/>
              <m:sepChr m:val=""/>
              <m:grow/>
            </m:dPr>
            <m:e>
              <m:r>
                <m:rPr>
                  <m:sty m:val="p"/>
                </m:rPr>
                <m:t>{</m:t>
              </m:r>
              <m:sSub>
                <m:e>
                  <m:r>
                    <m:t>Y</m:t>
                  </m:r>
                </m:e>
                <m:sub>
                  <m:r>
                    <m:t>j</m:t>
                  </m:r>
                </m:sub>
              </m:sSub>
              <m:r>
                <m:rPr>
                  <m:sty m:val="p"/>
                </m:rPr>
                <m:t>:</m:t>
              </m:r>
              <m:sSub>
                <m:e>
                  <m:r>
                    <m:t>t</m:t>
                  </m:r>
                </m:e>
                <m:sub>
                  <m:r>
                    <m:t>j</m:t>
                  </m:r>
                </m:sub>
              </m:sSub>
              <m:r>
                <m:rPr>
                  <m:sty m:val="p"/>
                </m:rPr>
                <m:t>≤</m:t>
              </m:r>
              <m:sSub>
                <m:e>
                  <m:r>
                    <m:t>t</m:t>
                  </m:r>
                </m:e>
                <m:sub>
                  <m:r>
                    <m:t>n</m:t>
                  </m:r>
                </m:sub>
              </m:sSub>
              <m:r>
                <m:rPr>
                  <m:sty m:val="p"/>
                </m:rPr>
                <m:t>−</m:t>
              </m:r>
              <m:sSub>
                <m:e>
                  <m:r>
                    <m:t>τ</m:t>
                  </m:r>
                </m:e>
                <m:sub>
                  <m:r>
                    <m:rPr>
                      <m:sty m:val="p"/>
                    </m:rPr>
                    <m:t>d</m:t>
                  </m:r>
                  <m:r>
                    <m:rPr>
                      <m:sty m:val="p"/>
                    </m:rPr>
                    <m:t>e</m:t>
                  </m:r>
                  <m:r>
                    <m:rPr>
                      <m:sty m:val="p"/>
                    </m:rPr>
                    <m:t>c</m:t>
                  </m:r>
                </m:sub>
              </m:sSub>
              <m:r>
                <m:rPr>
                  <m:sty m:val="p"/>
                </m:rPr>
                <m:t>}</m:t>
              </m:r>
            </m:e>
          </m:d>
          <m:r>
            <m:rPr>
              <m:sty m:val="p"/>
            </m:rPr>
            <m:t>,</m:t>
          </m:r>
          <m:r>
            <m:t>  </m:t>
          </m:r>
          <m:sSub>
            <m:e>
              <m:r>
                <m:t>Y</m:t>
              </m:r>
            </m:e>
            <m:sub>
              <m:r>
                <m:t>j</m:t>
              </m:r>
            </m:sub>
          </m:sSub>
          <m:r>
            <m:rPr>
              <m:sty m:val="p"/>
            </m:rPr>
            <m:t>=</m:t>
          </m:r>
          <m:r>
            <m:rPr>
              <m:sty m:val="p"/>
              <m:scr m:val="script"/>
            </m:rPr>
            <m:t>O</m:t>
          </m:r>
          <m:d>
            <m:dPr>
              <m:begChr m:val="("/>
              <m:endChr m:val=")"/>
              <m:sepChr m:val=""/>
              <m:grow/>
            </m:dPr>
            <m:e>
              <m:r>
                <m:t>N</m:t>
              </m:r>
              <m:d>
                <m:dPr>
                  <m:begChr m:val="("/>
                  <m:endChr m:val=")"/>
                  <m:sepChr m:val=""/>
                  <m:grow/>
                </m:dPr>
                <m:e>
                  <m:sSub>
                    <m:e>
                      <m:r>
                        <m:t>t</m:t>
                      </m:r>
                    </m:e>
                    <m:sub>
                      <m:r>
                        <m:t>j</m:t>
                      </m:r>
                    </m:sub>
                  </m:sSub>
                </m:e>
              </m:d>
            </m:e>
          </m:d>
          <m:r>
            <m:rPr>
              <m:sty m:val="p"/>
            </m:rPr>
            <m:t>+</m:t>
          </m:r>
          <m:sSub>
            <m:e>
              <m:r>
                <m:t>ε</m:t>
              </m:r>
            </m:e>
            <m:sub>
              <m:r>
                <m:t>j</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which separates the latent process</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the observations</w:t>
      </w:r>
      <w:r>
        <w:rPr>
          <w:rFonts w:ascii="Times New Roman" w:hAnsi="Times New Roman" w:cs="Times New Roman" w:eastAsia="Times New Roman"/>
          <w:sz w:val="24"/>
        </w:rPr>
        <w:t xml:space="preserve"> </w:t>
      </w:r>
      <m:oMath>
        <m:r>
          <m:t>Y</m:t>
        </m:r>
      </m:oMath>
      <w:r>
        <w:rPr>
          <w:rFonts w:ascii="Times New Roman" w:hAnsi="Times New Roman" w:cs="Times New Roman" w:eastAsia="Times New Roman"/>
          <w:sz w:val="24"/>
        </w:rPr>
        <w:t xml:space="preserve">, and the assessments</w:t>
      </w:r>
      <w:r>
        <w:rPr>
          <w:rFonts w:ascii="Times New Roman" w:hAnsi="Times New Roman" w:cs="Times New Roman" w:eastAsia="Times New Roman"/>
          <w:sz w:val="24"/>
        </w:rPr>
        <w:t xml:space="preserve"> </w:t>
      </w:r>
      <m:oMath>
        <m:acc>
          <m:accPr>
            <m:chr m:val="̂"/>
          </m:accPr>
          <m:e>
            <m:r>
              <m:t>Z</m:t>
            </m:r>
          </m:e>
        </m:acc>
      </m:oMath>
      <w:r>
        <w:rPr>
          <w:rFonts w:ascii="Times New Roman" w:hAnsi="Times New Roman" w:cs="Times New Roman" w:eastAsia="Times New Roman"/>
          <w:sz w:val="24"/>
        </w:rPr>
        <w:t xml:space="preserve">; measurement and assessment errors need not be independent or Gaussian.</w:t>
      </w:r>
    </w:p>
    <w:bookmarkEnd w:id="29"/>
    <w:bookmarkStart w:id="30" w:name="the-review-map-and-the-controller-family"/>
    <w:p>
      <w:pPr>
        <w:pStyle w:val="Heading2"/>
        <w:spacing w:before="240" w:after="120" w:line="360" w:lineRule="auto"/>
        <w:ind w:firstLine="0" w:left="0"/>
        <w:jc w:val="left"/>
      </w:pPr>
      <w:r>
        <w:rPr>
          <w:rFonts w:ascii="Times New Roman" w:hAnsi="Times New Roman" w:cs="Times New Roman" w:eastAsia="Times New Roman"/>
          <w:b/>
          <w:sz w:val="24"/>
        </w:rPr>
        <w:t xml:space="preserve">2.3 The review map and the controller family</w:t>
      </w:r>
    </w:p>
    <w:p>
      <w:pPr>
        <w:pStyle w:val="FirstParagraph"/>
        <w:spacing w:line="360" w:lineRule="auto" w:after="120"/>
        <w:ind w:firstLine="720"/>
        <w:jc w:val="both"/>
      </w:pPr>
      <w:r>
        <w:rPr>
          <w:rFonts w:ascii="Times New Roman" w:hAnsi="Times New Roman" w:cs="Times New Roman" w:eastAsia="Times New Roman"/>
          <w:sz w:val="24"/>
        </w:rPr>
        <w:t xml:space="preserve">The review map is the projected explicit step:</w:t>
      </w:r>
    </w:p>
    <w:p>
      <w:pPr>
        <w:pStyle w:val="BodyText"/>
        <w:spacing w:line="360" w:lineRule="auto" w:before="120" w:after="120"/>
        <w:ind w:firstLine="0"/>
        <w:jc w:val="center"/>
      </w:pPr>
      <m:oMathPara>
        <m:oMathParaPr>
          <m:jc m:val="center"/>
        </m:oMathParaPr>
        <m:oMath>
          <m:sSubSup>
            <m:e>
              <m:r>
                <m:t>E</m:t>
              </m:r>
            </m:e>
            <m:sub>
              <m:r>
                <m:t>n</m:t>
              </m:r>
              <m:r>
                <m:rPr>
                  <m:sty m:val="p"/>
                </m:rPr>
                <m:t>+</m:t>
              </m:r>
              <m:r>
                <m:t>1</m:t>
              </m:r>
            </m:sub>
            <m:sup>
              <m:r>
                <m:rPr>
                  <m:sty m:val="p"/>
                </m:rPr>
                <m:t>c</m:t>
              </m:r>
              <m:r>
                <m:rPr>
                  <m:sty m:val="p"/>
                </m:rPr>
                <m:t>m</m:t>
              </m:r>
              <m:r>
                <m:rPr>
                  <m:sty m:val="p"/>
                </m:rPr>
                <m:t>d</m:t>
              </m:r>
            </m:sup>
          </m:sSubSup>
          <m:r>
            <m:rPr>
              <m:sty m:val="p"/>
            </m:rPr>
            <m:t>=</m:t>
          </m:r>
          <m:sSub>
            <m:e>
              <m:r>
                <m:t>Π</m:t>
              </m:r>
            </m:e>
            <m:sub>
              <m:d>
                <m:dPr>
                  <m:begChr m:val="["/>
                  <m:endChr m:val="]"/>
                  <m:sepChr m:val=""/>
                  <m:grow/>
                </m:dPr>
                <m:e>
                  <m:r>
                    <m:t>0</m:t>
                  </m:r>
                  <m:r>
                    <m:rPr>
                      <m:sty m:val="p"/>
                    </m:rPr>
                    <m:t>,</m:t>
                  </m:r>
                  <m:sSub>
                    <m:e>
                      <m:r>
                        <m:t>E</m:t>
                      </m:r>
                    </m:e>
                    <m:sub>
                      <m:r>
                        <m:rPr>
                          <m:sty m:val="p"/>
                        </m:rPr>
                        <m:t>max</m:t>
                      </m:r>
                    </m:sub>
                  </m:sSub>
                </m:e>
              </m:d>
            </m:sub>
          </m:sSub>
          <m:d>
            <m:dPr>
              <m:begChr m:val="{"/>
              <m:endChr m:val="}"/>
              <m:sepChr m:val=""/>
              <m:grow/>
            </m:dPr>
            <m:e>
              <m:sSub>
                <m:e>
                  <m:r>
                    <m:t>E</m:t>
                  </m:r>
                </m:e>
                <m:sub>
                  <m:r>
                    <m:t>n</m:t>
                  </m:r>
                </m:sub>
              </m:sSub>
              <m:r>
                <m:rPr>
                  <m:sty m:val="p"/>
                </m:rPr>
                <m:t>+</m:t>
              </m:r>
              <m:sSub>
                <m:e>
                  <m:r>
                    <m:t>T</m:t>
                  </m:r>
                </m:e>
                <m:sub>
                  <m:r>
                    <m:t>r</m:t>
                  </m:r>
                </m:sub>
              </m:sSub>
              <m:sSub>
                <m:e>
                  <m:r>
                    <m:t>F</m:t>
                  </m:r>
                </m:e>
                <m:sub>
                  <m:r>
                    <m:t>B</m:t>
                  </m:r>
                </m:sub>
              </m:sSub>
              <m:d>
                <m:dPr>
                  <m:begChr m:val="("/>
                  <m:endChr m:val=")"/>
                  <m:sepChr m:val=""/>
                  <m:grow/>
                </m:dPr>
                <m:e>
                  <m:sSub>
                    <m:e>
                      <m:r>
                        <m:t>E</m:t>
                      </m:r>
                    </m:e>
                    <m:sub>
                      <m:r>
                        <m:t>n</m:t>
                      </m:r>
                    </m:sub>
                  </m:sSub>
                  <m:r>
                    <m:rPr>
                      <m:sty m:val="p"/>
                    </m:rPr>
                    <m:t>,</m:t>
                  </m:r>
                  <m:sSub>
                    <m:e>
                      <m:acc>
                        <m:accPr>
                          <m:chr m:val="̂"/>
                        </m:accPr>
                        <m:e>
                          <m:r>
                            <m:t>Z</m:t>
                          </m:r>
                        </m:e>
                      </m:acc>
                    </m:e>
                    <m:sub>
                      <m:r>
                        <m:t>n</m:t>
                      </m:r>
                    </m:sub>
                  </m:sSub>
                </m:e>
              </m:d>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the effort law</w:t>
      </w:r>
    </w:p>
    <w:p>
      <w:pPr>
        <w:pStyle w:val="BodyText"/>
        <w:spacing w:line="360" w:lineRule="auto" w:before="120" w:after="120"/>
        <w:ind w:firstLine="0"/>
        <w:jc w:val="center"/>
      </w:pPr>
      <m:oMathPara>
        <m:oMathParaPr>
          <m:jc m:val="center"/>
        </m:oMathParaPr>
        <m:oMath>
          <m:sSub>
            <m:e>
              <m:r>
                <m:t>F</m:t>
              </m:r>
            </m:e>
            <m:sub>
              <m:r>
                <m:t>B</m:t>
              </m:r>
            </m:sub>
          </m:sSub>
          <m:d>
            <m:dPr>
              <m:begChr m:val="("/>
              <m:endChr m:val=")"/>
              <m:sepChr m:val=""/>
              <m:grow/>
            </m:dPr>
            <m:e>
              <m:r>
                <m:t>E</m:t>
              </m:r>
              <m:r>
                <m:rPr>
                  <m:sty m:val="p"/>
                </m:rPr>
                <m:t>,</m:t>
              </m:r>
              <m:r>
                <m:t>Z</m:t>
              </m:r>
            </m:e>
          </m:d>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d>
            <m:dPr>
              <m:begChr m:val="["/>
              <m:endChr m:val="]"/>
              <m:sepChr m:val=""/>
              <m:grow/>
            </m:dPr>
            <m:e>
              <m:r>
                <m:t>η</m:t>
              </m:r>
              <m:r>
                <m:t>E</m:t>
              </m:r>
              <m:d>
                <m:dPr>
                  <m:begChr m:val="("/>
                  <m:endChr m:val=")"/>
                  <m:sepChr m:val=""/>
                  <m:grow/>
                </m:dPr>
                <m:e>
                  <m:f>
                    <m:fPr>
                      <m:type m:val="bar"/>
                    </m:fPr>
                    <m:num>
                      <m:r>
                        <m:t>Z</m:t>
                      </m:r>
                    </m:num>
                    <m:den>
                      <m:sSub>
                        <m:e>
                          <m:r>
                            <m:t>Δ</m:t>
                          </m:r>
                        </m:e>
                        <m:sub>
                          <m:r>
                            <m:rPr>
                              <m:sty m:val="p"/>
                            </m:rPr>
                            <m:t>r</m:t>
                          </m:r>
                          <m:r>
                            <m:rPr>
                              <m:sty m:val="p"/>
                            </m:rPr>
                            <m:t>e</m:t>
                          </m:r>
                          <m:r>
                            <m:rPr>
                              <m:sty m:val="p"/>
                            </m:rPr>
                            <m:t>f</m:t>
                          </m:r>
                        </m:sub>
                      </m:sSub>
                    </m:den>
                  </m:f>
                  <m:r>
                    <m:rPr>
                      <m:sty m:val="p"/>
                    </m:rPr>
                    <m:t>−</m:t>
                  </m:r>
                  <m:f>
                    <m:fPr>
                      <m:type m:val="bar"/>
                    </m:fPr>
                    <m:num>
                      <m:r>
                        <m:t>E</m:t>
                      </m:r>
                    </m:num>
                    <m:den>
                      <m:sSub>
                        <m:e>
                          <m:r>
                            <m:t>E</m:t>
                          </m:r>
                        </m:e>
                        <m:sub>
                          <m:r>
                            <m:rPr>
                              <m:sty m:val="p"/>
                            </m:rPr>
                            <m:t>max</m:t>
                          </m:r>
                        </m:sub>
                      </m:sSub>
                    </m:den>
                  </m:f>
                </m:e>
              </m:d>
              <m:r>
                <m:rPr>
                  <m:sty m:val="p"/>
                </m:rPr>
                <m:t>+</m:t>
              </m:r>
              <m:sSub>
                <m:e>
                  <m:r>
                    <m:t>δ</m:t>
                  </m:r>
                </m:e>
                <m:sub>
                  <m:r>
                    <m:t>0</m:t>
                  </m:r>
                </m:sub>
              </m:sSub>
              <m:f>
                <m:fPr>
                  <m:type m:val="bar"/>
                </m:fPr>
                <m:num>
                  <m:r>
                    <m:t>Z</m:t>
                  </m:r>
                </m:num>
                <m:den>
                  <m:sSub>
                    <m:e>
                      <m:r>
                        <m:t>Z</m:t>
                      </m:r>
                    </m:e>
                    <m:sub>
                      <m:r>
                        <m:rPr>
                          <m:sty m:val="p"/>
                        </m:rPr>
                        <m:t>r</m:t>
                      </m:r>
                      <m:r>
                        <m:rPr>
                          <m:sty m:val="p"/>
                        </m:rPr>
                        <m:t>e</m:t>
                      </m:r>
                      <m:r>
                        <m:rPr>
                          <m:sty m:val="p"/>
                        </m:rPr>
                        <m:t>f</m:t>
                      </m:r>
                    </m:sub>
                  </m:sSub>
                  <m:r>
                    <m:rPr>
                      <m:sty m:val="p"/>
                    </m:rPr>
                    <m:t>+</m:t>
                  </m:r>
                  <m:r>
                    <m:t>Z</m:t>
                  </m:r>
                </m:den>
              </m:f>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together with the shifted, floored softplus signal map</w:t>
      </w:r>
    </w:p>
    <w:p>
      <w:pPr>
        <w:pStyle w:val="BodyText"/>
        <w:spacing w:line="360" w:lineRule="auto" w:before="120" w:after="120"/>
        <w:ind w:firstLine="0"/>
        <w:jc w:val="center"/>
      </w:pPr>
      <m:oMathPara>
        <m:oMathParaPr>
          <m:jc m:val="center"/>
        </m:oMathParaPr>
        <m:oMath>
          <m:sSub>
            <m:e>
              <m:r>
                <m:t>Φ</m:t>
              </m:r>
            </m:e>
            <m:sub>
              <m:r>
                <m:t>k</m:t>
              </m:r>
            </m:sub>
          </m:sSub>
          <m:d>
            <m:dPr>
              <m:begChr m:val="("/>
              <m:endChr m:val=")"/>
              <m:sepChr m:val=""/>
              <m:grow/>
            </m:dPr>
            <m:e>
              <m:r>
                <m:t>s</m:t>
              </m:r>
            </m:e>
          </m:d>
          <m:r>
            <m:rPr>
              <m:sty m:val="p"/>
            </m:rPr>
            <m:t>=</m:t>
          </m:r>
          <m:r>
            <m:rPr>
              <m:sty m:val="p"/>
            </m:rPr>
            <m:t>max</m:t>
          </m:r>
          <m:d>
            <m:dPr>
              <m:begChr m:val="{"/>
              <m:endChr m:val="}"/>
              <m:sepChr m:val=""/>
              <m:grow/>
            </m:dPr>
            <m:e>
              <m:r>
                <m:t>0</m:t>
              </m:r>
              <m:r>
                <m:rPr>
                  <m:sty m:val="p"/>
                </m:rPr>
                <m:t>,</m:t>
              </m:r>
              <m:r>
                <m:t> </m:t>
              </m:r>
              <m:f>
                <m:fPr>
                  <m:type m:val="bar"/>
                </m:fPr>
                <m:num>
                  <m:r>
                    <m:t>1</m:t>
                  </m:r>
                </m:num>
                <m:den>
                  <m:r>
                    <m:t>k</m:t>
                  </m:r>
                </m:den>
              </m:f>
              <m:r>
                <m:rPr>
                  <m:sty m:val="p"/>
                </m:rPr>
                <m:t>log</m:t>
              </m:r>
              <m:r>
                <m:t>​</m:t>
              </m:r>
              <m:r>
                <m:rPr>
                  <m:sty m:val="p"/>
                </m:rPr>
                <m:t>(</m:t>
              </m:r>
              <m:r>
                <m:t>1</m:t>
              </m:r>
              <m:r>
                <m:rPr>
                  <m:sty m:val="p"/>
                </m:rPr>
                <m:t>+</m:t>
              </m:r>
              <m:sSup>
                <m:e>
                  <m:r>
                    <m:t>e</m:t>
                  </m:r>
                </m:e>
                <m:sup>
                  <m:r>
                    <m:t>k</m:t>
                  </m:r>
                  <m:r>
                    <m:t>s</m:t>
                  </m:r>
                </m:sup>
              </m:sSup>
              <m:r>
                <m:rPr>
                  <m:sty m:val="p"/>
                </m:rPr>
                <m:t>)</m:t>
              </m:r>
              <m:r>
                <m:rPr>
                  <m:sty m:val="p"/>
                </m:rPr>
                <m:t>−</m:t>
              </m:r>
              <m:f>
                <m:fPr>
                  <m:type m:val="bar"/>
                </m:fPr>
                <m:num>
                  <m:r>
                    <m:rPr>
                      <m:sty m:val="p"/>
                    </m:rPr>
                    <m:t>log</m:t>
                  </m:r>
                  <m:r>
                    <m:t>2</m:t>
                  </m:r>
                </m:num>
                <m:den>
                  <m:r>
                    <m:t>k</m:t>
                  </m:r>
                </m:den>
              </m:f>
              <m:r>
                <m:rPr>
                  <m:sty m:val="p"/>
                </m:rPr>
                <m:t>+</m:t>
              </m:r>
              <m:r>
                <m:t>δ</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Equations (1)–(4) with</w:t>
      </w:r>
      <w:r>
        <w:rPr>
          <w:rFonts w:ascii="Times New Roman" w:hAnsi="Times New Roman" w:cs="Times New Roman" w:eastAsia="Times New Roman"/>
          <w:sz w:val="24"/>
        </w:rPr>
        <w:t xml:space="preserve"> </w:t>
      </w:r>
      <m:oMath>
        <m:r>
          <m:t>Φ</m:t>
        </m:r>
        <m:r>
          <m:rPr>
            <m:sty m:val="p"/>
          </m:rPr>
          <m:t>=</m:t>
        </m:r>
        <m:sSub>
          <m:e>
            <m:r>
              <m:t>Φ</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constitute the extractive controller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SD-E-B3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sample-and-hold counterpart of the M3-B extractive mobilisation law of the registered delay family (the delay-dynamics companion owns the continuous family). It is an explicit controller discretisation, not a generic harvest-control rule and not a model of protective quota reduction. Alternative controllers receive distinct identities: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SD-P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(protective update, response to decline entering with the opposite sign),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(fixed multi-year plan with no state-responsive update between scheduled resets),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controller with limits on annual change, emergency triggers, or legal overrides). SD-P, SD-F, and SD-H are declared comparators for the prospective management-strategy evaluation (§7.5), not completed numerical experiments; a fixed plan and a state-responsive plan with the same nominal review period are not the same intervention.</w:t>
      </w:r>
    </w:p>
    <w:bookmarkEnd w:id="30"/>
    <w:bookmarkStart w:id="31" w:name="X38c2d411fcaf7c26df8cceee0ad60c2f89f706a"/>
    <w:p>
      <w:pPr>
        <w:pStyle w:val="Heading2"/>
        <w:spacing w:before="240" w:after="120" w:line="360" w:lineRule="auto"/>
        <w:ind w:firstLine="0" w:left="0"/>
        <w:jc w:val="left"/>
      </w:pPr>
      <w:r>
        <w:rPr>
          <w:rFonts w:ascii="Times New Roman" w:hAnsi="Times New Roman" w:cs="Times New Roman" w:eastAsia="Times New Roman"/>
          <w:b/>
          <w:sz w:val="24"/>
        </w:rPr>
        <w:t xml:space="preserve">2.4 Registration conventions and the sampled representation as the default</w:t>
      </w:r>
    </w:p>
    <w:p>
      <w:pPr>
        <w:pStyle w:val="FirstParagraph"/>
        <w:spacing w:line="360" w:lineRule="auto" w:after="120"/>
        <w:ind w:firstLine="720"/>
        <w:jc w:val="both"/>
      </w:pPr>
      <w:r>
        <w:rPr>
          <w:rFonts w:ascii="Times New Roman" w:hAnsi="Times New Roman" w:cs="Times New Roman" w:eastAsia="Times New Roman"/>
          <w:sz w:val="24"/>
        </w:rPr>
        <w:t xml:space="preserve">The deterministic record fixes a one-step flow-then-update convention:</w:t>
      </w:r>
      <w:r>
        <w:rPr>
          <w:rFonts w:ascii="Times New Roman" w:hAnsi="Times New Roman" w:cs="Times New Roman" w:eastAsia="Times New Roman"/>
          <w:sz w:val="24"/>
        </w:rPr>
        <w:t xml:space="preserve"> </w:t>
      </w:r>
      <m:oMath>
        <m:sSub>
          <m:e>
            <m:r>
              <m:t>E</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held on</w:t>
      </w:r>
      <w:r>
        <w:rPr>
          <w:rFonts w:ascii="Times New Roman" w:hAnsi="Times New Roman" w:cs="Times New Roman" w:eastAsia="Times New Roman"/>
          <w:sz w:val="24"/>
        </w:rPr>
        <w:t xml:space="preserve"> </w:t>
      </w:r>
      <m:oMath>
        <m:r>
          <m:rPr>
            <m:sty m:val="p"/>
          </m:rPr>
          <m:t>[</m:t>
        </m:r>
        <m:sSub>
          <m:e>
            <m:r>
              <m:t>t</m:t>
            </m:r>
          </m:e>
          <m:sub>
            <m:r>
              <m:t>n</m:t>
            </m:r>
          </m:sub>
        </m:sSub>
        <m:r>
          <m:rPr>
            <m:sty m:val="p"/>
          </m:rPr>
          <m:t>,</m:t>
        </m:r>
        <m:sSub>
          <m:e>
            <m:r>
              <m:t>t</m:t>
            </m:r>
          </m:e>
          <m:sub>
            <m:r>
              <m:t>n</m:t>
            </m:r>
            <m:r>
              <m:rPr>
                <m:sty m:val="p"/>
              </m:rPr>
              <m:t>+</m:t>
            </m:r>
            <m:r>
              <m:t>1</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assessment indexed by</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defines the next command; assessments are contemporaneous and exact,</w:t>
      </w:r>
      <w:r>
        <w:rPr>
          <w:rFonts w:ascii="Times New Roman" w:hAnsi="Times New Roman" w:cs="Times New Roman" w:eastAsia="Times New Roman"/>
          <w:sz w:val="24"/>
        </w:rPr>
        <w:t xml:space="preserve"> </w:t>
      </w:r>
      <m:oMath>
        <m:sSub>
          <m:e>
            <m:r>
              <m:t>τ</m:t>
            </m:r>
          </m:e>
          <m:sub>
            <m:r>
              <m:rPr>
                <m:sty m:val="p"/>
              </m:rPr>
              <m:t>d</m:t>
            </m:r>
            <m:r>
              <m:rPr>
                <m:sty m:val="p"/>
              </m:rPr>
              <m:t>e</m:t>
            </m:r>
            <m:r>
              <m:rPr>
                <m:sty m:val="p"/>
              </m:rPr>
              <m:t>c</m:t>
            </m:r>
          </m:sub>
        </m:sSub>
        <m:r>
          <m:rPr>
            <m:sty m:val="p"/>
          </m:rPr>
          <m:t>=</m:t>
        </m:r>
        <m:sSub>
          <m:e>
            <m:r>
              <m:t>τ</m:t>
            </m:r>
          </m:e>
          <m:sub>
            <m:r>
              <m:rPr>
                <m:sty m:val="p"/>
              </m:rPr>
              <m:t>d</m:t>
            </m:r>
            <m:r>
              <m:rPr>
                <m:sty m:val="p"/>
              </m:rPr>
              <m:t>e</m:t>
            </m:r>
            <m:r>
              <m:rPr>
                <m:sty m:val="p"/>
              </m:rPr>
              <m:t>p</m:t>
            </m:r>
          </m:sub>
        </m:sSub>
        <m:r>
          <m:rPr>
            <m:sty m:val="p"/>
          </m:rPr>
          <m:t>=</m:t>
        </m:r>
        <m:r>
          <m:t>0</m:t>
        </m:r>
      </m:oMath>
      <w:r>
        <w:rPr>
          <w:rFonts w:ascii="Times New Roman" w:hAnsi="Times New Roman" w:cs="Times New Roman" w:eastAsia="Times New Roman"/>
          <w:sz w:val="24"/>
        </w:rPr>
        <w:t xml:space="preserve">, no decision or deployment queue is present, and multiplicative assessment error enters only the designated robustness experiment; a positive</w:t>
      </w:r>
      <w:r>
        <w:rPr>
          <w:rFonts w:ascii="Times New Roman" w:hAnsi="Times New Roman" w:cs="Times New Roman" w:eastAsia="Times New Roman"/>
          <w:sz w:val="24"/>
        </w:rPr>
        <w:t xml:space="preserve"> </w:t>
      </w:r>
      <m:oMath>
        <m:sSub>
          <m:e>
            <m:r>
              <m:t>τ</m:t>
            </m:r>
          </m:e>
          <m:sub>
            <m:r>
              <m:rPr>
                <m:sty m:val="p"/>
              </m:rPr>
              <m:t>d</m:t>
            </m:r>
            <m:r>
              <m:rPr>
                <m:sty m:val="p"/>
              </m:rPr>
              <m:t>e</m:t>
            </m:r>
            <m:r>
              <m:rPr>
                <m:sty m:val="p"/>
              </m:rP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requires an explicitly registered hold or interpolation rule. These are registration requirements declared by the source and not discharged: the solver configuration and initial histories are not attached, and until the computational record is complete the stage-output values carry exploratory status rather than the status of reproducible numerical propositions (§10).</w:t>
      </w:r>
    </w:p>
    <w:p>
      <w:pPr>
        <w:pStyle w:val="BodyText"/>
        <w:spacing w:line="360" w:lineRule="auto" w:after="120"/>
        <w:ind w:firstLine="720"/>
        <w:jc w:val="both"/>
      </w:pPr>
      <w:r>
        <w:rPr>
          <w:rFonts w:ascii="Times New Roman" w:hAnsi="Times New Roman" w:cs="Times New Roman" w:eastAsia="Times New Roman"/>
          <w:sz w:val="24"/>
        </w:rPr>
        <w:t xml:space="preserve">The sampled-governance representation is the default institutional form of the research programme’s institutional-feedback model class: at review times institutions observe data and update prescriptions, and the implemented control is held or dispatched by a stated rule until the next review. The registered bridge discipline is binding: a continuous-delay approximation to the effort equation is admissible only after specifying the review interval, hold rule, implementation lag, and approximation error — a sampled map can exhibit flip, Neimark–Sacker, or border-collision behaviour not captured by continuous-delay Hopf terminology. The sampled-review variant itself is a registered obligation at the stress-test registry’s no-artifact status (the delay-dynamics companion owns the registry; the obligation is carried here). The formal safety objects for this architecture — the sampled robust-viability kernel and the inter-sample-safe held-control tube kernel — are the theorem-atlas companion’s; this article states the model and its conventions, and the kernel constructions are cited, not reproduced.</w:t>
      </w:r>
    </w:p>
    <w:bookmarkEnd w:id="31"/>
    <w:bookmarkEnd w:id="32"/>
    <w:bookmarkStart w:id="39" w:name="X159f1fcd103c75ca20ee1e7705a11a6fc550112"/>
    <w:p>
      <w:pPr>
        <w:pStyle w:val="Heading1"/>
        <w:spacing w:before="360" w:after="120" w:line="360" w:lineRule="auto"/>
        <w:ind w:firstLine="0" w:left="0"/>
        <w:jc w:val="left"/>
      </w:pPr>
      <w:r>
        <w:rPr>
          <w:rFonts w:ascii="Times New Roman" w:hAnsi="Times New Roman" w:cs="Times New Roman" w:eastAsia="Times New Roman"/>
          <w:b/>
          <w:sz w:val="28"/>
        </w:rPr>
        <w:t xml:space="preserve">3. Positivity and the review-interval spectrum</w:t>
      </w:r>
    </w:p>
    <w:bookmarkStart w:id="33" w:name="X01029fbae08b691519c0c51c1a2ca485aa00d3b"/>
    <w:p>
      <w:pPr>
        <w:pStyle w:val="Heading2"/>
        <w:spacing w:before="240" w:after="120" w:line="360" w:lineRule="auto"/>
        <w:ind w:firstLine="0" w:left="0"/>
        <w:jc w:val="left"/>
      </w:pPr>
      <w:r>
        <w:rPr>
          <w:rFonts w:ascii="Times New Roman" w:hAnsi="Times New Roman" w:cs="Times New Roman" w:eastAsia="Times New Roman"/>
          <w:b/>
          <w:sz w:val="24"/>
        </w:rPr>
        <w:t xml:space="preserve">3.1 Forward invariance of the sampled process</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(forward invariance).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w:t>
      </w:r>
      <w:r>
        <w:rPr>
          <w:rFonts w:ascii="Times New Roman" w:hAnsi="Times New Roman" w:cs="Times New Roman" w:eastAsia="Times New Roman"/>
          <w:sz w:val="24"/>
        </w:rPr>
        <w:t xml:space="preserve"> </w:t>
      </w:r>
      <m:oMath>
        <m:r>
          <m:t>N</m:t>
        </m:r>
        <m:d>
          <m:dPr>
            <m:begChr m:val="("/>
            <m:endChr m:val=")"/>
            <m:sepChr m:val=""/>
            <m:grow/>
          </m:dPr>
          <m:e>
            <m:r>
              <m:t>0</m:t>
            </m:r>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d>
          <m:dPr>
            <m:begChr m:val="("/>
            <m:endChr m:val=")"/>
            <m:sepChr m:val=""/>
            <m:grow/>
          </m:dPr>
          <m:e>
            <m:r>
              <m:t>0</m:t>
            </m:r>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E</m:t>
            </m:r>
          </m:e>
          <m:sub>
            <m:r>
              <m:t>0</m:t>
            </m:r>
          </m:sub>
        </m:sSub>
        <m:r>
          <m:rPr>
            <m:sty m:val="p"/>
          </m:rPr>
          <m:t>∈</m:t>
        </m:r>
        <m:d>
          <m:dPr>
            <m:begChr m:val="["/>
            <m:endChr m:val="]"/>
            <m:sepChr m:val=""/>
            <m:grow/>
          </m:dPr>
          <m:e>
            <m:r>
              <m:t>0</m:t>
            </m:r>
            <m:r>
              <m:rPr>
                <m:sty m:val="p"/>
              </m:rPr>
              <m:t>,</m:t>
            </m:r>
            <m:sSub>
              <m:e>
                <m:r>
                  <m:t>E</m:t>
                </m:r>
              </m:e>
              <m:sub>
                <m:r>
                  <m:rPr>
                    <m:sty m:val="p"/>
                  </m:rPr>
                  <m:t>max</m:t>
                </m:r>
              </m:sub>
            </m:sSub>
          </m:e>
        </m:d>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Φ</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non-negative. Let every effort command be projected by</w:t>
      </w:r>
      <w:r>
        <w:rPr>
          <w:rFonts w:ascii="Times New Roman" w:hAnsi="Times New Roman" w:cs="Times New Roman" w:eastAsia="Times New Roman"/>
          <w:sz w:val="24"/>
        </w:rPr>
        <w:t xml:space="preserve"> </w:t>
      </w:r>
      <m:oMath>
        <m:sSub>
          <m:e>
            <m:r>
              <m:t>Π</m:t>
            </m:r>
          </m:e>
          <m:sub>
            <m:d>
              <m:dPr>
                <m:begChr m:val="["/>
                <m:endChr m:val="]"/>
                <m:sepChr m:val=""/>
                <m:grow/>
              </m:dPr>
              <m:e>
                <m:r>
                  <m:t>0</m:t>
                </m:r>
                <m:r>
                  <m:rPr>
                    <m:sty m:val="p"/>
                  </m:rPr>
                  <m:t>,</m:t>
                </m:r>
                <m:sSub>
                  <m:e>
                    <m:r>
                      <m:t>E</m:t>
                    </m:r>
                  </m:e>
                  <m:sub>
                    <m:r>
                      <m:rPr>
                        <m:sty m:val="p"/>
                      </m:rPr>
                      <m:t>max</m:t>
                    </m:r>
                  </m:sub>
                </m:sSub>
              </m:e>
            </m:d>
          </m:sub>
        </m:sSub>
      </m:oMath>
      <w:r>
        <w:rPr>
          <w:rFonts w:ascii="Times New Roman" w:hAnsi="Times New Roman" w:cs="Times New Roman" w:eastAsia="Times New Roman"/>
          <w:sz w:val="24"/>
        </w:rPr>
        <w:t xml:space="preserve">, and let any between-review deployment interpolation remain in the convex interval joining consecutive commands. Then</w:t>
      </w:r>
      <w:r>
        <w:rPr>
          <w:rFonts w:ascii="Times New Roman" w:hAnsi="Times New Roman" w:cs="Times New Roman" w:eastAsia="Times New Roman"/>
          <w:sz w:val="24"/>
        </w:rPr>
        <w:t xml:space="preserve"> </w:t>
      </w:r>
      <m:oMath>
        <m:r>
          <m:t>N</m:t>
        </m:r>
        <m:d>
          <m:dPr>
            <m:begChr m:val="("/>
            <m:endChr m:val=")"/>
            <m:sepChr m:val=""/>
            <m:grow/>
          </m:dPr>
          <m:e>
            <m:r>
              <m:t>t</m:t>
            </m:r>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d>
          <m:dPr>
            <m:begChr m:val="("/>
            <m:endChr m:val=")"/>
            <m:sepChr m:val=""/>
            <m:grow/>
          </m:dPr>
          <m:e>
            <m:r>
              <m:t>t</m:t>
            </m:r>
          </m:e>
        </m:d>
        <m:r>
          <m:rPr>
            <m:sty m:val="p"/>
          </m:rPr>
          <m:t>≥</m:t>
        </m:r>
        <m:r>
          <m:t>0</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E</m:t>
        </m:r>
        <m:d>
          <m:dPr>
            <m:begChr m:val="("/>
            <m:endChr m:val=")"/>
            <m:sepChr m:val=""/>
            <m:grow/>
          </m:dPr>
          <m:e>
            <m:r>
              <m:t>t</m:t>
            </m:r>
          </m:e>
        </m:d>
        <m:r>
          <m:rPr>
            <m:sty m:val="p"/>
          </m:rPr>
          <m:t>∈</m:t>
        </m:r>
        <m:d>
          <m:dPr>
            <m:begChr m:val="["/>
            <m:endChr m:val="]"/>
            <m:sepChr m:val=""/>
            <m:grow/>
          </m:dPr>
          <m:e>
            <m:r>
              <m:t>0</m:t>
            </m:r>
            <m:r>
              <m:rPr>
                <m:sty m:val="p"/>
              </m:rPr>
              <m:t>,</m:t>
            </m:r>
            <m:sSub>
              <m:e>
                <m:r>
                  <m:t>E</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time at which the sampled solution exists.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Proceed by induction over review intervals. Suppose at a review time</w:t>
      </w:r>
      <w:r>
        <w:rPr>
          <w:rFonts w:ascii="Times New Roman" w:hAnsi="Times New Roman" w:cs="Times New Roman" w:eastAsia="Times New Roman"/>
          <w:sz w:val="24"/>
        </w:rPr>
        <w:t xml:space="preserve"> </w:t>
      </w:r>
      <m:oMath>
        <m:sSub>
          <m:e>
            <m:r>
              <m:t>t</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w:t>
      </w:r>
      <w:r>
        <w:rPr>
          <w:rFonts w:ascii="Times New Roman" w:hAnsi="Times New Roman" w:cs="Times New Roman" w:eastAsia="Times New Roman"/>
          <w:sz w:val="24"/>
        </w:rPr>
        <w:t xml:space="preserve"> </w:t>
      </w:r>
      <m:oMath>
        <m:r>
          <m:t>N</m:t>
        </m:r>
        <m:d>
          <m:dPr>
            <m:begChr m:val="("/>
            <m:endChr m:val=")"/>
            <m:sepChr m:val=""/>
            <m:grow/>
          </m:dPr>
          <m:e>
            <m:sSub>
              <m:e>
                <m:r>
                  <m:t>t</m:t>
                </m:r>
              </m:e>
              <m:sub>
                <m:r>
                  <m:t>n</m:t>
                </m:r>
              </m:sub>
            </m:sSub>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d>
          <m:dPr>
            <m:begChr m:val="("/>
            <m:endChr m:val=")"/>
            <m:sepChr m:val=""/>
            <m:grow/>
          </m:dPr>
          <m:e>
            <m:sSub>
              <m:e>
                <m:r>
                  <m:t>t</m:t>
                </m:r>
              </m:e>
              <m:sub>
                <m:r>
                  <m:t>n</m:t>
                </m:r>
              </m:sub>
            </m:sSub>
          </m:e>
        </m:d>
        <m:r>
          <m:rPr>
            <m:sty m:val="p"/>
          </m:rPr>
          <m:t>≥</m:t>
        </m:r>
        <m:r>
          <m:t>0</m:t>
        </m:r>
      </m:oMath>
      <w:r>
        <w:rPr>
          <w:rFonts w:ascii="Times New Roman" w:hAnsi="Times New Roman" w:cs="Times New Roman" w:eastAsia="Times New Roman"/>
          <w:sz w:val="24"/>
        </w:rPr>
        <w:t xml:space="preserve">, and the command to be held or interpolated lies in</w:t>
      </w:r>
      <w:r>
        <w:rPr>
          <w:rFonts w:ascii="Times New Roman" w:hAnsi="Times New Roman" w:cs="Times New Roman" w:eastAsia="Times New Roman"/>
          <w:sz w:val="24"/>
        </w:rPr>
        <w:t xml:space="preserve"> </w:t>
      </w:r>
      <m:oMath>
        <m:d>
          <m:dPr>
            <m:begChr m:val="["/>
            <m:endChr m:val="]"/>
            <m:sepChr m:val=""/>
            <m:grow/>
          </m:dPr>
          <m:e>
            <m:r>
              <m:t>0</m:t>
            </m:r>
            <m:r>
              <m:rPr>
                <m:sty m:val="p"/>
              </m:rPr>
              <m:t>,</m:t>
            </m:r>
            <m:sSub>
              <m:e>
                <m:r>
                  <m:t>E</m:t>
                </m:r>
              </m:e>
              <m:sub>
                <m:r>
                  <m:rPr>
                    <m:sty m:val="p"/>
                  </m:rPr>
                  <m:t>max</m:t>
                </m:r>
              </m:sub>
            </m:sSub>
          </m:e>
        </m:d>
      </m:oMath>
      <w:r>
        <w:rPr>
          <w:rFonts w:ascii="Times New Roman" w:hAnsi="Times New Roman" w:cs="Times New Roman" w:eastAsia="Times New Roman"/>
          <w:sz w:val="24"/>
        </w:rPr>
        <w:t xml:space="preserve">. Projection places the next command in the same closed interval; a hold retains an endpoint of that interval, and any convex interpolation</w:t>
      </w:r>
      <w:r>
        <w:rPr>
          <w:rFonts w:ascii="Times New Roman" w:hAnsi="Times New Roman" w:cs="Times New Roman" w:eastAsia="Times New Roman"/>
          <w:sz w:val="24"/>
        </w:rPr>
        <w:t xml:space="preserve"> </w:t>
      </w:r>
      <m:oMath>
        <m:r>
          <m:t>E</m:t>
        </m:r>
        <m:d>
          <m:dPr>
            <m:begChr m:val="("/>
            <m:endChr m:val=")"/>
            <m:sepChr m:val=""/>
            <m:grow/>
          </m:dPr>
          <m:e>
            <m:r>
              <m:t>t</m:t>
            </m:r>
          </m:e>
        </m:d>
        <m:r>
          <m:rPr>
            <m:sty m:val="p"/>
          </m:rPr>
          <m:t>=</m:t>
        </m:r>
        <m:d>
          <m:dPr>
            <m:begChr m:val="("/>
            <m:endChr m:val=")"/>
            <m:sepChr m:val=""/>
            <m:grow/>
          </m:dPr>
          <m:e>
            <m:r>
              <m:t>1</m:t>
            </m:r>
            <m:r>
              <m:rPr>
                <m:sty m:val="p"/>
              </m:rPr>
              <m:t>−</m:t>
            </m:r>
            <m:r>
              <m:t>θ</m:t>
            </m:r>
            <m:d>
              <m:dPr>
                <m:begChr m:val="("/>
                <m:endChr m:val=")"/>
                <m:sepChr m:val=""/>
                <m:grow/>
              </m:dPr>
              <m:e>
                <m:r>
                  <m:t>t</m:t>
                </m:r>
              </m:e>
            </m:d>
          </m:e>
        </m:d>
        <m:sSub>
          <m:e>
            <m:r>
              <m:t>E</m:t>
            </m:r>
          </m:e>
          <m:sub>
            <m:r>
              <m:t>n</m:t>
            </m:r>
          </m:sub>
        </m:sSub>
        <m:r>
          <m:rPr>
            <m:sty m:val="p"/>
          </m:rPr>
          <m:t>+</m:t>
        </m:r>
        <m:r>
          <m:t>θ</m:t>
        </m:r>
        <m:d>
          <m:dPr>
            <m:begChr m:val="("/>
            <m:endChr m:val=")"/>
            <m:sepChr m:val=""/>
            <m:grow/>
          </m:dPr>
          <m:e>
            <m:r>
              <m:t>t</m:t>
            </m:r>
          </m:e>
        </m:d>
        <m:sSub>
          <m:e>
            <m:r>
              <m:t>E</m:t>
            </m:r>
          </m:e>
          <m:sub>
            <m:r>
              <m:t>n</m:t>
            </m:r>
            <m:r>
              <m:rPr>
                <m:sty m:val="p"/>
              </m:rPr>
              <m:t>+</m:t>
            </m:r>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0</m:t>
        </m:r>
        <m:r>
          <m:rPr>
            <m:sty m:val="p"/>
          </m:rPr>
          <m:t>≤</m:t>
        </m:r>
        <m:r>
          <m:t>θ</m:t>
        </m:r>
        <m:d>
          <m:dPr>
            <m:begChr m:val="("/>
            <m:endChr m:val=")"/>
            <m:sepChr m:val=""/>
            <m:grow/>
          </m:dPr>
          <m:e>
            <m:r>
              <m:t>t</m:t>
            </m:r>
          </m:e>
        </m:d>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remains in</w:t>
      </w:r>
      <w:r>
        <w:rPr>
          <w:rFonts w:ascii="Times New Roman" w:hAnsi="Times New Roman" w:cs="Times New Roman" w:eastAsia="Times New Roman"/>
          <w:sz w:val="24"/>
        </w:rPr>
        <w:t xml:space="preserve"> </w:t>
      </w:r>
      <m:oMath>
        <m:d>
          <m:dPr>
            <m:begChr m:val="["/>
            <m:endChr m:val="]"/>
            <m:sepChr m:val=""/>
            <m:grow/>
          </m:dPr>
          <m:e>
            <m:r>
              <m:t>0</m:t>
            </m:r>
            <m:r>
              <m:rPr>
                <m:sty m:val="p"/>
              </m:rPr>
              <m:t>,</m:t>
            </m:r>
            <m:sSub>
              <m:e>
                <m:r>
                  <m:t>E</m:t>
                </m:r>
              </m:e>
              <m:sub>
                <m:r>
                  <m:rPr>
                    <m:sty m:val="p"/>
                  </m:rPr>
                  <m:t>max</m:t>
                </m:r>
              </m:sub>
            </m:sSub>
          </m:e>
        </m:d>
      </m:oMath>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m:oMath>
        <m:d>
          <m:dPr>
            <m:begChr m:val="["/>
            <m:endChr m:val="]"/>
            <m:sepChr m:val=""/>
            <m:grow/>
          </m:dPr>
          <m:e>
            <m:sSub>
              <m:e>
                <m:r>
                  <m:t>t</m:t>
                </m:r>
              </m:e>
              <m:sub>
                <m:r>
                  <m:t>n</m:t>
                </m:r>
              </m:sub>
            </m:sSub>
            <m:r>
              <m:rPr>
                <m:sty m:val="p"/>
              </m:rPr>
              <m:t>,</m:t>
            </m:r>
            <m:sSub>
              <m:e>
                <m:r>
                  <m:t>t</m:t>
                </m:r>
              </m:e>
              <m:sub>
                <m:r>
                  <m:t>n</m:t>
                </m:r>
                <m:r>
                  <m:rPr>
                    <m:sty m:val="p"/>
                  </m:rPr>
                  <m:t>+</m:t>
                </m:r>
                <m:r>
                  <m:t>1</m:t>
                </m:r>
              </m:sub>
            </m:sSub>
          </m:e>
        </m:d>
      </m:oMath>
      <w:r>
        <w:rPr>
          <w:rFonts w:ascii="Times New Roman" w:hAnsi="Times New Roman" w:cs="Times New Roman" w:eastAsia="Times New Roman"/>
          <w:sz w:val="24"/>
        </w:rPr>
        <w:t xml:space="preserve">, Eq. (1) is</w:t>
      </w:r>
      <w:r>
        <w:rPr>
          <w:rFonts w:ascii="Times New Roman" w:hAnsi="Times New Roman" w:cs="Times New Roman" w:eastAsia="Times New Roman"/>
          <w:sz w:val="24"/>
        </w:rPr>
        <w:t xml:space="preserve"> </w:t>
      </w:r>
      <m:oMath>
        <m:acc>
          <m:accPr>
            <m:chr m:val="̇"/>
          </m:accPr>
          <m:e>
            <m:r>
              <m:t>N</m:t>
            </m:r>
          </m:e>
        </m:acc>
        <m:r>
          <m:rPr>
            <m:sty m:val="p"/>
          </m:rPr>
          <m:t>=</m:t>
        </m:r>
        <m:r>
          <m:t>N</m:t>
        </m:r>
        <m:d>
          <m:dPr>
            <m:begChr m:val="["/>
            <m:endChr m:val="]"/>
            <m:sepChr m:val=""/>
            <m:grow/>
          </m:dPr>
          <m:e>
            <m:r>
              <m:t>r</m:t>
            </m:r>
            <m:d>
              <m:dPr>
                <m:begChr m:val="("/>
                <m:endChr m:val=")"/>
                <m:sepChr m:val=""/>
                <m:grow/>
              </m:dPr>
              <m:e>
                <m:r>
                  <m:t>1</m:t>
                </m:r>
                <m:r>
                  <m:rPr>
                    <m:sty m:val="p"/>
                  </m:rPr>
                  <m:t>−</m:t>
                </m:r>
                <m:r>
                  <m:t>N</m:t>
                </m:r>
                <m:r>
                  <m:rPr>
                    <m:sty m:val="p"/>
                  </m:rPr>
                  <m:t>/</m:t>
                </m:r>
                <m:r>
                  <m:t>K</m:t>
                </m:r>
              </m:e>
            </m:d>
            <m:r>
              <m:rPr>
                <m:sty m:val="p"/>
              </m:rPr>
              <m:t>−</m:t>
            </m:r>
            <m:r>
              <m:t>q</m:t>
            </m:r>
            <m:r>
              <m:t>E</m:t>
            </m:r>
            <m:d>
              <m:dPr>
                <m:begChr m:val="("/>
                <m:endChr m:val=")"/>
                <m:sepChr m:val=""/>
                <m:grow/>
              </m:dPr>
              <m:e>
                <m:r>
                  <m:t>t</m:t>
                </m:r>
              </m:e>
            </m:d>
          </m:e>
        </m:d>
      </m:oMath>
      <w:r>
        <w:rPr>
          <w:rFonts w:ascii="Times New Roman" w:hAnsi="Times New Roman" w:cs="Times New Roman" w:eastAsia="Times New Roman"/>
          <w:sz w:val="24"/>
        </w:rPr>
        <w:t xml:space="preserve">, so for a positive initial value</w:t>
      </w:r>
    </w:p>
    <w:p>
      <w:pPr>
        <w:pStyle w:val="BodyText"/>
        <w:spacing w:line="360" w:lineRule="auto" w:before="120" w:after="120"/>
        <w:ind w:firstLine="0"/>
        <w:jc w:val="center"/>
      </w:pPr>
      <m:oMathPara>
        <m:oMathParaPr>
          <m:jc m:val="center"/>
        </m:oMathParaPr>
        <m:oMath>
          <m:r>
            <m:t>N</m:t>
          </m:r>
          <m:d>
            <m:dPr>
              <m:begChr m:val="("/>
              <m:endChr m:val=")"/>
              <m:sepChr m:val=""/>
              <m:grow/>
            </m:dPr>
            <m:e>
              <m:r>
                <m:t>t</m:t>
              </m:r>
            </m:e>
          </m:d>
          <m:r>
            <m:rPr>
              <m:sty m:val="p"/>
            </m:rPr>
            <m:t>=</m:t>
          </m:r>
          <m:r>
            <m:t>N</m:t>
          </m:r>
          <m:d>
            <m:dPr>
              <m:begChr m:val="("/>
              <m:endChr m:val=")"/>
              <m:sepChr m:val=""/>
              <m:grow/>
            </m:dPr>
            <m:e>
              <m:sSub>
                <m:e>
                  <m:r>
                    <m:t>t</m:t>
                  </m:r>
                </m:e>
                <m:sub>
                  <m:r>
                    <m:t>n</m:t>
                  </m:r>
                </m:sub>
              </m:sSub>
            </m:e>
          </m:d>
          <m:r>
            <m:rPr>
              <m:sty m:val="p"/>
            </m:rPr>
            <m:t>exp</m:t>
          </m:r>
          <m:d>
            <m:dPr>
              <m:begChr m:val="{"/>
              <m:endChr m:val="}"/>
              <m:sepChr m:val=""/>
              <m:grow/>
            </m:dPr>
            <m:e>
              <m:nary>
                <m:naryPr>
                  <m:chr m:val="∫"/>
                  <m:limLoc m:val="subSup"/>
                  <m:subHide m:val="off"/>
                  <m:supHide m:val="off"/>
                </m:naryPr>
                <m:sub>
                  <m:sSub>
                    <m:e>
                      <m:r>
                        <m:t>t</m:t>
                      </m:r>
                    </m:e>
                    <m:sub>
                      <m:r>
                        <m:t>n</m:t>
                      </m:r>
                    </m:sub>
                  </m:sSub>
                </m:sub>
                <m:sup>
                  <m:r>
                    <m:t>t</m:t>
                  </m:r>
                </m:sup>
                <m:e>
                  <m:d>
                    <m:dPr>
                      <m:begChr m:val="["/>
                      <m:endChr m:val="]"/>
                      <m:sepChr m:val=""/>
                      <m:grow/>
                    </m:dPr>
                    <m:e>
                      <m:r>
                        <m:t>r</m:t>
                      </m:r>
                      <m:d>
                        <m:dPr>
                          <m:begChr m:val="("/>
                          <m:endChr m:val=")"/>
                          <m:sepChr m:val=""/>
                          <m:grow/>
                        </m:dPr>
                        <m:e>
                          <m:r>
                            <m:t>1</m:t>
                          </m:r>
                          <m:r>
                            <m:rPr>
                              <m:sty m:val="p"/>
                            </m:rPr>
                            <m:t>−</m:t>
                          </m:r>
                          <m:f>
                            <m:fPr>
                              <m:type m:val="bar"/>
                            </m:fPr>
                            <m:num>
                              <m:r>
                                <m:t>N</m:t>
                              </m:r>
                              <m:d>
                                <m:dPr>
                                  <m:begChr m:val="("/>
                                  <m:endChr m:val=")"/>
                                  <m:sepChr m:val=""/>
                                  <m:grow/>
                                </m:dPr>
                                <m:e>
                                  <m:r>
                                    <m:t>s</m:t>
                                  </m:r>
                                </m:e>
                              </m:d>
                            </m:num>
                            <m:den>
                              <m:r>
                                <m:t>K</m:t>
                              </m:r>
                            </m:den>
                          </m:f>
                        </m:e>
                      </m:d>
                      <m:r>
                        <m:rPr>
                          <m:sty m:val="p"/>
                        </m:rPr>
                        <m:t>−</m:t>
                      </m:r>
                      <m:r>
                        <m:t>q</m:t>
                      </m:r>
                      <m:r>
                        <m:t>E</m:t>
                      </m:r>
                      <m:d>
                        <m:dPr>
                          <m:begChr m:val="("/>
                          <m:endChr m:val=")"/>
                          <m:sepChr m:val=""/>
                          <m:grow/>
                        </m:dPr>
                        <m:e>
                          <m:r>
                            <m:t>s</m:t>
                          </m:r>
                        </m:e>
                      </m:d>
                    </m:e>
                  </m:d>
                </m:e>
              </m:nary>
              <m:r>
                <m:t>d</m:t>
              </m:r>
              <m:r>
                <m:t>s</m:t>
              </m:r>
            </m:e>
          </m:d>
          <m:r>
            <m:rPr>
              <m:sty m:val="p"/>
            </m:rPr>
            <m:t>&gt;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while if</w:t>
      </w:r>
      <w:r>
        <w:rPr>
          <w:rFonts w:ascii="Times New Roman" w:hAnsi="Times New Roman" w:cs="Times New Roman" w:eastAsia="Times New Roman"/>
          <w:sz w:val="24"/>
        </w:rPr>
        <w:t xml:space="preserve"> </w:t>
      </w:r>
      <m:oMath>
        <m:r>
          <m:t>N</m:t>
        </m:r>
        <m:d>
          <m:dPr>
            <m:begChr m:val="("/>
            <m:endChr m:val=")"/>
            <m:sepChr m:val=""/>
            <m:grow/>
          </m:dPr>
          <m:e>
            <m:sSub>
              <m:e>
                <m:r>
                  <m:t>t</m:t>
                </m:r>
              </m:e>
              <m:sub>
                <m:r>
                  <m:t>n</m:t>
                </m:r>
              </m:sub>
            </m:sSub>
          </m:e>
        </m:d>
        <m:r>
          <m:rPr>
            <m:sty m:val="p"/>
          </m:rPr>
          <m:t>=</m:t>
        </m:r>
        <m:r>
          <m:t>0</m:t>
        </m:r>
      </m:oMath>
      <w:r>
        <w:rPr>
          <w:rFonts w:ascii="Times New Roman" w:hAnsi="Times New Roman" w:cs="Times New Roman" w:eastAsia="Times New Roman"/>
          <w:sz w:val="24"/>
        </w:rPr>
        <w:t xml:space="preserve">, uniqueness gives the identically zero solution on the interval;</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cannot become negative. Set</w:t>
      </w:r>
      <w:r>
        <w:rPr>
          <w:rFonts w:ascii="Times New Roman" w:hAnsi="Times New Roman" w:cs="Times New Roman" w:eastAsia="Times New Roman"/>
          <w:sz w:val="24"/>
        </w:rPr>
        <w:t xml:space="preserve"> </w:t>
      </w:r>
      <m:oMath>
        <m:r>
          <m:t>ν</m:t>
        </m:r>
        <m:d>
          <m:dPr>
            <m:begChr m:val="("/>
            <m:endChr m:val=")"/>
            <m:sepChr m:val=""/>
            <m:grow/>
          </m:dPr>
          <m:e>
            <m:r>
              <m:t>t</m:t>
            </m:r>
          </m:e>
        </m:d>
        <m:r>
          <m:rPr>
            <m:sty m:val="p"/>
          </m:rPr>
          <m:t>=</m:t>
        </m:r>
        <m:r>
          <m:t>Φ</m:t>
        </m:r>
        <m:d>
          <m:dPr>
            <m:begChr m:val="("/>
            <m:endChr m:val=")"/>
            <m:sepChr m:val=""/>
            <m:grow/>
          </m:dPr>
          <m:e>
            <m:r>
              <m:t>q</m:t>
            </m:r>
            <m:r>
              <m:t>E</m:t>
            </m:r>
            <m:d>
              <m:dPr>
                <m:begChr m:val="("/>
                <m:endChr m:val=")"/>
                <m:sepChr m:val=""/>
                <m:grow/>
              </m:dPr>
              <m:e>
                <m:r>
                  <m:t>t</m:t>
                </m:r>
              </m:e>
            </m:d>
            <m:r>
              <m:t>N</m:t>
            </m:r>
            <m:d>
              <m:dPr>
                <m:begChr m:val="("/>
                <m:endChr m:val=")"/>
                <m:sepChr m:val=""/>
                <m:grow/>
              </m:dPr>
              <m:e>
                <m:r>
                  <m:t>t</m:t>
                </m:r>
              </m:e>
            </m:d>
            <m:r>
              <m:rPr>
                <m:sty m:val="p"/>
              </m:rPr>
              <m:t>−</m:t>
            </m:r>
            <m:r>
              <m:t>S</m:t>
            </m:r>
            <m:d>
              <m:dPr>
                <m:begChr m:val="("/>
                <m:endChr m:val=")"/>
                <m:sepChr m:val=""/>
                <m:grow/>
              </m:dPr>
              <m:e>
                <m:r>
                  <m:t>N</m:t>
                </m:r>
                <m:d>
                  <m:dPr>
                    <m:begChr m:val="("/>
                    <m:endChr m:val=")"/>
                    <m:sepChr m:val=""/>
                    <m:grow/>
                  </m:dPr>
                  <m:e>
                    <m:r>
                      <m:t>t</m:t>
                    </m:r>
                  </m:e>
                </m:d>
              </m:e>
            </m:d>
          </m:e>
        </m:d>
        <m:r>
          <m:rPr>
            <m:sty m:val="p"/>
          </m:rPr>
          <m:t>≥</m:t>
        </m:r>
        <m:r>
          <m:t>0</m:t>
        </m:r>
      </m:oMath>
      <w:r>
        <w:rPr>
          <w:rFonts w:ascii="Times New Roman" w:hAnsi="Times New Roman" w:cs="Times New Roman" w:eastAsia="Times New Roman"/>
          <w:sz w:val="24"/>
        </w:rPr>
        <w:t xml:space="preserve">. Variation of constants in Eq. (2) with</w:t>
      </w:r>
      <w:r>
        <w:rPr>
          <w:rFonts w:ascii="Times New Roman" w:hAnsi="Times New Roman" w:cs="Times New Roman" w:eastAsia="Times New Roman"/>
          <w:sz w:val="24"/>
        </w:rPr>
        <w:t xml:space="preserve"> </w:t>
      </w:r>
      <m:oMath>
        <m:sSub>
          <m:e>
            <m:r>
              <m:t>τ</m:t>
            </m:r>
          </m:e>
          <m:sub>
            <m:r>
              <m:t>m</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p>
    <w:p>
      <w:pPr>
        <w:pStyle w:val="BodyText"/>
        <w:spacing w:line="360" w:lineRule="auto" w:before="120" w:after="120"/>
        <w:ind w:firstLine="0"/>
        <w:jc w:val="center"/>
      </w:pPr>
      <m:oMathPara>
        <m:oMathParaPr>
          <m:jc m:val="center"/>
        </m:oMathParaPr>
        <m:oMath>
          <m:r>
            <m:t>Z</m:t>
          </m:r>
          <m:d>
            <m:dPr>
              <m:begChr m:val="("/>
              <m:endChr m:val=")"/>
              <m:sepChr m:val=""/>
              <m:grow/>
            </m:dPr>
            <m:e>
              <m:r>
                <m:t>t</m:t>
              </m:r>
            </m:e>
          </m:d>
          <m:r>
            <m:rPr>
              <m:sty m:val="p"/>
            </m:rPr>
            <m:t>=</m:t>
          </m:r>
          <m:sSup>
            <m:e>
              <m:r>
                <m:t>e</m:t>
              </m:r>
            </m:e>
            <m:sup>
              <m:r>
                <m:rPr>
                  <m:sty m:val="p"/>
                </m:rPr>
                <m:t>−</m:t>
              </m:r>
              <m:d>
                <m:dPr>
                  <m:begChr m:val="("/>
                  <m:endChr m:val=")"/>
                  <m:sepChr m:val=""/>
                  <m:grow/>
                </m:dPr>
                <m:e>
                  <m:r>
                    <m:t>t</m:t>
                  </m:r>
                  <m:r>
                    <m:rPr>
                      <m:sty m:val="p"/>
                    </m:rPr>
                    <m:t>−</m:t>
                  </m:r>
                  <m:sSub>
                    <m:e>
                      <m:r>
                        <m:t>t</m:t>
                      </m:r>
                    </m:e>
                    <m:sub>
                      <m:r>
                        <m:t>n</m:t>
                      </m:r>
                    </m:sub>
                  </m:sSub>
                </m:e>
              </m:d>
              <m:r>
                <m:rPr>
                  <m:sty m:val="p"/>
                </m:rPr>
                <m:t>/</m:t>
              </m:r>
              <m:sSub>
                <m:e>
                  <m:r>
                    <m:t>τ</m:t>
                  </m:r>
                </m:e>
                <m:sub>
                  <m:r>
                    <m:t>m</m:t>
                  </m:r>
                </m:sub>
              </m:sSub>
            </m:sup>
          </m:sSup>
          <m:r>
            <m:t>Z</m:t>
          </m:r>
          <m:d>
            <m:dPr>
              <m:begChr m:val="("/>
              <m:endChr m:val=")"/>
              <m:sepChr m:val=""/>
              <m:grow/>
            </m:dPr>
            <m:e>
              <m:sSub>
                <m:e>
                  <m:r>
                    <m:t>t</m:t>
                  </m:r>
                </m:e>
                <m:sub>
                  <m:r>
                    <m:t>n</m:t>
                  </m:r>
                </m:sub>
              </m:sSub>
            </m:e>
          </m:d>
          <m:r>
            <m:rPr>
              <m:sty m:val="p"/>
            </m:rPr>
            <m:t>+</m:t>
          </m:r>
          <m:f>
            <m:fPr>
              <m:type m:val="bar"/>
            </m:fPr>
            <m:num>
              <m:r>
                <m:t>1</m:t>
              </m:r>
            </m:num>
            <m:den>
              <m:sSub>
                <m:e>
                  <m:r>
                    <m:t>τ</m:t>
                  </m:r>
                </m:e>
                <m:sub>
                  <m:r>
                    <m:t>m</m:t>
                  </m:r>
                </m:sub>
              </m:sSub>
            </m:den>
          </m:f>
          <m:nary>
            <m:naryPr>
              <m:chr m:val="∫"/>
              <m:limLoc m:val="subSup"/>
              <m:subHide m:val="off"/>
              <m:supHide m:val="off"/>
            </m:naryPr>
            <m:sub>
              <m:sSub>
                <m:e>
                  <m:r>
                    <m:t>t</m:t>
                  </m:r>
                </m:e>
                <m:sub>
                  <m:r>
                    <m:t>n</m:t>
                  </m:r>
                </m:sub>
              </m:sSub>
            </m:sub>
            <m:sup>
              <m:r>
                <m:t>t</m:t>
              </m:r>
            </m:sup>
            <m:e>
              <m:sSup>
                <m:e>
                  <m:r>
                    <m:t>e</m:t>
                  </m:r>
                </m:e>
                <m:sup>
                  <m:r>
                    <m:rPr>
                      <m:sty m:val="p"/>
                    </m:rPr>
                    <m:t>−</m:t>
                  </m:r>
                  <m:d>
                    <m:dPr>
                      <m:begChr m:val="("/>
                      <m:endChr m:val=")"/>
                      <m:sepChr m:val=""/>
                      <m:grow/>
                    </m:dPr>
                    <m:e>
                      <m:r>
                        <m:t>t</m:t>
                      </m:r>
                      <m:r>
                        <m:rPr>
                          <m:sty m:val="p"/>
                        </m:rPr>
                        <m:t>−</m:t>
                      </m:r>
                      <m:r>
                        <m:t>s</m:t>
                      </m:r>
                    </m:e>
                  </m:d>
                  <m:r>
                    <m:rPr>
                      <m:sty m:val="p"/>
                    </m:rPr>
                    <m:t>/</m:t>
                  </m:r>
                  <m:sSub>
                    <m:e>
                      <m:r>
                        <m:t>τ</m:t>
                      </m:r>
                    </m:e>
                    <m:sub>
                      <m:r>
                        <m:t>m</m:t>
                      </m:r>
                    </m:sub>
                  </m:sSub>
                </m:sup>
              </m:sSup>
            </m:e>
          </m:nary>
          <m:r>
            <m:t>ν</m:t>
          </m:r>
          <m:d>
            <m:dPr>
              <m:begChr m:val="("/>
              <m:endChr m:val=")"/>
              <m:sepChr m:val=""/>
              <m:grow/>
            </m:dPr>
            <m:e>
              <m:r>
                <m:t>s</m:t>
              </m:r>
            </m:e>
          </m:d>
          <m:r>
            <m:t> </m:t>
          </m:r>
          <m:r>
            <m:t>d</m:t>
          </m:r>
          <m:r>
            <m:t>s</m:t>
          </m:r>
          <m:r>
            <m:t> </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All three inequalities therefore hold through</w:t>
      </w:r>
      <w:r>
        <w:rPr>
          <w:rFonts w:ascii="Times New Roman" w:hAnsi="Times New Roman" w:cs="Times New Roman" w:eastAsia="Times New Roman"/>
          <w:sz w:val="24"/>
        </w:rPr>
        <w:t xml:space="preserve"> </w:t>
      </w:r>
      <m:oMath>
        <m:sSub>
          <m:e>
            <m:r>
              <m:t>t</m:t>
            </m:r>
          </m:e>
          <m:sub>
            <m:r>
              <m:t>n</m:t>
            </m:r>
            <m:r>
              <m:rPr>
                <m:sty m:val="p"/>
              </m:rPr>
              <m:t>+</m:t>
            </m:r>
            <m:r>
              <m:t>1</m:t>
            </m:r>
          </m:sub>
        </m:sSub>
      </m:oMath>
      <w:r>
        <w:rPr>
          <w:rFonts w:ascii="Times New Roman" w:hAnsi="Times New Roman" w:cs="Times New Roman" w:eastAsia="Times New Roman"/>
          <w:sz w:val="24"/>
        </w:rPr>
        <w:t xml:space="preserve">; they hold at</w:t>
      </w:r>
      <w:r>
        <w:rPr>
          <w:rFonts w:ascii="Times New Roman" w:hAnsi="Times New Roman" w:cs="Times New Roman" w:eastAsia="Times New Roman"/>
          <w:sz w:val="24"/>
        </w:rPr>
        <w:t xml:space="preserve"> </w:t>
      </w:r>
      <m:oMath>
        <m:sSub>
          <m:e>
            <m:r>
              <m:t>t</m:t>
            </m:r>
          </m:e>
          <m:sub>
            <m:r>
              <m:t>0</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hypothesis, and induction proves them on every review interval for which the sampled solution exists. ∎</w:t>
      </w:r>
    </w:p>
    <w:p>
      <w:pPr>
        <w:pStyle w:val="BodyText"/>
        <w:spacing w:line="360" w:lineRule="auto" w:after="120"/>
        <w:ind w:firstLine="720"/>
        <w:jc w:val="both"/>
      </w:pPr>
      <w:r>
        <w:rPr>
          <w:rFonts w:ascii="Times New Roman" w:hAnsi="Times New Roman" w:cs="Times New Roman" w:eastAsia="Times New Roman"/>
          <w:sz w:val="24"/>
        </w:rPr>
        <w:t xml:space="preserve">Positivity, boundedness, persistence above a threshold, and viability are distinct properties; the proposition establishes positivity and effort admissibility only.</w:t>
      </w:r>
    </w:p>
    <w:bookmarkEnd w:id="33"/>
    <w:bookmarkStart w:id="34" w:name="Xe986030ff0b1a54d3e2dd501b61bf8d45b2ff19"/>
    <w:p>
      <w:pPr>
        <w:pStyle w:val="Heading2"/>
        <w:spacing w:before="240" w:after="120" w:line="360" w:lineRule="auto"/>
        <w:ind w:firstLine="0" w:left="0"/>
        <w:jc w:val="left"/>
      </w:pPr>
      <w:r>
        <w:rPr>
          <w:rFonts w:ascii="Times New Roman" w:hAnsi="Times New Roman" w:cs="Times New Roman" w:eastAsia="Times New Roman"/>
          <w:b/>
          <w:sz w:val="24"/>
        </w:rPr>
        <w:t xml:space="preserve">3.2 The rapid-review limit and what it does not establish</w:t>
      </w:r>
    </w:p>
    <w:p>
      <w:pPr>
        <w:pStyle w:val="FirstParagraph"/>
        <w:spacing w:line="360" w:lineRule="auto" w:after="120"/>
        <w:ind w:firstLine="720"/>
        <w:jc w:val="both"/>
      </w:pPr>
      <w:r>
        <w:rPr>
          <w:rFonts w:ascii="Times New Roman" w:hAnsi="Times New Roman" w:cs="Times New Roman" w:eastAsia="Times New Roman"/>
          <w:sz w:val="24"/>
        </w:rPr>
        <w:t xml:space="preserve">Define</w:t>
      </w:r>
      <w:r>
        <w:rPr>
          <w:rFonts w:ascii="Times New Roman" w:hAnsi="Times New Roman" w:cs="Times New Roman" w:eastAsia="Times New Roman"/>
          <w:sz w:val="24"/>
        </w:rPr>
        <w:t xml:space="preserve"> </w:t>
      </w:r>
      <m:oMath>
        <m:r>
          <m:t>u</m:t>
        </m:r>
        <m:r>
          <m:rPr>
            <m:sty m:val="p"/>
          </m:rPr>
          <m:t>=</m:t>
        </m:r>
        <m:d>
          <m:dPr>
            <m:begChr m:val="("/>
            <m:endChr m:val=")"/>
            <m:sepChr m:val=""/>
            <m:grow/>
          </m:dPr>
          <m:e>
            <m:r>
              <m:t>N</m:t>
            </m:r>
            <m:r>
              <m:rPr>
                <m:sty m:val="p"/>
              </m:rPr>
              <m:t>,</m:t>
            </m:r>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continuous no-delay system</w:t>
      </w:r>
    </w:p>
    <w:p>
      <w:pPr>
        <w:pStyle w:val="BodyText"/>
        <w:spacing w:line="360" w:lineRule="auto" w:before="120" w:after="120"/>
        <w:ind w:firstLine="0"/>
        <w:jc w:val="center"/>
      </w:pPr>
      <m:oMathPara>
        <m:oMathParaPr>
          <m:jc m:val="center"/>
        </m:oMathParaPr>
        <m:oMath>
          <m:acc>
            <m:accPr>
              <m:chr m:val="̇"/>
            </m:accPr>
            <m:e>
              <m:r>
                <m:t>u</m:t>
              </m:r>
            </m:e>
          </m:acc>
          <m:r>
            <m:rPr>
              <m:sty m:val="p"/>
            </m:rPr>
            <m:t>=</m:t>
          </m:r>
          <m:r>
            <m:t>G</m:t>
          </m:r>
          <m:d>
            <m:dPr>
              <m:begChr m:val="("/>
              <m:endChr m:val=")"/>
              <m:sepChr m:val=""/>
              <m:grow/>
            </m:dPr>
            <m:e>
              <m:r>
                <m:t>u</m:t>
              </m:r>
            </m:e>
          </m:d>
          <m:r>
            <m:rPr>
              <m:sty m:val="p"/>
            </m:rPr>
            <m:t>=</m:t>
          </m:r>
          <m:d>
            <m:dPr>
              <m:begChr m:val="("/>
              <m:endChr m:val=")"/>
              <m:sepChr m:val=""/>
              <m:grow/>
            </m:dPr>
            <m:e>
              <m:m>
                <m:mPr>
                  <m:baseJc m:val="center"/>
                  <m:plcHide m:val="on"/>
                  <m:mcs>
                    <m:mc>
                      <m:mcPr>
                        <m:mcJc m:val="center"/>
                        <m:count m:val="1"/>
                      </m:mcPr>
                    </m:mc>
                  </m:mcs>
                </m:mPr>
                <m:mr>
                  <m:e>
                    <m:r>
                      <m:t>S</m:t>
                    </m:r>
                    <m:d>
                      <m:dPr>
                        <m:begChr m:val="("/>
                        <m:endChr m:val=")"/>
                        <m:sepChr m:val=""/>
                        <m:grow/>
                      </m:dPr>
                      <m:e>
                        <m:r>
                          <m:t>N</m:t>
                        </m:r>
                      </m:e>
                    </m:d>
                    <m:r>
                      <m:rPr>
                        <m:sty m:val="p"/>
                      </m:rPr>
                      <m:t>−</m:t>
                    </m:r>
                    <m:r>
                      <m:t>q</m:t>
                    </m:r>
                    <m:r>
                      <m:t>E</m:t>
                    </m:r>
                    <m:r>
                      <m:t>N</m:t>
                    </m:r>
                  </m:e>
                </m:mr>
                <m:mr>
                  <m:e>
                    <m:d>
                      <m:dPr>
                        <m:begChr m:val="["/>
                        <m:endChr m:val="]"/>
                        <m:sepChr m:val=""/>
                        <m:grow/>
                      </m:dPr>
                      <m:e>
                        <m:r>
                          <m:t>Φ</m:t>
                        </m:r>
                        <m:d>
                          <m:dPr>
                            <m:begChr m:val="("/>
                            <m:endChr m:val=")"/>
                            <m:sepChr m:val=""/>
                            <m:grow/>
                          </m:dPr>
                          <m:e>
                            <m:r>
                              <m:t>q</m:t>
                            </m:r>
                            <m:r>
                              <m:t>E</m:t>
                            </m:r>
                            <m:r>
                              <m:t>N</m:t>
                            </m:r>
                            <m:r>
                              <m:rPr>
                                <m:sty m:val="p"/>
                              </m:rPr>
                              <m:t>−</m:t>
                            </m:r>
                            <m:r>
                              <m:t>S</m:t>
                            </m:r>
                            <m:d>
                              <m:dPr>
                                <m:begChr m:val="("/>
                                <m:endChr m:val=")"/>
                                <m:sepChr m:val=""/>
                                <m:grow/>
                              </m:dPr>
                              <m:e>
                                <m:r>
                                  <m:t>N</m:t>
                                </m:r>
                              </m:e>
                            </m:d>
                          </m:e>
                        </m:d>
                        <m:r>
                          <m:rPr>
                            <m:sty m:val="p"/>
                          </m:rPr>
                          <m:t>−</m:t>
                        </m:r>
                        <m:r>
                          <m:t>Z</m:t>
                        </m:r>
                      </m:e>
                    </m:d>
                    <m:r>
                      <m:rPr>
                        <m:sty m:val="p"/>
                      </m:rPr>
                      <m:t>/</m:t>
                    </m:r>
                    <m:sSub>
                      <m:e>
                        <m:r>
                          <m:t>τ</m:t>
                        </m:r>
                      </m:e>
                      <m:sub>
                        <m:r>
                          <m:t>m</m:t>
                        </m:r>
                      </m:sub>
                    </m:sSub>
                  </m:e>
                </m:mr>
                <m:mr>
                  <m:e>
                    <m:sSub>
                      <m:e>
                        <m:r>
                          <m:t>F</m:t>
                        </m:r>
                      </m:e>
                      <m:sub>
                        <m:r>
                          <m:t>B</m:t>
                        </m:r>
                      </m:sub>
                    </m:sSub>
                    <m:d>
                      <m:dPr>
                        <m:begChr m:val="("/>
                        <m:endChr m:val=")"/>
                        <m:sepChr m:val=""/>
                        <m:grow/>
                      </m:dPr>
                      <m:e>
                        <m:r>
                          <m:t>E</m:t>
                        </m:r>
                        <m:r>
                          <m:rPr>
                            <m:sty m:val="p"/>
                          </m:rPr>
                          <m:t>,</m:t>
                        </m:r>
                        <m:r>
                          <m:t>Z</m:t>
                        </m:r>
                      </m:e>
                    </m:d>
                  </m:e>
                </m:mr>
              </m:m>
            </m:e>
          </m:d>
          <m:r>
            <m:rPr>
              <m:sty m:val="p"/>
            </m:rPr>
            <m:t>.</m:t>
          </m:r>
        </m:oMath>
      </m:oMathPara>
    </w:p>
    <w:p>
      <w:pPr>
        <w:pStyle w:val="FirstParagraph"/>
        <w:spacing w:line="360" w:lineRule="auto" w:after="120"/>
        <w:ind w:firstLine="720"/>
        <w:jc w:val="both"/>
      </w:pPr>
      <w:r>
        <w:rPr>
          <w:rFonts w:ascii="Times New Roman" w:hAnsi="Times New Roman" w:cs="Times New Roman" w:eastAsia="Times New Roman"/>
          <w:b/>
          <w:bCs/>
          <w:sz w:val="24"/>
        </w:rPr>
        <w:t xml:space="preserve">Remark (finite-horizon rapid-review consistency, SD-E-B3 instance).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formal coverage of this statement is a conditional theorem of the theorem-atlas companion on finite-time sample-and-hold convergence, in the sampled-data tradition of convergence to the underlying continuous-time system via approximate discrete-time models (Nešić and Teel 2004); the instance reads as follows. Suppose</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continuously differentiable with bounded derivative on a compact neighbourhood containing the compared trajectories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assessments equal the contemporaneous state, no additional decision or deployment queue is present, projection is inactive, and the sampled and continuous systems share the initial state. The frozen-effort flow followed by the explicit effort step then has a one-step defect of order</w:t>
      </w:r>
      <w:r>
        <w:rPr>
          <w:rFonts w:ascii="Times New Roman" w:hAnsi="Times New Roman" w:cs="Times New Roman" w:eastAsia="Times New Roman"/>
          <w:sz w:val="24"/>
        </w:rPr>
        <w:t xml:space="preserve"> </w:t>
      </w:r>
      <m:oMath>
        <m:r>
          <m:t>O</m:t>
        </m:r>
        <m:d>
          <m:dPr>
            <m:begChr m:val="("/>
            <m:endChr m:val=")"/>
            <m:sepChr m:val=""/>
            <m:grow/>
          </m:dPr>
          <m:e>
            <m:sSubSup>
              <m:e>
                <m:r>
                  <m:t>T</m:t>
                </m:r>
              </m:e>
              <m:sub>
                <m:r>
                  <m:t>r</m:t>
                </m:r>
              </m:sub>
              <m:sup>
                <m:r>
                  <m:t>2</m:t>
                </m:r>
              </m:sup>
            </m:sSub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to the exact flow of</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usual discrete Gronwall estimate yields an</w:t>
      </w:r>
      <w:r>
        <w:rPr>
          <w:rFonts w:ascii="Times New Roman" w:hAnsi="Times New Roman" w:cs="Times New Roman" w:eastAsia="Times New Roman"/>
          <w:sz w:val="24"/>
        </w:rPr>
        <w:t xml:space="preserve"> </w:t>
      </w:r>
      <m:oMath>
        <m:r>
          <m:t>O</m:t>
        </m:r>
        <m:d>
          <m:dPr>
            <m:begChr m:val="("/>
            <m:endChr m:val=")"/>
            <m:sepChr m:val=""/>
            <m:grow/>
          </m:dPr>
          <m:e>
            <m:sSub>
              <m:e>
                <m:r>
                  <m:t>T</m:t>
                </m:r>
              </m:e>
              <m:sub>
                <m:r>
                  <m:t>r</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review-time error and uniform convergence on every fixed finite horizon as</w:t>
      </w:r>
      <w:r>
        <w:rPr>
          <w:rFonts w:ascii="Times New Roman" w:hAnsi="Times New Roman" w:cs="Times New Roman" w:eastAsia="Times New Roman"/>
          <w:sz w:val="24"/>
        </w:rPr>
        <w:t xml:space="preserve"> </w:t>
      </w:r>
      <m:oMath>
        <m:sSub>
          <m:e>
            <m:r>
              <m:t>T</m:t>
            </m:r>
          </m:e>
          <m:sub>
            <m:r>
              <m:t>r</m:t>
            </m:r>
          </m:sub>
        </m:sSub>
        <m:r>
          <m:rPr>
            <m:sty m:val="p"/>
          </m:rPr>
          <m:t>→</m:t>
        </m:r>
        <m:r>
          <m:t>0</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This is a numerical-approximation property, not a finite-review stability theorem. It gives no uniform-in-time estimate, does not preserve stability automatically, and does not control any trajectory-classified response region reported below. It excludes active projection, delayed or erroneous assessment, a deployment queue, and stochastic updates. In particular, it neither identifies a finite</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 continuous discrete delay nor implies that sufficiently small positive</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stable when the continuous target is unstable.</w:t>
      </w:r>
    </w:p>
    <w:bookmarkEnd w:id="34"/>
    <w:bookmarkStart w:id="35" w:name="sampled-data-stability-terminology"/>
    <w:p>
      <w:pPr>
        <w:pStyle w:val="Heading2"/>
        <w:spacing w:before="240" w:after="120" w:line="360" w:lineRule="auto"/>
        <w:ind w:firstLine="0" w:left="0"/>
        <w:jc w:val="left"/>
      </w:pPr>
      <w:r>
        <w:rPr>
          <w:rFonts w:ascii="Times New Roman" w:hAnsi="Times New Roman" w:cs="Times New Roman" w:eastAsia="Times New Roman"/>
          <w:b/>
          <w:sz w:val="24"/>
        </w:rPr>
        <w:t xml:space="preserve">3.3 Sampled-data stability terminology</w:t>
      </w:r>
    </w:p>
    <w:p>
      <w:pPr>
        <w:pStyle w:val="FirstParagraph"/>
        <w:spacing w:line="360" w:lineRule="auto" w:after="120"/>
        <w:ind w:firstLine="720"/>
        <w:jc w:val="both"/>
      </w:pPr>
      <w:r>
        <w:rPr>
          <w:rFonts w:ascii="Times New Roman" w:hAnsi="Times New Roman" w:cs="Times New Roman" w:eastAsia="Times New Roman"/>
          <w:sz w:val="24"/>
        </w:rPr>
        <w:t xml:space="preserve">For a deterministic sampled system, the inter-review flow and the review update combine into a Poincaré map</w:t>
      </w:r>
      <w:r>
        <w:rPr>
          <w:rFonts w:ascii="Times New Roman" w:hAnsi="Times New Roman" w:cs="Times New Roman" w:eastAsia="Times New Roman"/>
          <w:sz w:val="24"/>
        </w:rPr>
        <w:t xml:space="preserve"> </w:t>
      </w:r>
      <m:oMath>
        <m:sSub>
          <m:e>
            <m:r>
              <m:t>X</m:t>
            </m:r>
          </m:e>
          <m:sub>
            <m:r>
              <m:t>n</m:t>
            </m:r>
            <m:r>
              <m:rPr>
                <m:sty m:val="p"/>
              </m:rPr>
              <m:t>+</m:t>
            </m:r>
            <m:r>
              <m:t>1</m:t>
            </m:r>
          </m:sub>
        </m:sSub>
        <m:r>
          <m:rPr>
            <m:sty m:val="p"/>
          </m:rPr>
          <m:t>=</m:t>
        </m:r>
        <m:sSub>
          <m:e>
            <m:r>
              <m:rPr>
                <m:sty m:val="p"/>
                <m:scr m:val="script"/>
              </m:rPr>
              <m:t>P</m:t>
            </m:r>
          </m:e>
          <m:sub>
            <m:sSub>
              <m:e>
                <m:r>
                  <m:t>T</m:t>
                </m:r>
              </m:e>
              <m:sub>
                <m:r>
                  <m:t>r</m:t>
                </m:r>
              </m:sub>
            </m:sSub>
          </m:sub>
        </m:sSub>
        <m:d>
          <m:dPr>
            <m:begChr m:val="("/>
            <m:endChr m:val=")"/>
            <m:sepChr m:val=""/>
            <m:grow/>
          </m:dPr>
          <m:e>
            <m:sSub>
              <m:e>
                <m:r>
                  <m:t>X</m:t>
                </m:r>
              </m:e>
              <m:sub>
                <m:r>
                  <m:t>n</m:t>
                </m:r>
              </m:sub>
            </m:sSub>
          </m:e>
        </m:d>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X</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includes the ecological state, memory, held command, and any explicitly modelled queue. A fixed point is locally asymptotically stable if and only if every eigenvalue of</w:t>
      </w:r>
      <w:r>
        <w:rPr>
          <w:rFonts w:ascii="Times New Roman" w:hAnsi="Times New Roman" w:cs="Times New Roman" w:eastAsia="Times New Roman"/>
          <w:sz w:val="24"/>
        </w:rPr>
        <w:t xml:space="preserve"> </w:t>
      </w:r>
      <m:oMath>
        <m:r>
          <m:t>D</m:t>
        </m:r>
        <m:sSub>
          <m:e>
            <m:r>
              <m:rPr>
                <m:sty m:val="p"/>
                <m:scr m:val="script"/>
              </m:rPr>
              <m:t>P</m:t>
            </m:r>
          </m:e>
          <m:sub>
            <m:sSub>
              <m:e>
                <m:r>
                  <m:t>T</m:t>
                </m:r>
              </m:e>
              <m:sub>
                <m:r>
                  <m:t>r</m:t>
                </m:r>
              </m:sub>
            </m:sSub>
          </m:sub>
        </m:sSub>
        <m:d>
          <m:dPr>
            <m:begChr m:val="("/>
            <m:endChr m:val=")"/>
            <m:sepChr m:val=""/>
            <m:grow/>
          </m:dPr>
          <m:e>
            <m:sSup>
              <m:e>
                <m:r>
                  <m:t>X</m:t>
                </m:r>
              </m:e>
              <m:sup>
                <m:r>
                  <m:rPr>
                    <m:sty m:val="p"/>
                  </m:rPr>
                  <m:t>*</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inside the unit disk. A verified crossing through the unit circle as the fixed parameter</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changes is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sampled-data parameter bifurcation</w:t>
      </w:r>
      <w:r>
        <w:rPr>
          <w:rFonts w:ascii="Times New Roman" w:hAnsi="Times New Roman" w:cs="Times New Roman" w:eastAsia="Times New Roman"/>
          <w:sz w:val="24"/>
        </w:rPr>
        <w:t xml:space="preserve">; it is not rate-induced tipping, which requires a nonautonomous parameter path (such as</w:t>
      </w:r>
      <w:r>
        <w:rPr>
          <w:rFonts w:ascii="Times New Roman" w:hAnsi="Times New Roman" w:cs="Times New Roman" w:eastAsia="Times New Roman"/>
          <w:sz w:val="24"/>
        </w:rPr>
        <w:t xml:space="preserve"> </w:t>
      </w:r>
      <m:oMath>
        <m:acc>
          <m:accPr>
            <m:chr m:val="̇"/>
          </m:accPr>
          <m:e>
            <m:r>
              <m:t>μ</m:t>
            </m:r>
          </m:e>
        </m:acc>
        <m:r>
          <m:rPr>
            <m:sty m:val="p"/>
          </m:rPr>
          <m:t>=</m:t>
        </m:r>
        <m:r>
          <m:t>ϵ</m:t>
        </m:r>
      </m:oMath>
      <w:r>
        <w:rPr>
          <w:rFonts w:ascii="Times New Roman" w:hAnsi="Times New Roman" w:cs="Times New Roman" w:eastAsia="Times New Roman"/>
          <w:sz w:val="24"/>
        </w:rPr>
        <w:t xml:space="preserve">) and a loss of tracking as the ramp speed changes (the tipping taxonomy: Ashwin, Wieczorek, Vitolo, and Cox 2012). The calculations reported below did not evaluate</w:t>
      </w:r>
      <w:r>
        <w:rPr>
          <w:rFonts w:ascii="Times New Roman" w:hAnsi="Times New Roman" w:cs="Times New Roman" w:eastAsia="Times New Roman"/>
          <w:sz w:val="24"/>
        </w:rPr>
        <w:t xml:space="preserve"> </w:t>
      </w:r>
      <m:oMath>
        <m:r>
          <m:t>D</m:t>
        </m:r>
        <m:sSub>
          <m:e>
            <m:r>
              <m:rPr>
                <m:sty m:val="p"/>
                <m:scr m:val="script"/>
              </m:rPr>
              <m:t>P</m:t>
            </m:r>
          </m:e>
          <m:sub>
            <m:sSub>
              <m:e>
                <m:r>
                  <m:t>T</m:t>
                </m:r>
              </m:e>
              <m:sub>
                <m:r>
                  <m:t>r</m:t>
                </m:r>
              </m:sub>
            </m:sSub>
          </m:sub>
        </m:sSub>
      </m:oMath>
      <w:r>
        <w:rPr>
          <w:rFonts w:ascii="Times New Roman" w:hAnsi="Times New Roman" w:cs="Times New Roman" w:eastAsia="Times New Roman"/>
          <w:sz w:val="24"/>
        </w:rPr>
        <w:t xml:space="preserve">, a monodromy matrix, or Floquet multipliers: classification used long-horizon trajectories, tail amplitudes, multiple histories, and integration-step refinement, so the reported bands are finite-grid, trajectory-classified response regions and no Neimark–Sacker, flip, or other multiplier-crossing classification is claimed. A future boundary calculation must report the exact flow/update ordering and information pattern, all observation and deployment lags, the derivative construction for</w:t>
      </w:r>
      <w:r>
        <w:rPr>
          <w:rFonts w:ascii="Times New Roman" w:hAnsi="Times New Roman" w:cs="Times New Roman" w:eastAsia="Times New Roman"/>
          <w:sz w:val="24"/>
        </w:rPr>
        <w:t xml:space="preserve"> </w:t>
      </w:r>
      <m:oMath>
        <m:sSub>
          <m:e>
            <m:r>
              <m:rPr>
                <m:sty m:val="p"/>
                <m:scr m:val="script"/>
              </m:rPr>
              <m:t>P</m:t>
            </m:r>
          </m:e>
          <m:sub>
            <m:sSub>
              <m:e>
                <m:r>
                  <m:t>T</m:t>
                </m:r>
              </m:e>
              <m:sub>
                <m:r>
                  <m:t>r</m:t>
                </m:r>
              </m:sub>
            </m:sSub>
          </m:sub>
        </m:sSub>
      </m:oMath>
      <w:r>
        <w:rPr>
          <w:rFonts w:ascii="Times New Roman" w:hAnsi="Times New Roman" w:cs="Times New Roman" w:eastAsia="Times New Roman"/>
          <w:sz w:val="24"/>
        </w:rPr>
        <w:t xml:space="preserve">, multiplier trajectories and crossing directions, nonlinear trajectories on both sides, and numerical refinement — the requirements that distinguish a located bifurcation boundary from a trajectory summary.</w:t>
      </w:r>
    </w:p>
    <w:bookmarkEnd w:id="35"/>
    <w:bookmarkStart w:id="36" w:name="the-response-region-records"/>
    <w:p>
      <w:pPr>
        <w:pStyle w:val="Heading2"/>
        <w:spacing w:before="240" w:after="120" w:line="360" w:lineRule="auto"/>
        <w:ind w:firstLine="0" w:left="0"/>
        <w:jc w:val="left"/>
      </w:pPr>
      <w:r>
        <w:rPr>
          <w:rFonts w:ascii="Times New Roman" w:hAnsi="Times New Roman" w:cs="Times New Roman" w:eastAsia="Times New Roman"/>
          <w:b/>
          <w:sz w:val="24"/>
        </w:rPr>
        <w:t xml:space="preserve">3.4 The response-region records</w:t>
      </w:r>
    </w:p>
    <w:p>
      <w:pPr>
        <w:pStyle w:val="FirstParagraph"/>
        <w:spacing w:line="360" w:lineRule="auto" w:after="120"/>
        <w:ind w:firstLine="720"/>
        <w:jc w:val="both"/>
      </w:pPr>
      <w:r>
        <w:rPr>
          <w:rFonts w:ascii="Times New Roman" w:hAnsi="Times New Roman" w:cs="Times New Roman" w:eastAsia="Times New Roman"/>
          <w:sz w:val="24"/>
        </w:rPr>
        <w:t xml:space="preserve">The delayed-recruitment records are labelled SD-E-DR-AN, SD-E-DR-SP, SD-E-DR-CO, and SD-E-DR-SL (anchovy-, sprat-, cod-, and slow-stock classes) — the delayed-recruitment oscillation lineage of population ecology (Gurney, Blythe, and Nisbet 1980) supplies their classical reference point. The labels separate these records from SD-E-B3 and do not by themselves complete a model registration: reproduction requires the companion registration stating the complete delayed-recruitment equations and state dimension, each class-specific parameter vector, the effort gate,</w:t>
      </w:r>
      <w:r>
        <w:rPr>
          <w:rFonts w:ascii="Times New Roman" w:hAnsi="Times New Roman" w:cs="Times New Roman" w:eastAsia="Times New Roman"/>
          <w:sz w:val="24"/>
        </w:rPr>
        <w:t xml:space="preserve"> </w:t>
      </w:r>
      <m:oMath>
        <m:r>
          <m:t>Φ</m:t>
        </m:r>
      </m:oMath>
      <w:r>
        <w:rPr>
          <w:rFonts w:ascii="Times New Roman" w:hAnsi="Times New Roman" w:cs="Times New Roman" w:eastAsia="Times New Roman"/>
          <w:sz w:val="24"/>
        </w:rPr>
        <w:t xml:space="preserve">, the initial history, the flow/update order, and the numerical and tail-classification conventions (the delay-dynamics companion owns the registration); the SD-E-B3 Candidate-A/B vectors live in the companion model registry. Because that complete stage registration is absent from the model record, the values below are exploratory computational summaries, not attributed to SD-E-B3 and not reproducible numerical propositions.</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SD-E-DR-AN</w:t>
      </w:r>
      <w:r>
        <w:rPr>
          <w:rFonts w:ascii="Times New Roman" w:hAnsi="Times New Roman" w:cs="Times New Roman" w:eastAsia="Times New Roman"/>
          <w:sz w:val="24"/>
        </w:rPr>
        <w:t xml:space="preserve">: persistent tail oscillation near</w:t>
      </w:r>
      <w:r>
        <w:rPr>
          <w:rFonts w:ascii="Times New Roman" w:hAnsi="Times New Roman" w:cs="Times New Roman" w:eastAsia="Times New Roman"/>
          <w:sz w:val="24"/>
        </w:rPr>
        <w:t xml:space="preserve"> </w:t>
      </w:r>
      <m:oMath>
        <m:sSub>
          <m:e>
            <m:r>
              <m:t>T</m:t>
            </m:r>
          </m:e>
          <m:sub>
            <m:r>
              <m:t>r</m:t>
            </m:r>
          </m:sub>
        </m:sSub>
        <m:r>
          <m:rPr>
            <m:sty m:val="p"/>
          </m:rPr>
          <m:t>≈</m:t>
        </m:r>
        <m:r>
          <m:t>3</m:t>
        </m:r>
      </m:oMath>
      <w:r>
        <w:rPr>
          <w:rFonts w:ascii="Times New Roman" w:hAnsi="Times New Roman" w:cs="Times New Roman" w:eastAsia="Times New Roman"/>
          <w:sz w:val="24"/>
        </w:rPr>
        <w:t xml:space="preserve">–</w:t>
      </w:r>
      <m:oMath>
        <m:r>
          <m:t>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a weak response at</w:t>
      </w:r>
      <w:r>
        <w:rPr>
          <w:rFonts w:ascii="Times New Roman" w:hAnsi="Times New Roman" w:cs="Times New Roman" w:eastAsia="Times New Roman"/>
          <w:sz w:val="24"/>
        </w:rPr>
        <w:t xml:space="preserve"> </w:t>
      </w:r>
      <m:oMath>
        <m:sSub>
          <m:e>
            <m:r>
              <m:t>T</m:t>
            </m:r>
          </m:e>
          <m:sub>
            <m:r>
              <m:t>r</m:t>
            </m:r>
          </m:sub>
        </m:sSub>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annual-review trajectories converge over the tested grids for every tested effort-response value.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SD-E-DR-SP</w:t>
      </w:r>
      <w:r>
        <w:rPr>
          <w:rFonts w:ascii="Times New Roman" w:hAnsi="Times New Roman" w:cs="Times New Roman" w:eastAsia="Times New Roman"/>
          <w:sz w:val="24"/>
        </w:rPr>
        <w:t xml:space="preserve">: persistent tail oscillation near</w:t>
      </w:r>
      <w:r>
        <w:rPr>
          <w:rFonts w:ascii="Times New Roman" w:hAnsi="Times New Roman" w:cs="Times New Roman" w:eastAsia="Times New Roman"/>
          <w:sz w:val="24"/>
        </w:rPr>
        <w:t xml:space="preserve"> </w:t>
      </w:r>
      <m:oMath>
        <m:sSub>
          <m:e>
            <m:r>
              <m:t>T</m:t>
            </m:r>
          </m:e>
          <m:sub>
            <m:r>
              <m:t>r</m:t>
            </m:r>
          </m:sub>
        </m:sSub>
        <m:r>
          <m:rPr>
            <m:sty m:val="p"/>
          </m:rPr>
          <m:t>≈</m:t>
        </m:r>
        <m:r>
          <m:t>6</m:t>
        </m:r>
      </m:oMath>
      <w:r>
        <w:rPr>
          <w:rFonts w:ascii="Times New Roman" w:hAnsi="Times New Roman" w:cs="Times New Roman" w:eastAsia="Times New Roman"/>
          <w:sz w:val="24"/>
        </w:rPr>
        <w:t xml:space="preserve">–</w:t>
      </w:r>
      <m:oMath>
        <m:r>
          <m:t>12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SD-E-DR-CO</w:t>
      </w:r>
      <w:r>
        <w:rPr>
          <w:rFonts w:ascii="Times New Roman" w:hAnsi="Times New Roman" w:cs="Times New Roman" w:eastAsia="Times New Roman"/>
          <w:sz w:val="24"/>
        </w:rPr>
        <w:t xml:space="preserve">: trajectories converge to equilibrium for every tested</w:t>
      </w:r>
      <w:r>
        <w:rPr>
          <w:rFonts w:ascii="Times New Roman" w:hAnsi="Times New Roman" w:cs="Times New Roman" w:eastAsia="Times New Roman"/>
          <w:sz w:val="24"/>
        </w:rPr>
        <w:t xml:space="preserve"> </w:t>
      </w:r>
      <m:oMath>
        <m:sSub>
          <m:e>
            <m:r>
              <m:t>T</m:t>
            </m:r>
          </m:e>
          <m:sub>
            <m:r>
              <m:t>r</m:t>
            </m:r>
          </m:sub>
        </m:sSub>
        <m:r>
          <m:rPr>
            <m:sty m:val="p"/>
          </m:rPr>
          <m:t>∈</m:t>
        </m:r>
        <m:d>
          <m:dPr>
            <m:begChr m:val="["/>
            <m:endChr m:val="]"/>
            <m:sepChr m:val=""/>
            <m:grow/>
          </m:dPr>
          <m:e>
            <m:r>
              <m:t>1</m:t>
            </m:r>
            <m:r>
              <m:rPr>
                <m:sty m:val="p"/>
              </m:rPr>
              <m:t>,</m:t>
            </m:r>
            <m:r>
              <m:t>20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although the corresponding continuous-delay calculation has an oscillatory interval — a convergence-over-tested-grid record, not a stability theorem for every history.</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SD-E-DR-SL</w:t>
      </w:r>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r</m:t>
        </m:r>
        <m:r>
          <m:rPr>
            <m:sty m:val="p"/>
          </m:rPr>
          <m:t>∈</m:t>
        </m:r>
        <m:d>
          <m:dPr>
            <m:begChr m:val="("/>
            <m:endChr m:val=")"/>
            <m:sepChr m:val=""/>
            <m:grow/>
          </m:dPr>
          <m:e>
            <m:r>
              <m:t>0.01</m:t>
            </m:r>
            <m:r>
              <m:rPr>
                <m:sty m:val="p"/>
              </m:rPr>
              <m:t>,</m:t>
            </m:r>
            <m:r>
              <m:t>0.05</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oscillation over part of the tested grid below approximately 20–30 yr and convergence at longer review intervals, with transition brackets between approximately 30 and 50 yr depending 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This one-sided pattern does not contradict rapid-review consistency: the continuous no-delay M3-B target is itself unstable over part of the slow-</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regime, so small-</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trajectories may approximate an unstable target on finite horizons. The record is conditional on the delayed-recruitment variant and is not a general claim that slower review stabilises governance; the dominant timescales are centuries, beyond the length needed to resolve multiple cycles in most institutional records.</w:t>
      </w:r>
    </w:p>
    <w:p>
      <w:pPr>
        <w:pStyle w:val="FirstParagraph"/>
        <w:spacing w:line="360" w:lineRule="auto" w:after="120"/>
        <w:ind w:firstLine="720"/>
        <w:jc w:val="both"/>
      </w:pPr>
      <w:r>
        <w:rPr>
          <w:rFonts w:ascii="Times New Roman" w:hAnsi="Times New Roman" w:cs="Times New Roman" w:eastAsia="Times New Roman"/>
          <w:sz w:val="24"/>
        </w:rPr>
        <w:t xml:space="preserve">The corresponding continuous-delay calculations locate response regions near</w:t>
      </w:r>
      <w:r>
        <w:rPr>
          <w:rFonts w:ascii="Times New Roman" w:hAnsi="Times New Roman" w:cs="Times New Roman" w:eastAsia="Times New Roman"/>
          <w:sz w:val="24"/>
        </w:rPr>
        <w:t xml:space="preserve"> </w:t>
      </w:r>
      <m:oMath>
        <m:r>
          <m:t>r</m:t>
        </m:r>
        <m:r>
          <m:t>g</m:t>
        </m:r>
        <m:r>
          <m:rPr>
            <m:sty m:val="p"/>
          </m:rPr>
          <m:t>≈</m:t>
        </m:r>
        <m:r>
          <m:t>1.5</m:t>
        </m:r>
      </m:oMath>
      <w:r>
        <w:rPr>
          <w:rFonts w:ascii="Times New Roman" w:hAnsi="Times New Roman" w:cs="Times New Roman" w:eastAsia="Times New Roman"/>
          <w:sz w:val="24"/>
        </w:rPr>
        <w:t xml:space="preserve">–</w:t>
      </w:r>
      <m:oMath>
        <m:r>
          <m:t>1.6</m:t>
        </m:r>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g</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w:r>
        <w:rPr>
          <w:rFonts w:ascii="Times New Roman" w:hAnsi="Times New Roman" w:cs="Times New Roman" w:eastAsia="Times New Roman"/>
          <w:sz w:val="24"/>
        </w:rPr>
        <w:t xml:space="preserve"> </w:t>
      </w:r>
      <m:oMath>
        <m:r>
          <m:t>r</m:t>
        </m:r>
        <m:r>
          <m:rPr>
            <m:sty m:val="p"/>
          </m:rPr>
          <m:t>∈</m:t>
        </m:r>
        <m:d>
          <m:dPr>
            <m:begChr m:val="("/>
            <m:endChr m:val=")"/>
            <m:sepChr m:val=""/>
            <m:grow/>
          </m:dPr>
          <m:e>
            <m:r>
              <m:t>0.77</m:t>
            </m:r>
            <m:r>
              <m:rPr>
                <m:sty m:val="p"/>
              </m:rPr>
              <m:t>,</m:t>
            </m:r>
            <m:r>
              <m:t>0.81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0.914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 delay interval of approximately 2.6–7.8 yr; for</w:t>
      </w:r>
      <w:r>
        <w:rPr>
          <w:rFonts w:ascii="Times New Roman" w:hAnsi="Times New Roman" w:cs="Times New Roman" w:eastAsia="Times New Roman"/>
          <w:sz w:val="24"/>
        </w:rPr>
        <w:t xml:space="preserve"> </w:t>
      </w:r>
      <m:oMath>
        <m:r>
          <m:t>g</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the high-</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interval is approximately 1.565–1.585 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 delay interval of 1.6–3.5 yr. These are finite-grid trajectory summaries, not closed analytical stability regions.</w:t>
      </w:r>
    </w:p>
    <w:bookmarkEnd w:id="36"/>
    <w:bookmarkStart w:id="37" w:name="robustness-and-diagnostic-spectra"/>
    <w:p>
      <w:pPr>
        <w:pStyle w:val="Heading2"/>
        <w:spacing w:before="240" w:after="120" w:line="360" w:lineRule="auto"/>
        <w:ind w:firstLine="0" w:left="0"/>
        <w:jc w:val="left"/>
      </w:pPr>
      <w:r>
        <w:rPr>
          <w:rFonts w:ascii="Times New Roman" w:hAnsi="Times New Roman" w:cs="Times New Roman" w:eastAsia="Times New Roman"/>
          <w:b/>
          <w:sz w:val="24"/>
        </w:rPr>
        <w:t xml:space="preserve">3.5 Robustness and diagnostic spectra</w:t>
      </w:r>
    </w:p>
    <w:p>
      <w:pPr>
        <w:pStyle w:val="FirstParagraph"/>
        <w:spacing w:line="360" w:lineRule="auto" w:after="120"/>
        <w:ind w:firstLine="720"/>
        <w:jc w:val="both"/>
      </w:pPr>
      <w:r>
        <w:rPr>
          <w:rFonts w:ascii="Times New Roman" w:hAnsi="Times New Roman" w:cs="Times New Roman" w:eastAsia="Times New Roman"/>
          <w:sz w:val="24"/>
        </w:rPr>
        <w:t xml:space="preserve">Multiplicative assessment-error experiments retain the anchovy-class trajectory region through 30% error and produce no noise-induced persistent tail oscillation at annual review in the tested ensemble. This is a robustness summary for the declared multiplicative perturbation only, not a guarantee under arbitrary observation error.</w:t>
      </w:r>
    </w:p>
    <w:p>
      <w:pPr>
        <w:pStyle w:val="BodyText"/>
        <w:spacing w:line="360" w:lineRule="auto" w:after="120"/>
        <w:ind w:firstLine="720"/>
        <w:jc w:val="both"/>
      </w:pPr>
      <w:r>
        <w:rPr>
          <w:rFonts w:ascii="Times New Roman" w:hAnsi="Times New Roman" w:cs="Times New Roman" w:eastAsia="Times New Roman"/>
          <w:sz w:val="24"/>
        </w:rPr>
        <w:t xml:space="preserve">The archived diagnostics carry observable-specific dominant peaks — approximately 4 yr in anchovy-class biomass with 12 yr in effort, and approximately 8 yr in sprat-class biomass with 60 yr in effort. These are retained only as observable-specific dominant peaks over the analysed windows: components of one stationary periodic orbit cannot have different fundamental periods, and harmonics, subharmonics, modulation, or transient spectral content are unresolved; no decomposition has established whether the baseline</w:t>
      </w:r>
      <w:r>
        <w:rPr>
          <w:rFonts w:ascii="Times New Roman" w:hAnsi="Times New Roman" w:cs="Times New Roman" w:eastAsia="Times New Roman"/>
          <w:sz w:val="24"/>
        </w:rPr>
        <w:t xml:space="preserve"> </w:t>
      </w:r>
      <m:oMath>
        <m:sSub>
          <m:e>
            <m:r>
              <m:t>δ</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 signal regularisation, or another controller component dominates these responses. The archived amplitudes indicate percent-scale biomass excursions and order-one effort excursions relative to equilibrium; the exact percentages are not used as effect-size estimates, because the available convention does not distinguish peak-to-peak range from half-range and the approach to the large effort response contains a long transient.</w:t>
      </w:r>
    </w:p>
    <w:bookmarkEnd w:id="37"/>
    <w:bookmarkStart w:id="38" w:name="two-review-map-operators"/>
    <w:p>
      <w:pPr>
        <w:pStyle w:val="Heading2"/>
        <w:spacing w:before="240" w:after="120" w:line="360" w:lineRule="auto"/>
        <w:ind w:firstLine="0" w:left="0"/>
        <w:jc w:val="left"/>
      </w:pPr>
      <w:r>
        <w:rPr>
          <w:rFonts w:ascii="Times New Roman" w:hAnsi="Times New Roman" w:cs="Times New Roman" w:eastAsia="Times New Roman"/>
          <w:b/>
          <w:sz w:val="24"/>
        </w:rPr>
        <w:t xml:space="preserve">3.6 Two review-map operators</w:t>
      </w:r>
    </w:p>
    <w:p>
      <w:pPr>
        <w:pStyle w:val="FirstParagraph"/>
        <w:spacing w:line="360" w:lineRule="auto" w:after="120"/>
        <w:ind w:firstLine="720"/>
        <w:jc w:val="both"/>
      </w:pPr>
      <w:r>
        <w:rPr>
          <w:rFonts w:ascii="Times New Roman" w:hAnsi="Times New Roman" w:cs="Times New Roman" w:eastAsia="Times New Roman"/>
          <w:sz w:val="24"/>
        </w:rPr>
        <w:t xml:space="preserve">The continuous delay equation and the sample-and-hold map are the same feedback loop under two delay operators: changing the operator can move or delete a crossing, and that relocation is a property of the review map’s spectrum, not a demolition of the loop. On the logistic hold-map core, the undelayed equilibrium is already unstable, so annual review is unstable and the sampled equilibrium restabilises only at</w:t>
      </w:r>
      <w:r>
        <w:rPr>
          <w:rFonts w:ascii="Times New Roman" w:hAnsi="Times New Roman" w:cs="Times New Roman" w:eastAsia="Times New Roman"/>
          <w:sz w:val="24"/>
        </w:rPr>
        <w:t xml:space="preserve"> </w:t>
      </w:r>
      <m:oMath>
        <m:sSubSup>
          <m:e>
            <m:r>
              <m:t>T</m:t>
            </m:r>
          </m:e>
          <m:sub>
            <m:r>
              <m:t>r</m:t>
            </m:r>
          </m:sub>
          <m:sup>
            <m:r>
              <m:rPr>
                <m:sty m:val="p"/>
              </m:rPr>
              <m:t>N</m:t>
            </m:r>
            <m:r>
              <m:rPr>
                <m:sty m:val="p"/>
              </m:rPr>
              <m:t>S</m:t>
            </m:r>
          </m:sup>
        </m:sSubSup>
        <m:r>
          <m:rPr>
            <m:sty m:val="p"/>
          </m:rPr>
          <m:t>=</m:t>
        </m:r>
        <m:r>
          <m:t>47.54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on the stage-structured review map, annual review is stable at every tested response value, the anchovy-class window relocates to</w:t>
      </w:r>
      <w:r>
        <w:rPr>
          <w:rFonts w:ascii="Times New Roman" w:hAnsi="Times New Roman" w:cs="Times New Roman" w:eastAsia="Times New Roman"/>
          <w:sz w:val="24"/>
        </w:rPr>
        <w:t xml:space="preserve"> </w:t>
      </w:r>
      <m:oMath>
        <m:sSub>
          <m:e>
            <m:r>
              <m:t>T</m:t>
            </m:r>
          </m:e>
          <m:sub>
            <m:r>
              <m:t>r</m:t>
            </m:r>
          </m:sub>
        </m:sSub>
        <m:r>
          <m:rPr>
            <m:sty m:val="p"/>
          </m:rPr>
          <m:t>≈</m:t>
        </m:r>
        <m:r>
          <m:t>3</m:t>
        </m:r>
      </m:oMath>
      <w:r>
        <w:rPr>
          <w:rFonts w:ascii="Times New Roman" w:hAnsi="Times New Roman" w:cs="Times New Roman" w:eastAsia="Times New Roman"/>
          <w:sz w:val="24"/>
        </w:rPr>
        <w:t xml:space="preserve">–</w:t>
      </w:r>
      <m:oMath>
        <m:r>
          <m:t>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the sprat-class window to</w:t>
      </w:r>
      <w:r>
        <w:rPr>
          <w:rFonts w:ascii="Times New Roman" w:hAnsi="Times New Roman" w:cs="Times New Roman" w:eastAsia="Times New Roman"/>
          <w:sz w:val="24"/>
        </w:rPr>
        <w:t xml:space="preserve"> </w:t>
      </w:r>
      <m:oMath>
        <m:sSub>
          <m:e>
            <m:r>
              <m:t>T</m:t>
            </m:r>
          </m:e>
          <m:sub>
            <m:r>
              <m:t>r</m:t>
            </m:r>
          </m:sub>
        </m:sSub>
        <m:r>
          <m:rPr>
            <m:sty m:val="p"/>
          </m:rPr>
          <m:t>≈</m:t>
        </m:r>
        <m:r>
          <m:t>6</m:t>
        </m:r>
      </m:oMath>
      <w:r>
        <w:rPr>
          <w:rFonts w:ascii="Times New Roman" w:hAnsi="Times New Roman" w:cs="Times New Roman" w:eastAsia="Times New Roman"/>
          <w:sz w:val="24"/>
        </w:rPr>
        <w:t xml:space="preserve">–</w:t>
      </w:r>
      <m:oMath>
        <m:r>
          <m:t>12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robust to 30% multiplicative assessment error. Both statements are</w:t>
      </w:r>
      <w:r>
        <w:rPr>
          <w:rFonts w:ascii="Times New Roman" w:hAnsi="Times New Roman" w:cs="Times New Roman" w:eastAsia="Times New Roman"/>
          <w:sz w:val="24"/>
        </w:rPr>
        <w:t xml:space="preserve"> </w:t>
      </w:r>
      <m:oMath>
        <m:r>
          <m:rPr>
            <m:sty m:val="p"/>
          </m:rPr>
          <m:t>det</m:t>
        </m:r>
        <m:d>
          <m:dPr>
            <m:begChr m:val="("/>
            <m:endChr m:val=")"/>
            <m:sepChr m:val=""/>
            <m:grow/>
          </m:dPr>
          <m:e>
            <m:r>
              <m:t>M</m:t>
            </m:r>
            <m:r>
              <m:rPr>
                <m:sty m:val="p"/>
              </m:rPr>
              <m:t>−</m:t>
            </m:r>
            <m:sSup>
              <m:e>
                <m:r>
                  <m:t>e</m:t>
                </m:r>
              </m:e>
              <m:sup>
                <m:r>
                  <m:t>i</m:t>
                </m:r>
                <m:r>
                  <m:t>θ</m:t>
                </m:r>
              </m:sup>
            </m:sSup>
            <m:r>
              <m:t>I</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map to which they refer; neither transfers to the other operator. Two consequences follow. First, the institutional signal is carried by effort and quota utilisation (80–240% of the equilibrium effort), not by biomass (1–2% of the equilibrium stock); on decadal records the observable is the growth transient in effort after a review-cycle change. Second, no real small-pelagic system currently operates a responsive 3–4 yr review, so the window prediction is untested, not falsified; the corresponding qualitative test for slow-regenerating resources is whether a responsive multi-year plan, adjusted against measured change, produces large-amplitude extraction cycles that a frozen multi-year cap does not (§7).</w:t>
      </w:r>
    </w:p>
    <w:bookmarkEnd w:id="38"/>
    <w:bookmarkEnd w:id="39"/>
    <w:bookmarkStart w:id="47" w:name="X9a31978f0eb74a1882fa2855602ff7f960641ea"/>
    <w:p>
      <w:pPr>
        <w:pStyle w:val="Heading1"/>
        <w:spacing w:before="360" w:after="120" w:line="360" w:lineRule="auto"/>
        <w:ind w:firstLine="0" w:left="0"/>
        <w:jc w:val="left"/>
      </w:pPr>
      <w:r>
        <w:rPr>
          <w:rFonts w:ascii="Times New Roman" w:hAnsi="Times New Roman" w:cs="Times New Roman" w:eastAsia="Times New Roman"/>
          <w:b/>
          <w:sz w:val="28"/>
        </w:rPr>
        <w:t xml:space="preserve">4. Observation, implementation delay, and the epistemic layer</w:t>
      </w:r>
    </w:p>
    <w:bookmarkStart w:id="40" w:name="Xc5428ac746cd27daceb8db9d964e7723c1c36ee"/>
    <w:p>
      <w:pPr>
        <w:pStyle w:val="Heading2"/>
        <w:spacing w:before="240" w:after="120" w:line="360" w:lineRule="auto"/>
        <w:ind w:firstLine="0" w:left="0"/>
        <w:jc w:val="left"/>
      </w:pPr>
      <w:r>
        <w:rPr>
          <w:rFonts w:ascii="Times New Roman" w:hAnsi="Times New Roman" w:cs="Times New Roman" w:eastAsia="Times New Roman"/>
          <w:b/>
          <w:sz w:val="24"/>
        </w:rPr>
        <w:t xml:space="preserve">4.1 The observation-fibre certification limit</w:t>
      </w:r>
    </w:p>
    <w:p>
      <w:pPr>
        <w:pStyle w:val="FirstParagraph"/>
        <w:spacing w:line="360" w:lineRule="auto" w:after="120"/>
        <w:ind w:firstLine="720"/>
        <w:jc w:val="both"/>
      </w:pPr>
      <w:r>
        <w:rPr>
          <w:rFonts w:ascii="Times New Roman" w:hAnsi="Times New Roman" w:cs="Times New Roman" w:eastAsia="Times New Roman"/>
          <w:b/>
          <w:bCs/>
          <w:sz w:val="24"/>
        </w:rPr>
        <w:t xml:space="preserve">Theorem (observation-fibre certification).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set of admissible latent states,</w:t>
      </w:r>
      <w:r>
        <w:rPr>
          <w:rFonts w:ascii="Times New Roman" w:hAnsi="Times New Roman" w:cs="Times New Roman" w:eastAsia="Times New Roman"/>
          <w:sz w:val="24"/>
        </w:rPr>
        <w:t xml:space="preserve"> </w:t>
      </w:r>
      <m:oMath>
        <m:r>
          <m:rPr>
            <m:sty m:val="p"/>
            <m:scr m:val="script"/>
          </m:rPr>
          <m:t>O</m:t>
        </m:r>
        <m:r>
          <m:rPr>
            <m:sty m:val="p"/>
          </m:rPr>
          <m:t>:</m:t>
        </m:r>
        <m:r>
          <m:t>D</m:t>
        </m:r>
        <m:r>
          <m:rPr>
            <m:sty m:val="p"/>
          </m:rPr>
          <m:t>→</m:t>
        </m:r>
        <m:r>
          <m:rPr>
            <m:sty m:val="p"/>
            <m:scr m:val="script"/>
          </m:rPr>
          <m:t>Y</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observation map, and</w:t>
      </w:r>
      <w:r>
        <w:rPr>
          <w:rFonts w:ascii="Times New Roman" w:hAnsi="Times New Roman" w:cs="Times New Roman" w:eastAsia="Times New Roman"/>
          <w:sz w:val="24"/>
        </w:rPr>
        <w:t xml:space="preserve"> </w:t>
      </w:r>
      <m:oMath>
        <m:r>
          <m:t>K</m:t>
        </m:r>
        <m:r>
          <m:rPr>
            <m:sty m:val="p"/>
          </m:rPr>
          <m:t>⊆</m:t>
        </m:r>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safety set. A deterministic observation-only certificate</w:t>
      </w:r>
      <w:r>
        <w:rPr>
          <w:rFonts w:ascii="Times New Roman" w:hAnsi="Times New Roman" w:cs="Times New Roman" w:eastAsia="Times New Roman"/>
          <w:sz w:val="24"/>
        </w:rPr>
        <w:t xml:space="preserve"> </w:t>
      </w:r>
      <m:oMath>
        <m:r>
          <m:t>c</m:t>
        </m:r>
        <m:r>
          <m:rPr>
            <m:sty m:val="p"/>
          </m:rPr>
          <m:t>:</m:t>
        </m:r>
        <m:r>
          <m:rPr>
            <m:sty m:val="p"/>
            <m:scr m:val="script"/>
          </m:rPr>
          <m:t>Y</m:t>
        </m:r>
        <m:r>
          <m:rPr>
            <m:sty m:val="p"/>
          </m:rPr>
          <m:t>→</m:t>
        </m:r>
        <m:r>
          <m:rPr>
            <m:sty m:val="p"/>
          </m:rPr>
          <m:t>{</m:t>
        </m:r>
        <m:r>
          <m:t>0</m:t>
        </m:r>
        <m:r>
          <m:rPr>
            <m:sty m:val="p"/>
          </m:rPr>
          <m:t>,</m:t>
        </m:r>
        <m:r>
          <m:t>1</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c</m:t>
        </m:r>
        <m:d>
          <m:dPr>
            <m:begChr m:val="("/>
            <m:endChr m:val=")"/>
            <m:sepChr m:val=""/>
            <m:grow/>
          </m:dPr>
          <m:e>
            <m:r>
              <m:rPr>
                <m:sty m:val="p"/>
                <m:scr m:val="script"/>
              </m:rPr>
              <m:t>O</m:t>
            </m:r>
            <m:d>
              <m:dPr>
                <m:begChr m:val="("/>
                <m:endChr m:val=")"/>
                <m:sepChr m:val=""/>
                <m:grow/>
              </m:dPr>
              <m:e>
                <m:r>
                  <m:t>z</m:t>
                </m:r>
              </m:e>
            </m:d>
          </m:e>
        </m:d>
        <m:r>
          <m:rPr>
            <m:sty m:val="p"/>
          </m:rPr>
          <m:t>=</m:t>
        </m:r>
        <m:sSub>
          <m:e>
            <m:r>
              <m:rPr>
                <m:sty m:val="b"/>
              </m:rPr>
              <m:t>1</m:t>
            </m:r>
          </m:e>
          <m:sub>
            <m:r>
              <m:t>K</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m:oMath>
        <m:r>
          <m:t>z</m:t>
        </m:r>
        <m:r>
          <m:rPr>
            <m:sty m:val="p"/>
          </m:rPr>
          <m:t>∈</m:t>
        </m:r>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exists if and only if membership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 on every observation fibre:</w:t>
      </w:r>
      <w:r>
        <w:rPr>
          <w:rFonts w:ascii="Times New Roman" w:hAnsi="Times New Roman" w:cs="Times New Roman" w:eastAsia="Times New Roman"/>
          <w:sz w:val="24"/>
        </w:rPr>
        <w:t xml:space="preserve"> </w:t>
      </w:r>
      <m:oMath>
        <m:r>
          <m:rPr>
            <m:sty m:val="p"/>
            <m:scr m:val="script"/>
          </m:rPr>
          <m:t>O</m:t>
        </m:r>
        <m:d>
          <m:dPr>
            <m:begChr m:val="("/>
            <m:endChr m:val=")"/>
            <m:sepChr m:val=""/>
            <m:grow/>
          </m:dPr>
          <m:e>
            <m:sSub>
              <m:e>
                <m:r>
                  <m:t>z</m:t>
                </m:r>
              </m:e>
              <m:sub>
                <m:r>
                  <m:t>1</m:t>
                </m:r>
              </m:sub>
            </m:sSub>
          </m:e>
        </m:d>
        <m:r>
          <m:rPr>
            <m:sty m:val="p"/>
          </m:rPr>
          <m:t>=</m:t>
        </m:r>
        <m:r>
          <m:rPr>
            <m:sty m:val="p"/>
            <m:scr m:val="script"/>
          </m:rPr>
          <m:t>O</m:t>
        </m:r>
        <m:d>
          <m:dPr>
            <m:begChr m:val="("/>
            <m:endChr m:val=")"/>
            <m:sepChr m:val=""/>
            <m:grow/>
          </m:dPr>
          <m:e>
            <m:sSub>
              <m:e>
                <m:r>
                  <m:t>z</m:t>
                </m:r>
              </m:e>
              <m:sub>
                <m:r>
                  <m:t>2</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implies</w:t>
      </w:r>
      <w:r>
        <w:rPr>
          <w:rFonts w:ascii="Times New Roman" w:hAnsi="Times New Roman" w:cs="Times New Roman" w:eastAsia="Times New Roman"/>
          <w:sz w:val="24"/>
        </w:rPr>
        <w:t xml:space="preserve"> </w:t>
      </w:r>
      <m:oMath>
        <m:sSub>
          <m:e>
            <m:r>
              <m:rPr>
                <m:sty m:val="b"/>
              </m:rPr>
              <m:t>1</m:t>
            </m:r>
          </m:e>
          <m:sub>
            <m:r>
              <m:t>K</m:t>
            </m:r>
          </m:sub>
        </m:sSub>
        <m:d>
          <m:dPr>
            <m:begChr m:val="("/>
            <m:endChr m:val=")"/>
            <m:sepChr m:val=""/>
            <m:grow/>
          </m:dPr>
          <m:e>
            <m:sSub>
              <m:e>
                <m:r>
                  <m:t>z</m:t>
                </m:r>
              </m:e>
              <m:sub>
                <m:r>
                  <m:t>1</m:t>
                </m:r>
              </m:sub>
            </m:sSub>
          </m:e>
        </m:d>
        <m:r>
          <m:rPr>
            <m:sty m:val="p"/>
          </m:rPr>
          <m:t>=</m:t>
        </m:r>
        <m:sSub>
          <m:e>
            <m:r>
              <m:rPr>
                <m:sty m:val="b"/>
              </m:rPr>
              <m:t>1</m:t>
            </m:r>
          </m:e>
          <m:sub>
            <m:r>
              <m:t>K</m:t>
            </m:r>
          </m:sub>
        </m:sSub>
        <m:d>
          <m:dPr>
            <m:begChr m:val="("/>
            <m:endChr m:val=")"/>
            <m:sepChr m:val=""/>
            <m:grow/>
          </m:dPr>
          <m:e>
            <m:sSub>
              <m:e>
                <m:r>
                  <m:t>z</m:t>
                </m:r>
              </m:e>
              <m:sub>
                <m:r>
                  <m:t>2</m:t>
                </m:r>
              </m:sub>
            </m:sSub>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reproduced).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exists and</w:t>
      </w:r>
      <w:r>
        <w:rPr>
          <w:rFonts w:ascii="Times New Roman" w:hAnsi="Times New Roman" w:cs="Times New Roman" w:eastAsia="Times New Roman"/>
          <w:sz w:val="24"/>
        </w:rPr>
        <w:t xml:space="preserve"> </w:t>
      </w:r>
      <m:oMath>
        <m:r>
          <m:rPr>
            <m:sty m:val="p"/>
            <m:scr m:val="script"/>
          </m:rPr>
          <m:t>O</m:t>
        </m:r>
        <m:d>
          <m:dPr>
            <m:begChr m:val="("/>
            <m:endChr m:val=")"/>
            <m:sepChr m:val=""/>
            <m:grow/>
          </m:dPr>
          <m:e>
            <m:sSub>
              <m:e>
                <m:r>
                  <m:t>z</m:t>
                </m:r>
              </m:e>
              <m:sub>
                <m:r>
                  <m:t>1</m:t>
                </m:r>
              </m:sub>
            </m:sSub>
          </m:e>
        </m:d>
        <m:r>
          <m:rPr>
            <m:sty m:val="p"/>
          </m:rPr>
          <m:t>=</m:t>
        </m:r>
        <m:r>
          <m:rPr>
            <m:sty m:val="p"/>
            <m:scr m:val="script"/>
          </m:rPr>
          <m:t>O</m:t>
        </m:r>
        <m:d>
          <m:dPr>
            <m:begChr m:val="("/>
            <m:endChr m:val=")"/>
            <m:sepChr m:val=""/>
            <m:grow/>
          </m:dPr>
          <m:e>
            <m:sSub>
              <m:e>
                <m:r>
                  <m:t>z</m:t>
                </m:r>
              </m:e>
              <m:sub>
                <m:r>
                  <m:t>2</m:t>
                </m:r>
              </m:sub>
            </m:sSub>
          </m:e>
        </m:d>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rPr>
                <m:sty m:val="b"/>
              </m:rPr>
              <m:t>1</m:t>
            </m:r>
          </m:e>
          <m:sub>
            <m:r>
              <m:t>K</m:t>
            </m:r>
          </m:sub>
        </m:sSub>
        <m:d>
          <m:dPr>
            <m:begChr m:val="("/>
            <m:endChr m:val=")"/>
            <m:sepChr m:val=""/>
            <m:grow/>
          </m:dPr>
          <m:e>
            <m:sSub>
              <m:e>
                <m:r>
                  <m:t>z</m:t>
                </m:r>
              </m:e>
              <m:sub>
                <m:r>
                  <m:t>1</m:t>
                </m:r>
              </m:sub>
            </m:sSub>
          </m:e>
        </m:d>
        <m:r>
          <m:rPr>
            <m:sty m:val="p"/>
          </m:rPr>
          <m:t>=</m:t>
        </m:r>
        <m:r>
          <m:t>c</m:t>
        </m:r>
        <m:d>
          <m:dPr>
            <m:begChr m:val="("/>
            <m:endChr m:val=")"/>
            <m:sepChr m:val=""/>
            <m:grow/>
          </m:dPr>
          <m:e>
            <m:r>
              <m:rPr>
                <m:sty m:val="p"/>
                <m:scr m:val="script"/>
              </m:rPr>
              <m:t>O</m:t>
            </m:r>
            <m:d>
              <m:dPr>
                <m:begChr m:val="("/>
                <m:endChr m:val=")"/>
                <m:sepChr m:val=""/>
                <m:grow/>
              </m:dPr>
              <m:e>
                <m:sSub>
                  <m:e>
                    <m:r>
                      <m:t>z</m:t>
                    </m:r>
                  </m:e>
                  <m:sub>
                    <m:r>
                      <m:t>1</m:t>
                    </m:r>
                  </m:sub>
                </m:sSub>
              </m:e>
            </m:d>
          </m:e>
        </m:d>
        <m:r>
          <m:rPr>
            <m:sty m:val="p"/>
          </m:rPr>
          <m:t>=</m:t>
        </m:r>
        <m:r>
          <m:t>c</m:t>
        </m:r>
        <m:d>
          <m:dPr>
            <m:begChr m:val="("/>
            <m:endChr m:val=")"/>
            <m:sepChr m:val=""/>
            <m:grow/>
          </m:dPr>
          <m:e>
            <m:r>
              <m:rPr>
                <m:sty m:val="p"/>
                <m:scr m:val="script"/>
              </m:rPr>
              <m:t>O</m:t>
            </m:r>
            <m:d>
              <m:dPr>
                <m:begChr m:val="("/>
                <m:endChr m:val=")"/>
                <m:sepChr m:val=""/>
                <m:grow/>
              </m:dPr>
              <m:e>
                <m:sSub>
                  <m:e>
                    <m:r>
                      <m:t>z</m:t>
                    </m:r>
                  </m:e>
                  <m:sub>
                    <m:r>
                      <m:t>2</m:t>
                    </m:r>
                  </m:sub>
                </m:sSub>
              </m:e>
            </m:d>
          </m:e>
        </m:d>
        <m:r>
          <m:rPr>
            <m:sty m:val="p"/>
          </m:rPr>
          <m:t>=</m:t>
        </m:r>
        <m:sSub>
          <m:e>
            <m:r>
              <m:rPr>
                <m:sty m:val="b"/>
              </m:rPr>
              <m:t>1</m:t>
            </m:r>
          </m:e>
          <m:sub>
            <m:r>
              <m:t>K</m:t>
            </m:r>
          </m:sub>
        </m:sSub>
        <m:d>
          <m:dPr>
            <m:begChr m:val="("/>
            <m:endChr m:val=")"/>
            <m:sepChr m:val=""/>
            <m:grow/>
          </m:dPr>
          <m:e>
            <m:sSub>
              <m:e>
                <m:r>
                  <m:t>z</m:t>
                </m:r>
              </m:e>
              <m:sub>
                <m:r>
                  <m:t>2</m:t>
                </m:r>
              </m:sub>
            </m:sSub>
          </m:e>
        </m:d>
      </m:oMath>
      <w:r>
        <w:rPr>
          <w:rFonts w:ascii="Times New Roman" w:hAnsi="Times New Roman" w:cs="Times New Roman" w:eastAsia="Times New Roman"/>
          <w:sz w:val="24"/>
        </w:rPr>
        <w:t xml:space="preserve">. Conversely, under fibre constancy define</w:t>
      </w:r>
      <w:r>
        <w:rPr>
          <w:rFonts w:ascii="Times New Roman" w:hAnsi="Times New Roman" w:cs="Times New Roman" w:eastAsia="Times New Roman"/>
          <w:sz w:val="24"/>
        </w:rPr>
        <w:t xml:space="preserve"> </w:t>
      </w:r>
      <m:oMath>
        <m:r>
          <m:t>c</m:t>
        </m:r>
        <m:d>
          <m:dPr>
            <m:begChr m:val="("/>
            <m:endChr m:val=")"/>
            <m:sepChr m:val=""/>
            <m:grow/>
          </m:dPr>
          <m:e>
            <m:r>
              <m:t>y</m:t>
            </m:r>
          </m:e>
        </m:d>
        <m:r>
          <m:rPr>
            <m:sty m:val="p"/>
          </m:rPr>
          <m:t>=</m:t>
        </m:r>
        <m:sSub>
          <m:e>
            <m:r>
              <m:rPr>
                <m:sty m:val="b"/>
              </m:rPr>
              <m:t>1</m:t>
            </m:r>
          </m:e>
          <m:sub>
            <m:r>
              <m:t>K</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any</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scr m:val="script"/>
          </m:rPr>
          <m:t>O</m:t>
        </m:r>
        <m:d>
          <m:dPr>
            <m:begChr m:val="("/>
            <m:endChr m:val=")"/>
            <m:sepChr m:val=""/>
            <m:grow/>
          </m:dPr>
          <m:e>
            <m:r>
              <m:t>z</m:t>
            </m:r>
          </m:e>
        </m:d>
        <m:r>
          <m:rPr>
            <m:sty m:val="p"/>
          </m:rPr>
          <m:t>=</m:t>
        </m:r>
        <m:r>
          <m:t>y</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well defined by fibre constancy — and arbitrarily off the image; then</w:t>
      </w:r>
      <w:r>
        <w:rPr>
          <w:rFonts w:ascii="Times New Roman" w:hAnsi="Times New Roman" w:cs="Times New Roman" w:eastAsia="Times New Roman"/>
          <w:sz w:val="24"/>
        </w:rPr>
        <w:t xml:space="preserve"> </w:t>
      </w:r>
      <m:oMath>
        <m:r>
          <m:t>c</m:t>
        </m:r>
        <m:d>
          <m:dPr>
            <m:begChr m:val="("/>
            <m:endChr m:val=")"/>
            <m:sepChr m:val=""/>
            <m:grow/>
          </m:dPr>
          <m:e>
            <m:r>
              <m:rPr>
                <m:sty m:val="p"/>
                <m:scr m:val="script"/>
              </m:rPr>
              <m:t>O</m:t>
            </m:r>
            <m:d>
              <m:dPr>
                <m:begChr m:val="("/>
                <m:endChr m:val=")"/>
                <m:sepChr m:val=""/>
                <m:grow/>
              </m:dPr>
              <m:e>
                <m:r>
                  <m:t>z</m:t>
                </m:r>
              </m:e>
            </m:d>
          </m:e>
        </m:d>
        <m:r>
          <m:rPr>
            <m:sty m:val="p"/>
          </m:rPr>
          <m:t>=</m:t>
        </m:r>
        <m:sSub>
          <m:e>
            <m:r>
              <m:rPr>
                <m:sty m:val="b"/>
              </m:rPr>
              <m:t>1</m:t>
            </m:r>
          </m:e>
          <m:sub>
            <m:r>
              <m:t>K</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w:t>
      </w:r>
    </w:p>
    <w:p>
      <w:pPr>
        <w:pStyle w:val="BodyText"/>
        <w:spacing w:line="360" w:lineRule="auto" w:after="120"/>
        <w:ind w:firstLine="720"/>
        <w:jc w:val="both"/>
      </w:pPr>
      <w:r>
        <w:rPr>
          <w:rFonts w:ascii="Times New Roman" w:hAnsi="Times New Roman" w:cs="Times New Roman" w:eastAsia="Times New Roman"/>
          <w:sz w:val="24"/>
        </w:rPr>
        <w:t xml:space="preserve">The theorem concerns current latent-state membership certification only. It does not imply that observation-based robust control is impossible whenever a fibre contains distinct states: those states may admit a common safe action, and a dynamic impossibility theorem must show incompatibility of every admissible causal policy over observationally indistinguishable histories. The canonical statement of the same criterion belongs to the theorem-atlas companion; the statement above is the predecessor, cited at the seam. Its identification content is direct: aggregate-only certification misclassifies component safety exactly when the operational aggregate’s fibres cross component-safety boundaries — the observation-aggregation hypothesis of §5.2 tests precisely this.</w:t>
      </w:r>
    </w:p>
    <w:bookmarkEnd w:id="40"/>
    <w:bookmarkStart w:id="41" w:name="information-monotonicity"/>
    <w:p>
      <w:pPr>
        <w:pStyle w:val="Heading2"/>
        <w:spacing w:before="240" w:after="120" w:line="360" w:lineRule="auto"/>
        <w:ind w:firstLine="0" w:left="0"/>
        <w:jc w:val="left"/>
      </w:pPr>
      <w:r>
        <w:rPr>
          <w:rFonts w:ascii="Times New Roman" w:hAnsi="Times New Roman" w:cs="Times New Roman" w:eastAsia="Times New Roman"/>
          <w:b/>
          <w:sz w:val="24"/>
        </w:rPr>
        <w:t xml:space="preserve">4.2 Information monotonicity</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(information monotonicity of recovery 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sSub>
          <m:e>
            <m:r>
              <m:rPr>
                <m:sty m:val="p"/>
                <m:scr m:val="script"/>
              </m:rPr>
              <m:t>I</m:t>
            </m:r>
          </m:e>
          <m:sub>
            <m:r>
              <m:t>1</m:t>
            </m:r>
          </m:sub>
        </m:sSub>
        <m:r>
          <m:rPr>
            <m:sty m:val="p"/>
          </m:rPr>
          <m:t>≽</m:t>
        </m:r>
        <m:sSub>
          <m:e>
            <m:r>
              <m:rPr>
                <m:sty m:val="p"/>
                <m:scr m:val="script"/>
              </m:rPr>
              <m:t>I</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more informative), then</w:t>
      </w:r>
      <w:r>
        <w:rPr>
          <w:rFonts w:ascii="Times New Roman" w:hAnsi="Times New Roman" w:cs="Times New Roman" w:eastAsia="Times New Roman"/>
          <w:sz w:val="24"/>
        </w:rPr>
        <w:t xml:space="preserve"> </w:t>
      </w:r>
      <m:oMath>
        <m:sSubSup>
          <m:e>
            <m:r>
              <m:t>τ</m:t>
            </m:r>
          </m:e>
          <m:sub>
            <m:r>
              <m:rPr>
                <m:sty m:val="p"/>
                <m:scr m:val="script"/>
              </m:rPr>
              <m:t>E</m:t>
            </m:r>
          </m:sub>
          <m:sup>
            <m:sSub>
              <m:e>
                <m:r>
                  <m:rPr>
                    <m:sty m:val="p"/>
                    <m:scr m:val="script"/>
                  </m:rPr>
                  <m:t>I</m:t>
                </m:r>
              </m:e>
              <m:sub>
                <m:r>
                  <m:t>1</m:t>
                </m:r>
              </m:sub>
            </m:sSub>
          </m:sup>
        </m:sSubSup>
        <m:d>
          <m:dPr>
            <m:begChr m:val="("/>
            <m:endChr m:val=")"/>
            <m:sepChr m:val=""/>
            <m:grow/>
          </m:dPr>
          <m:e>
            <m:r>
              <m:t>B</m:t>
            </m:r>
          </m:e>
        </m:d>
        <m:r>
          <m:rPr>
            <m:sty m:val="p"/>
          </m:rPr>
          <m:t>≤</m:t>
        </m:r>
        <m:sSubSup>
          <m:e>
            <m:r>
              <m:t>τ</m:t>
            </m:r>
          </m:e>
          <m:sub>
            <m:r>
              <m:rPr>
                <m:sty m:val="p"/>
                <m:scr m:val="script"/>
              </m:rPr>
              <m:t>E</m:t>
            </m:r>
          </m:sub>
          <m:sup>
            <m:sSub>
              <m:e>
                <m:r>
                  <m:rPr>
                    <m:sty m:val="p"/>
                    <m:scr m:val="script"/>
                  </m:rPr>
                  <m:t>I</m:t>
                </m:r>
              </m:e>
              <m:sub>
                <m:r>
                  <m:t>2</m:t>
                </m:r>
              </m:sub>
            </m:sSub>
          </m:sup>
        </m:sSubSup>
        <m:d>
          <m:dPr>
            <m:begChr m:val="("/>
            <m:endChr m:val=")"/>
            <m:sepChr m:val=""/>
            <m:grow/>
          </m:dPr>
          <m:e>
            <m:r>
              <m:t>B</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whenever both are compared from corresponding initial information states.</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reproduced).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Any policy implementable under the coarser structure</w:t>
      </w:r>
      <w:r>
        <w:rPr>
          <w:rFonts w:ascii="Times New Roman" w:hAnsi="Times New Roman" w:cs="Times New Roman" w:eastAsia="Times New Roman"/>
          <w:sz w:val="24"/>
        </w:rPr>
        <w:t xml:space="preserve"> </w:t>
      </w:r>
      <m:oMath>
        <m:sSub>
          <m:e>
            <m:r>
              <m:rPr>
                <m:sty m:val="p"/>
                <m:scr m:val="script"/>
              </m:rPr>
              <m:t>I</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implementable under the finer structure</w:t>
      </w:r>
      <w:r>
        <w:rPr>
          <w:rFonts w:ascii="Times New Roman" w:hAnsi="Times New Roman" w:cs="Times New Roman" w:eastAsia="Times New Roman"/>
          <w:sz w:val="24"/>
        </w:rPr>
        <w:t xml:space="preserve"> </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applying the garbling map; hence the optimal worst-case recovery time under</w:t>
      </w:r>
      <w:r>
        <w:rPr>
          <w:rFonts w:ascii="Times New Roman" w:hAnsi="Times New Roman" w:cs="Times New Roman" w:eastAsia="Times New Roman"/>
          <w:sz w:val="24"/>
        </w:rPr>
        <w:t xml:space="preserve"> </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 larger. ∎</w:t>
      </w:r>
    </w:p>
    <w:p>
      <w:pPr>
        <w:pStyle w:val="BodyText"/>
        <w:spacing w:line="360" w:lineRule="auto" w:after="120"/>
        <w:ind w:firstLine="720"/>
        <w:jc w:val="both"/>
      </w:pPr>
      <w:r>
        <w:rPr>
          <w:rFonts w:ascii="Times New Roman" w:hAnsi="Times New Roman" w:cs="Times New Roman" w:eastAsia="Times New Roman"/>
          <w:sz w:val="24"/>
        </w:rPr>
        <w:t xml:space="preserve">The companion statement for kernels is the information-refinement monotonicity: if</w:t>
      </w:r>
      <w:r>
        <w:rPr>
          <w:rFonts w:ascii="Times New Roman" w:hAnsi="Times New Roman" w:cs="Times New Roman" w:eastAsia="Times New Roman"/>
          <w:sz w:val="24"/>
        </w:rPr>
        <w:t xml:space="preserve"> </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causally refines</w:t>
      </w:r>
      <w:r>
        <w:rPr>
          <w:rFonts w:ascii="Times New Roman" w:hAnsi="Times New Roman" w:cs="Times New Roman" w:eastAsia="Times New Roman"/>
          <w:sz w:val="24"/>
        </w:rPr>
        <w:t xml:space="preserve"> </w:t>
      </w:r>
      <m:oMath>
        <m:sSub>
          <m:e>
            <m:r>
              <m:rPr>
                <m:sty m:val="p"/>
                <m:scr m:val="script"/>
              </m:rPr>
              <m:t>I</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dynamics, authority, implementation, uncertainty class, and safety constraints are unchanged, then</w:t>
      </w:r>
      <w:r>
        <w:rPr>
          <w:rFonts w:ascii="Times New Roman" w:hAnsi="Times New Roman" w:cs="Times New Roman" w:eastAsia="Times New Roman"/>
          <w:sz w:val="24"/>
        </w:rPr>
        <w:t xml:space="preserve"> </w:t>
      </w:r>
      <m:oMath>
        <m:sSubSup>
          <m:e>
            <m:r>
              <m:rPr>
                <m:sty m:val="p"/>
              </m:rPr>
              <m:t>IViab</m:t>
            </m:r>
          </m:e>
          <m:sub>
            <m:r>
              <m:t>T</m:t>
            </m:r>
          </m:sub>
          <m:sup>
            <m:sSub>
              <m:e>
                <m:r>
                  <m:rPr>
                    <m:sty m:val="p"/>
                    <m:scr m:val="script"/>
                  </m:rPr>
                  <m:t>I</m:t>
                </m:r>
              </m:e>
              <m:sub>
                <m:r>
                  <m:t>2</m:t>
                </m:r>
              </m:sub>
            </m:sSub>
          </m:sup>
        </m:sSubSup>
        <m:r>
          <m:rPr>
            <m:sty m:val="p"/>
          </m:rPr>
          <m:t>⊆</m:t>
        </m:r>
        <m:sSubSup>
          <m:e>
            <m:r>
              <m:rPr>
                <m:sty m:val="p"/>
              </m:rPr>
              <m:t>IViab</m:t>
            </m:r>
          </m:e>
          <m:sub>
            <m:r>
              <m:t>T</m:t>
            </m:r>
          </m:sub>
          <m:sup>
            <m:sSub>
              <m:e>
                <m:r>
                  <m:rPr>
                    <m:sty m:val="p"/>
                    <m:scr m:val="script"/>
                  </m:rPr>
                  <m:t>I</m:t>
                </m:r>
              </m:e>
              <m:sub>
                <m:r>
                  <m:t>1</m:t>
                </m:r>
              </m:sub>
            </m:sSub>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controller with finer information can ignore it and implement a coarser-information strategy. The inclusion requires the two kernels represented in a common physical initial-state space or a declared map between belief-state spaces; the fuller information-refinement theorem of the primary source is the canonical form (the atlas companion owns it). For the sampled-governance layer these are the formal counterparts of the review cadence question: coarsening the information structure (longer</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delayed assessments) can only shrink what is achievable, and by exactly how much is a kernel-level question, not a parameter drift.</w:t>
      </w:r>
    </w:p>
    <w:bookmarkEnd w:id="41"/>
    <w:bookmarkStart w:id="42" w:name="informational-failure-modes"/>
    <w:p>
      <w:pPr>
        <w:pStyle w:val="Heading2"/>
        <w:spacing w:before="240" w:after="120" w:line="360" w:lineRule="auto"/>
        <w:ind w:firstLine="0" w:left="0"/>
        <w:jc w:val="left"/>
      </w:pPr>
      <w:r>
        <w:rPr>
          <w:rFonts w:ascii="Times New Roman" w:hAnsi="Times New Roman" w:cs="Times New Roman" w:eastAsia="Times New Roman"/>
          <w:b/>
          <w:sz w:val="24"/>
        </w:rPr>
        <w:t xml:space="preserve">4.3 Informational failure modes</w:t>
      </w:r>
    </w:p>
    <w:p>
      <w:pPr>
        <w:pStyle w:val="FirstParagraph"/>
        <w:spacing w:line="360" w:lineRule="auto" w:after="120"/>
        <w:ind w:firstLine="720"/>
        <w:jc w:val="both"/>
      </w:pPr>
      <w:r>
        <w:rPr>
          <w:rFonts w:ascii="Times New Roman" w:hAnsi="Times New Roman" w:cs="Times New Roman" w:eastAsia="Times New Roman"/>
          <w:sz w:val="24"/>
        </w:rPr>
        <w:t xml:space="preserve">Two constructions delimit what observation structure can and cannot do, both stated with the observation and epistemic family in the atlas and read here for their empirical content.</w:t>
      </w:r>
    </w:p>
    <w:p>
      <w:pPr>
        <w:pStyle w:val="BodyText"/>
        <w:spacing w:line="360" w:lineRule="auto" w:after="120"/>
        <w:ind w:firstLine="720"/>
        <w:jc w:val="both"/>
      </w:pPr>
      <w:r>
        <w:rPr>
          <w:rFonts w:ascii="Times New Roman" w:hAnsi="Times New Roman" w:cs="Times New Roman" w:eastAsia="Times New Roman"/>
          <w:b/>
          <w:bCs/>
          <w:sz w:val="24"/>
        </w:rPr>
        <w:t xml:space="preserve">Example (hidden-mode conflict).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 an unobserved parameter satisfy</w:t>
      </w:r>
      <w:r>
        <w:rPr>
          <w:rFonts w:ascii="Times New Roman" w:hAnsi="Times New Roman" w:cs="Times New Roman" w:eastAsia="Times New Roman"/>
          <w:sz w:val="24"/>
        </w:rPr>
        <w:t xml:space="preserve"> </w:t>
      </w:r>
      <m:oMath>
        <m:r>
          <m:t>θ</m:t>
        </m:r>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acc>
          <m:accPr>
            <m:chr m:val="̇"/>
          </m:accPr>
          <m:e>
            <m:r>
              <m:t>z</m:t>
            </m:r>
          </m:e>
        </m:acc>
        <m:r>
          <m:rPr>
            <m:sty m:val="p"/>
          </m:rPr>
          <m:t>=</m:t>
        </m:r>
        <m:r>
          <m:t>θ</m:t>
        </m:r>
        <m:r>
          <m:t>u</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θ</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w:t>
      </w:r>
      <w:r>
        <w:rPr>
          <w:rFonts w:ascii="Times New Roman" w:hAnsi="Times New Roman" w:cs="Times New Roman" w:eastAsia="Times New Roman"/>
          <w:sz w:val="24"/>
        </w:rPr>
        <w:t xml:space="preserve"> </w:t>
      </w:r>
      <m:oMath>
        <m:r>
          <m:t>u</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safe; if</w:t>
      </w:r>
      <w:r>
        <w:rPr>
          <w:rFonts w:ascii="Times New Roman" w:hAnsi="Times New Roman" w:cs="Times New Roman" w:eastAsia="Times New Roman"/>
          <w:sz w:val="24"/>
        </w:rPr>
        <w:t xml:space="preserve"> </w:t>
      </w:r>
      <m:oMath>
        <m:r>
          <m:t>θ</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w:t>
      </w:r>
      <w:r>
        <w:rPr>
          <w:rFonts w:ascii="Times New Roman" w:hAnsi="Times New Roman" w:cs="Times New Roman" w:eastAsia="Times New Roman"/>
          <w:sz w:val="24"/>
        </w:rPr>
        <w:t xml:space="preserve"> </w:t>
      </w:r>
      <m:oMath>
        <m:r>
          <m:t>u</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safe. Both states are individually robustly viable, but</w:t>
      </w:r>
      <w:r>
        <w:rPr>
          <w:rFonts w:ascii="Times New Roman" w:hAnsi="Times New Roman" w:cs="Times New Roman" w:eastAsia="Times New Roman"/>
          <w:sz w:val="24"/>
        </w:rPr>
        <w:t xml:space="preserve"> </w:t>
      </w:r>
      <m:oMath>
        <m:r>
          <m:t>B</m:t>
        </m:r>
        <m:r>
          <m:rPr>
            <m:sty m:val="p"/>
          </m:rPr>
          <m:t>=</m:t>
        </m:r>
        <m:r>
          <m:rPr>
            <m:sty m:val="p"/>
          </m:rPr>
          <m:t>{</m:t>
        </m:r>
        <m:d>
          <m:dPr>
            <m:begChr m:val="("/>
            <m:endChr m:val=")"/>
            <m:sepChr m:val=""/>
            <m:grow/>
          </m:dPr>
          <m:e>
            <m:r>
              <m:t>0</m:t>
            </m:r>
            <m:r>
              <m:rPr>
                <m:sty m:val="p"/>
              </m:rPr>
              <m:t>,</m:t>
            </m:r>
            <m:r>
              <m:rPr>
                <m:sty m:val="p"/>
              </m:rPr>
              <m:t>+</m:t>
            </m:r>
            <m:r>
              <m:t>1</m:t>
            </m:r>
          </m:e>
        </m:d>
        <m:r>
          <m:rPr>
            <m:sty m:val="p"/>
          </m:rPr>
          <m:t>,</m:t>
        </m:r>
        <m:d>
          <m:dPr>
            <m:begChr m:val="("/>
            <m:endChr m:val=")"/>
            <m:sepChr m:val=""/>
            <m:grow/>
          </m:dPr>
          <m:e>
            <m:r>
              <m:t>0</m:t>
            </m:r>
            <m:r>
              <m:rPr>
                <m:sty m:val="p"/>
              </m:rPr>
              <m:t>,</m:t>
            </m:r>
            <m:r>
              <m:rPr>
                <m:sty m:val="p"/>
              </m:rPr>
              <m:t>−</m:t>
            </m:r>
            <m:r>
              <m:t>1</m:t>
            </m:r>
          </m:e>
        </m:d>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admits no common safe action, so</w:t>
      </w:r>
      <w:r>
        <w:rPr>
          <w:rFonts w:ascii="Times New Roman" w:hAnsi="Times New Roman" w:cs="Times New Roman" w:eastAsia="Times New Roman"/>
          <w:sz w:val="24"/>
        </w:rPr>
        <w:t xml:space="preserve"> </w:t>
      </w:r>
      <m:oMath>
        <m:r>
          <m:t>B</m:t>
        </m:r>
        <m:r>
          <m:rPr>
            <m:sty m:val="p"/>
          </m:rPr>
          <m:t>∉</m:t>
        </m:r>
        <m:r>
          <m:rPr>
            <m:sty m:val="p"/>
          </m:rPr>
          <m:t>ERViab</m:t>
        </m:r>
      </m:oMath>
      <w:r>
        <w:rPr>
          <w:rFonts w:ascii="Times New Roman" w:hAnsi="Times New Roman" w:cs="Times New Roman" w:eastAsia="Times New Roman"/>
          <w:sz w:val="24"/>
        </w:rPr>
        <w:t xml:space="preserve">. This is a purely informational failure — no stochasticity or estimation quality is involved — and it is an impossibility witness for common-action viability, not a positive specialisation.</w:t>
      </w:r>
    </w:p>
    <w:p>
      <w:pPr>
        <w:pStyle w:val="BodyText"/>
        <w:spacing w:line="360" w:lineRule="auto" w:after="120"/>
        <w:ind w:firstLine="720"/>
        <w:jc w:val="both"/>
      </w:pPr>
      <w:r>
        <w:rPr>
          <w:rFonts w:ascii="Times New Roman" w:hAnsi="Times New Roman" w:cs="Times New Roman" w:eastAsia="Times New Roman"/>
          <w:b/>
          <w:bCs/>
          <w:sz w:val="24"/>
        </w:rPr>
        <w:t xml:space="preserve">Theorem (delayed-information obstruction).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every possible action at belief</w:t>
      </w:r>
      <w:r>
        <w:rPr>
          <w:rFonts w:ascii="Times New Roman" w:hAnsi="Times New Roman" w:cs="Times New Roman" w:eastAsia="Times New Roman"/>
          <w:sz w:val="24"/>
        </w:rPr>
        <w:t xml:space="preserve"> </w:t>
      </w:r>
      <m:oMath>
        <m:sSub>
          <m:e>
            <m:r>
              <m:t>B</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allows a disturbance and a compatible state to reach a locally nonviable boundary point before the next informative observation time</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t>B</m:t>
            </m:r>
          </m:e>
          <m:sub>
            <m:r>
              <m:t>0</m:t>
            </m:r>
          </m:sub>
        </m:sSub>
        <m:r>
          <m:rPr>
            <m:sty m:val="p"/>
          </m:rPr>
          <m:t>∉</m:t>
        </m:r>
        <m:r>
          <m:rPr>
            <m:sty m:val="p"/>
          </m:rPr>
          <m:t>ERViab</m:t>
        </m:r>
      </m:oMath>
      <w:r>
        <w:rPr>
          <w:rFonts w:ascii="Times New Roman" w:hAnsi="Times New Roman" w:cs="Times New Roman" w:eastAsia="Times New Roman"/>
          <w:sz w:val="24"/>
        </w:rPr>
        <w:t xml:space="preserve">. A sufficient condition is the existence of a constraint function</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ε</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rPr>
                <m:sty m:val="p"/>
              </m:rPr>
              <m:t>inf</m:t>
            </m:r>
          </m:e>
          <m:sub>
            <m:r>
              <m:t>x</m:t>
            </m:r>
            <m:r>
              <m:rPr>
                <m:sty m:val="p"/>
              </m:rPr>
              <m:t>∈</m:t>
            </m:r>
            <m:sSub>
              <m:e>
                <m:r>
                  <m:t>B</m:t>
                </m:r>
              </m:e>
              <m:sub>
                <m:r>
                  <m:t>t</m:t>
                </m:r>
              </m:sub>
            </m:sSub>
          </m:sub>
        </m:sSub>
        <m:sSub>
          <m:e>
            <m:r>
              <m:rPr>
                <m:sty m:val="p"/>
              </m:rPr>
              <m:t>inf</m:t>
            </m:r>
          </m:e>
          <m:sub>
            <m:r>
              <m:t>d</m:t>
            </m:r>
          </m:sub>
        </m:sSub>
        <m:sSup>
          <m:e>
            <m:r>
              <m:t>D</m:t>
            </m:r>
          </m:e>
          <m:sup>
            <m:r>
              <m:rPr>
                <m:sty m:val="p"/>
              </m:rPr>
              <m:t>+</m:t>
            </m:r>
          </m:sup>
        </m:sSup>
        <m:r>
          <m:t>q</m:t>
        </m:r>
        <m:d>
          <m:dPr>
            <m:begChr m:val="("/>
            <m:endChr m:val=")"/>
            <m:sepChr m:val=""/>
            <m:grow/>
          </m:dPr>
          <m:e>
            <m:r>
              <m:t>x</m:t>
            </m:r>
            <m:r>
              <m:rPr>
                <m:sty m:val="p"/>
              </m:rPr>
              <m:t>;</m:t>
            </m:r>
            <m:r>
              <m:t>f</m:t>
            </m:r>
            <m:d>
              <m:dPr>
                <m:begChr m:val="("/>
                <m:endChr m:val=")"/>
                <m:sepChr m:val=""/>
                <m:grow/>
              </m:dPr>
              <m:e>
                <m:r>
                  <m:t>x</m:t>
                </m:r>
                <m:r>
                  <m:rPr>
                    <m:sty m:val="p"/>
                  </m:rPr>
                  <m:t>,</m:t>
                </m:r>
                <m:r>
                  <m:t>u</m:t>
                </m:r>
                <m:r>
                  <m:rPr>
                    <m:sty m:val="p"/>
                  </m:rPr>
                  <m:t>,</m:t>
                </m:r>
                <m:r>
                  <m:t>d</m:t>
                </m:r>
              </m:e>
            </m:d>
          </m:e>
        </m:d>
        <m:r>
          <m:rPr>
            <m:sty m:val="p"/>
          </m:rPr>
          <m:t>≤</m:t>
        </m:r>
        <m:r>
          <m:rPr>
            <m:sty m:val="p"/>
          </m:rPr>
          <m:t>−</m:t>
        </m:r>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throughout an uncertainty branch and</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r>
          <m:rPr>
            <m:sty m:val="p"/>
          </m:rPr>
          <m:t>&gt;</m:t>
        </m:r>
        <m:sSub>
          <m:e>
            <m:r>
              <m:rPr>
                <m:sty m:val="p"/>
              </m:rPr>
              <m:t>inf</m:t>
            </m:r>
          </m:e>
          <m:sub>
            <m:r>
              <m:t>x</m:t>
            </m:r>
            <m:r>
              <m:rPr>
                <m:sty m:val="p"/>
              </m:rPr>
              <m:t>∈</m:t>
            </m:r>
            <m:sSub>
              <m:e>
                <m:r>
                  <m:t>B</m:t>
                </m:r>
              </m:e>
              <m:sub>
                <m:r>
                  <m:t>0</m:t>
                </m:r>
              </m:sub>
            </m:sSub>
          </m:sub>
        </m:sSub>
        <m:r>
          <m:t>q</m:t>
        </m:r>
        <m:d>
          <m:dPr>
            <m:begChr m:val="("/>
            <m:endChr m:val=")"/>
            <m:sepChr m:val=""/>
            <m:grow/>
          </m:dPr>
          <m:e>
            <m:r>
              <m:t>x</m:t>
            </m:r>
          </m:e>
        </m:d>
        <m:r>
          <m:rPr>
            <m:sty m:val="p"/>
          </m:rPr>
          <m:t>/</m:t>
        </m:r>
        <m:r>
          <m:t>ε</m:t>
        </m:r>
      </m:oMath>
      <w:r>
        <w:rPr>
          <w:rFonts w:ascii="Times New Roman" w:hAnsi="Times New Roman" w:cs="Times New Roman" w:eastAsia="Times New Roman"/>
          <w:sz w:val="24"/>
        </w:rPr>
        <w:t xml:space="preserve">. Information may be accurate but arrive too late.</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 an action and an uncertainty branch; the Dini inequality integrates to</w:t>
      </w:r>
      <w:r>
        <w:rPr>
          <w:rFonts w:ascii="Times New Roman" w:hAnsi="Times New Roman" w:cs="Times New Roman" w:eastAsia="Times New Roman"/>
          <w:sz w:val="24"/>
        </w:rPr>
        <w:t xml:space="preserve"> </w:t>
      </w:r>
      <m:oMath>
        <m:r>
          <m:t>q</m:t>
        </m:r>
        <m:d>
          <m:dPr>
            <m:begChr m:val="("/>
            <m:endChr m:val=")"/>
            <m:sepChr m:val=""/>
            <m:grow/>
          </m:dPr>
          <m:e>
            <m:sSub>
              <m:e>
                <m:r>
                  <m:t>x</m:t>
                </m:r>
              </m:e>
              <m:sub>
                <m:r>
                  <m:t>t</m:t>
                </m:r>
              </m:sub>
            </m:sSub>
          </m:e>
        </m:d>
        <m:r>
          <m:rPr>
            <m:sty m:val="p"/>
          </m:rPr>
          <m:t>≤</m:t>
        </m:r>
        <m:sSub>
          <m:e>
            <m:r>
              <m:rPr>
                <m:sty m:val="p"/>
              </m:rPr>
              <m:t>inf</m:t>
            </m:r>
          </m:e>
          <m:sub>
            <m:r>
              <m:t>x</m:t>
            </m:r>
            <m:r>
              <m:rPr>
                <m:sty m:val="p"/>
              </m:rPr>
              <m:t>∈</m:t>
            </m:r>
            <m:sSub>
              <m:e>
                <m:r>
                  <m:t>B</m:t>
                </m:r>
              </m:e>
              <m:sub>
                <m:r>
                  <m:t>0</m:t>
                </m:r>
              </m:sub>
            </m:sSub>
          </m:sub>
        </m:sSub>
        <m:r>
          <m:t>q</m:t>
        </m:r>
        <m:d>
          <m:dPr>
            <m:begChr m:val="("/>
            <m:endChr m:val=")"/>
            <m:sepChr m:val=""/>
            <m:grow/>
          </m:dPr>
          <m:e>
            <m:r>
              <m:t>x</m:t>
            </m:r>
          </m:e>
        </m:d>
        <m:r>
          <m:rPr>
            <m:sty m:val="p"/>
          </m:rPr>
          <m:t>−</m:t>
        </m:r>
        <m:r>
          <m:t>ε</m:t>
        </m:r>
        <m:r>
          <m:t>t</m:t>
        </m:r>
      </m:oMath>
      <w:r>
        <w:rPr>
          <w:rFonts w:ascii="Times New Roman" w:hAnsi="Times New Roman" w:cs="Times New Roman" w:eastAsia="Times New Roman"/>
          <w:sz w:val="24"/>
        </w:rPr>
        <w:t xml:space="preserve">, so the constraint is violated by time</w:t>
      </w:r>
      <w:r>
        <w:rPr>
          <w:rFonts w:ascii="Times New Roman" w:hAnsi="Times New Roman" w:cs="Times New Roman" w:eastAsia="Times New Roman"/>
          <w:sz w:val="24"/>
        </w:rPr>
        <w:t xml:space="preserve"> </w:t>
      </w:r>
      <m:oMath>
        <m:sSup>
          <m:e>
            <m:r>
              <m:t>t</m:t>
            </m:r>
          </m:e>
          <m:sup>
            <m:r>
              <m:rPr>
                <m:sty m:val="p"/>
              </m:rPr>
              <m:t>*</m:t>
            </m:r>
          </m:sup>
        </m:sSup>
        <m:r>
          <m:rPr>
            <m:sty m:val="p"/>
          </m:rPr>
          <m:t>=</m:t>
        </m:r>
        <m:r>
          <m:rPr>
            <m:sty m:val="p"/>
          </m:rPr>
          <m:t>inf</m:t>
        </m:r>
        <m:r>
          <m:t>q</m:t>
        </m:r>
        <m:r>
          <m:rPr>
            <m:sty m:val="p"/>
          </m:rPr>
          <m:t>/</m:t>
        </m:r>
        <m:r>
          <m:t>ε</m:t>
        </m:r>
        <m:r>
          <m:rPr>
            <m:sty m:val="p"/>
          </m:rPr>
          <m:t>&lt;</m:t>
        </m:r>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before any informative observation can alter the control; since this holds for every action and branch, no observation-based policy can save</w:t>
      </w:r>
      <w:r>
        <w:rPr>
          <w:rFonts w:ascii="Times New Roman" w:hAnsi="Times New Roman" w:cs="Times New Roman" w:eastAsia="Times New Roman"/>
          <w:sz w:val="24"/>
        </w:rPr>
        <w:t xml:space="preserve"> </w:t>
      </w:r>
      <m:oMath>
        <m:sSub>
          <m:e>
            <m:r>
              <m:t>B</m:t>
            </m:r>
          </m:e>
          <m:sub>
            <m:r>
              <m:t>0</m:t>
            </m:r>
          </m:sub>
        </m:sSub>
      </m:oMath>
      <w:r>
        <w:rPr>
          <w:rFonts w:ascii="Times New Roman" w:hAnsi="Times New Roman" w:cs="Times New Roman" w:eastAsia="Times New Roman"/>
          <w:sz w:val="24"/>
        </w:rPr>
        <w:t xml:space="preserve">. ∎</w:t>
      </w:r>
    </w:p>
    <w:p>
      <w:pPr>
        <w:pStyle w:val="BodyText"/>
        <w:spacing w:line="360" w:lineRule="auto" w:after="120"/>
        <w:ind w:firstLine="720"/>
        <w:jc w:val="both"/>
      </w:pPr>
      <w:r>
        <w:rPr>
          <w:rFonts w:ascii="Times New Roman" w:hAnsi="Times New Roman" w:cs="Times New Roman" w:eastAsia="Times New Roman"/>
          <w:sz w:val="24"/>
        </w:rPr>
        <w:t xml:space="preserve">The delay in this obstruction is the observation interval</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information timing, the review-interval spectrum’s object — not a retarded functional differential equation (the delay-dynamics companion owns the RFDE family). The empirical reading: review cadence enters the safety question at the kernel level, and an accurate assessment delivered too late is operationally equivalent to no assessment within the window in which the constraint is lost.</w:t>
      </w:r>
    </w:p>
    <w:bookmarkEnd w:id="42"/>
    <w:bookmarkStart w:id="43" w:name="X935baa6d0f308424d572d291bdbaffcc0fc6799"/>
    <w:p>
      <w:pPr>
        <w:pStyle w:val="Heading2"/>
        <w:spacing w:before="240" w:after="120" w:line="360" w:lineRule="auto"/>
        <w:ind w:firstLine="0" w:left="0"/>
        <w:jc w:val="left"/>
      </w:pPr>
      <w:r>
        <w:rPr>
          <w:rFonts w:ascii="Times New Roman" w:hAnsi="Times New Roman" w:cs="Times New Roman" w:eastAsia="Times New Roman"/>
          <w:b/>
          <w:sz w:val="24"/>
        </w:rPr>
        <w:t xml:space="preserve">4.4 The ideal benchmark and the epistemic-institutional kernel at its status</w:t>
      </w:r>
    </w:p>
    <w:p>
      <w:pPr>
        <w:pStyle w:val="FirstParagraph"/>
        <w:spacing w:line="360" w:lineRule="auto" w:after="120"/>
        <w:ind w:firstLine="720"/>
        <w:jc w:val="both"/>
      </w:pPr>
      <w:r>
        <w:rPr>
          <w:rFonts w:ascii="Times New Roman" w:hAnsi="Times New Roman" w:cs="Times New Roman" w:eastAsia="Times New Roman"/>
          <w:sz w:val="24"/>
        </w:rPr>
        <w:t xml:space="preserve">For a finite-dimensional fully observed ODE module with a closed, sufficiently regular state-safe set, the conditional full-information viability benchmark holds: if at every boundary state there exists a common admissible control for all active constraints and all disturbances, the safe-control correspondence admits an appropriate regular selection or viable solution concept, and solutions exist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then standard controlled-invariance results establish full-information viability on that horizon. This is an ideal ODE benchmark — not a theorem for delayed, sampled, partially observed institutions; the canonical theorem of the invoked family is the robust-tangency characterization (the atlas companion owns it), and the benchmark is cited here as the ideal limit of the sampled-governance comparison.</w:t>
      </w:r>
    </w:p>
    <w:p>
      <w:pPr>
        <w:pStyle w:val="BodyText"/>
        <w:spacing w:line="360" w:lineRule="auto" w:after="120"/>
        <w:ind w:firstLine="720"/>
        <w:jc w:val="both"/>
      </w:pPr>
      <w:r>
        <w:rPr>
          <w:rFonts w:ascii="Times New Roman" w:hAnsi="Times New Roman" w:cs="Times New Roman" w:eastAsia="Times New Roman"/>
          <w:sz w:val="24"/>
        </w:rPr>
        <w:t xml:space="preserve">The institutional object against which the benchmark is read is the joint institutional information state</w:t>
      </w:r>
      <w:r>
        <w:rPr>
          <w:rFonts w:ascii="Times New Roman" w:hAnsi="Times New Roman" w:cs="Times New Roman" w:eastAsia="Times New Roman"/>
          <w:sz w:val="24"/>
        </w:rPr>
        <w:t xml:space="preserve"> </w:t>
      </w:r>
      <m:oMath>
        <m:d>
          <m:dPr>
            <m:begChr m:val="("/>
            <m:endChr m:val=")"/>
            <m:sepChr m:val=""/>
            <m:grow/>
          </m:dPr>
          <m:e>
            <m:r>
              <m:t>B</m:t>
            </m:r>
            <m:r>
              <m:rPr>
                <m:sty m:val="p"/>
              </m:rPr>
              <m:t>,</m:t>
            </m:r>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compatible physical histories and parameters together with an institutional mode — with prescription authority</w:t>
      </w:r>
      <w:r>
        <w:rPr>
          <w:rFonts w:ascii="Times New Roman" w:hAnsi="Times New Roman" w:cs="Times New Roman" w:eastAsia="Times New Roman"/>
          <w:sz w:val="24"/>
        </w:rPr>
        <w:t xml:space="preserve"> </w:t>
      </w:r>
      <m:oMath>
        <m:r>
          <m:t>a</m:t>
        </m:r>
        <m:r>
          <m:rPr>
            <m:sty m:val="p"/>
          </m:rPr>
          <m:t>∈</m:t>
        </m:r>
        <m:r>
          <m:t>Γ</m:t>
        </m:r>
        <m:d>
          <m:dPr>
            <m:begChr m:val="("/>
            <m:endChr m:val=")"/>
            <m:sepChr m:val=""/>
            <m:grow/>
          </m:dPr>
          <m:e>
            <m:r>
              <m:t>B</m:t>
            </m:r>
            <m:r>
              <m:rPr>
                <m:sty m:val="p"/>
              </m:rPr>
              <m:t>,</m:t>
            </m:r>
            <m:r>
              <m:t>h</m:t>
            </m:r>
          </m:e>
        </m:d>
      </m:oMath>
      <w:r>
        <w:rPr>
          <w:rFonts w:ascii="Times New Roman" w:hAnsi="Times New Roman" w:cs="Times New Roman" w:eastAsia="Times New Roman"/>
          <w:sz w:val="24"/>
        </w:rPr>
        <w:t xml:space="preserve">, implementation correspondence</w:t>
      </w:r>
      <w:r>
        <w:rPr>
          <w:rFonts w:ascii="Times New Roman" w:hAnsi="Times New Roman" w:cs="Times New Roman" w:eastAsia="Times New Roman"/>
          <w:sz w:val="24"/>
        </w:rPr>
        <w:t xml:space="preserve"> </w:t>
      </w:r>
      <m:oMath>
        <m:r>
          <m:t>u</m:t>
        </m:r>
        <m:r>
          <m:rPr>
            <m:sty m:val="p"/>
          </m:rPr>
          <m:t>∈</m:t>
        </m:r>
        <m:r>
          <m:rPr>
            <m:sty m:val="p"/>
            <m:scr m:val="script"/>
          </m:rPr>
          <m:t>E</m:t>
        </m:r>
        <m:d>
          <m:dPr>
            <m:begChr m:val="("/>
            <m:endChr m:val=")"/>
            <m:sepChr m:val=""/>
            <m:grow/>
          </m:dPr>
          <m:e>
            <m:r>
              <m:t>B</m:t>
            </m:r>
            <m:r>
              <m:rPr>
                <m:sty m:val="p"/>
              </m:rPr>
              <m:t>,</m:t>
            </m:r>
            <m:r>
              <m:t>h</m:t>
            </m:r>
            <m:r>
              <m:rPr>
                <m:sty m:val="p"/>
              </m:rPr>
              <m:t>,</m:t>
            </m:r>
            <m:r>
              <m:t>a</m:t>
            </m:r>
          </m:e>
        </m:d>
      </m:oMath>
      <w:r>
        <w:rPr>
          <w:rFonts w:ascii="Times New Roman" w:hAnsi="Times New Roman" w:cs="Times New Roman" w:eastAsia="Times New Roman"/>
          <w:sz w:val="24"/>
        </w:rPr>
        <w:t xml:space="preserve">, and the lower-game quantifier order: a non-anticipative prescription strategy exists against every admissible implementation, disturbance, parameter, and observation branch. The finite-horizon epistemic-institutional kernel satisfies the safe-base recursion</w:t>
      </w:r>
      <w:r>
        <w:rPr>
          <w:rFonts w:ascii="Times New Roman" w:hAnsi="Times New Roman" w:cs="Times New Roman" w:eastAsia="Times New Roman"/>
          <w:sz w:val="24"/>
        </w:rPr>
        <w:t xml:space="preserve"> </w:t>
      </w:r>
      <m:oMath>
        <m:sSub>
          <m:e>
            <m:r>
              <m:rPr>
                <m:sty m:val="p"/>
                <m:scr m:val="fraktur"/>
              </m:rPr>
              <m:t>K</m:t>
            </m:r>
          </m:e>
          <m:sub>
            <m:r>
              <m:t>n</m:t>
            </m:r>
            <m:r>
              <m:rPr>
                <m:sty m:val="p"/>
              </m:rPr>
              <m:t>+</m:t>
            </m:r>
            <m:r>
              <m:t>1</m:t>
            </m:r>
          </m:sub>
        </m:sSub>
        <m:r>
          <m:rPr>
            <m:sty m:val="p"/>
          </m:rPr>
          <m:t>=</m:t>
        </m:r>
        <m:r>
          <m:rPr>
            <m:sty m:val="p"/>
            <m:scr m:val="script"/>
          </m:rPr>
          <m:t>T</m:t>
        </m:r>
        <m:d>
          <m:dPr>
            <m:begChr m:val="("/>
            <m:endChr m:val=")"/>
            <m:sepChr m:val=""/>
            <m:grow/>
          </m:dPr>
          <m:e>
            <m:sSub>
              <m:e>
                <m:r>
                  <m:rPr>
                    <m:sty m:val="p"/>
                    <m:scr m:val="fraktur"/>
                  </m:rPr>
                  <m:t>K</m:t>
                </m:r>
              </m:e>
              <m:sub>
                <m:r>
                  <m:t>n</m:t>
                </m:r>
              </m:sub>
            </m:sSub>
          </m:e>
        </m:d>
        <m:box>
          <m:boxPr>
            <m:opEmu m:val="on"/>
          </m:boxPr>
          <m:e>
            <m:r>
              <m:rPr>
                <m:sty m:val="p"/>
              </m:rPr>
              <m:t>:=</m:t>
            </m:r>
          </m:e>
        </m:box>
        <m:r>
          <m:rPr>
            <m:sty m:val="p"/>
            <m:scr m:val="fraktur"/>
          </m:rPr>
          <m:t>S</m:t>
        </m:r>
        <m:r>
          <m:rPr>
            <m:sty m:val="p"/>
          </m:rPr>
          <m:t>∩</m:t>
        </m:r>
        <m:sSub>
          <m:e>
            <m:r>
              <m:rPr>
                <m:sty m:val="p"/>
              </m:rPr>
              <m:t>Pre</m:t>
            </m:r>
          </m:e>
          <m:sub>
            <m:r>
              <m:rPr>
                <m:sty m:val="p"/>
                <m:scr m:val="fraktur"/>
              </m:rPr>
              <m:t>I</m:t>
            </m:r>
          </m:sub>
        </m:sSub>
        <m:d>
          <m:dPr>
            <m:begChr m:val="("/>
            <m:endChr m:val=")"/>
            <m:sepChr m:val=""/>
            <m:grow/>
          </m:dPr>
          <m:e>
            <m:sSub>
              <m:e>
                <m:r>
                  <m:rPr>
                    <m:sty m:val="p"/>
                    <m:scr m:val="fraktur"/>
                  </m:rPr>
                  <m:t>K</m:t>
                </m:r>
              </m:e>
              <m:sub>
                <m:r>
                  <m:t>n</m:t>
                </m:r>
              </m:sub>
            </m:sSub>
          </m:e>
        </m:d>
      </m:oMath>
      <w:r>
        <w:rPr>
          <w:rFonts w:ascii="Times New Roman" w:hAnsi="Times New Roman" w:cs="Times New Roman" w:eastAsia="Times New Roman"/>
          <w:sz w:val="24"/>
        </w:rPr>
        <w:t xml:space="preserve">, whose monotone operator has a greatest fixed point by Tarski’s theorem; under the additional</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-continuity-from-above and strategy-closure hypotheses the countable intersection</w:t>
      </w:r>
      <w:r>
        <w:rPr>
          <w:rFonts w:ascii="Times New Roman" w:hAnsi="Times New Roman" w:cs="Times New Roman" w:eastAsia="Times New Roman"/>
          <w:sz w:val="24"/>
        </w:rPr>
        <w:t xml:space="preserve"> </w:t>
      </w:r>
      <m:oMath>
        <m:sSub>
          <m:e>
            <m:r>
              <m:rPr>
                <m:sty m:val="p"/>
              </m:rPr>
              <m:t>⋂</m:t>
            </m:r>
          </m:e>
          <m:sub>
            <m:r>
              <m:t>n</m:t>
            </m:r>
          </m:sub>
        </m:sSub>
        <m:sSub>
          <m:e>
            <m:r>
              <m:rPr>
                <m:sty m:val="p"/>
                <m:scr m:val="fraktur"/>
              </m:rP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that fixed point, and without them the greatest fixed point is obtained by transfinite descending iteration — the primary source’s statement, carried here at exactly that conditional status. The kernel object is one across its ODE and sampled instantiations; the atlas companion owns the construction, and this article’s use is the comparison structure it fixes: physical feasibility, information, authority, and implementation are jointly represented, and none is reducible to another.</w:t>
      </w:r>
    </w:p>
    <w:bookmarkEnd w:id="43"/>
    <w:bookmarkStart w:id="44" w:name="X04eff1d66b8038b39b6eeaacd836e79974195cf"/>
    <w:p>
      <w:pPr>
        <w:pStyle w:val="Heading2"/>
        <w:spacing w:before="240" w:after="120" w:line="360" w:lineRule="auto"/>
        <w:ind w:firstLine="0" w:left="0"/>
        <w:jc w:val="left"/>
      </w:pPr>
      <w:r>
        <w:rPr>
          <w:rFonts w:ascii="Times New Roman" w:hAnsi="Times New Roman" w:cs="Times New Roman" w:eastAsia="Times New Roman"/>
          <w:b/>
          <w:sz w:val="24"/>
        </w:rPr>
        <w:t xml:space="preserve">4.5 Value of information, informational recovery, and normative monotonicity</w:t>
      </w:r>
    </w:p>
    <w:p>
      <w:pPr>
        <w:pStyle w:val="FirstParagraph"/>
        <w:spacing w:line="360" w:lineRule="auto" w:after="120"/>
        <w:ind w:firstLine="720"/>
        <w:jc w:val="both"/>
      </w:pPr>
      <w:r>
        <w:rPr>
          <w:rFonts w:ascii="Times New Roman" w:hAnsi="Times New Roman" w:cs="Times New Roman" w:eastAsia="Times New Roman"/>
          <w:sz w:val="24"/>
        </w:rPr>
        <w:t xml:space="preserve">Three template results organise the epistemic layer’s content for design.</w:t>
      </w:r>
    </w:p>
    <w:p>
      <w:pPr>
        <w:pStyle w:val="BodyText"/>
        <w:spacing w:line="360" w:lineRule="auto" w:after="120"/>
        <w:ind w:firstLine="720"/>
        <w:jc w:val="both"/>
      </w:pPr>
      <w:r>
        <w:rPr>
          <w:rFonts w:ascii="Times New Roman" w:hAnsi="Times New Roman" w:cs="Times New Roman" w:eastAsia="Times New Roman"/>
          <w:b/>
          <w:bCs/>
          <w:sz w:val="24"/>
        </w:rPr>
        <w:t xml:space="preserve">Robust information value</w:t>
      </w:r>
      <w:r>
        <w:rPr>
          <w:rFonts w:ascii="Times New Roman" w:hAnsi="Times New Roman" w:cs="Times New Roman" w:eastAsia="Times New Roman"/>
          <w:sz w:val="24"/>
        </w:rPr>
        <w:t xml:space="preserve">: for a noncompensatory safety margin</w:t>
      </w:r>
      <w:r>
        <w:rPr>
          <w:rFonts w:ascii="Times New Roman" w:hAnsi="Times New Roman" w:cs="Times New Roman" w:eastAsia="Times New Roman"/>
          <w:sz w:val="24"/>
        </w:rPr>
        <w:t xml:space="preserve"> </w:t>
      </w:r>
      <m:oMath>
        <m:r>
          <m:t>q</m:t>
        </m:r>
        <m:d>
          <m:dPr>
            <m:begChr m:val="("/>
            <m:endChr m:val=")"/>
            <m:sepChr m:val=""/>
            <m:grow/>
          </m:dPr>
          <m:e>
            <m:r>
              <m:t>X</m:t>
            </m:r>
            <m:r>
              <m:rPr>
                <m:sty m:val="p"/>
              </m:rPr>
              <m:t>,</m:t>
            </m:r>
            <m:r>
              <m:t>u</m:t>
            </m:r>
          </m:e>
        </m:d>
        <m:r>
          <m:rPr>
            <m:sty m:val="p"/>
          </m:rPr>
          <m:t>=</m:t>
        </m:r>
        <m:sSub>
          <m:e>
            <m:r>
              <m:rPr>
                <m:sty m:val="p"/>
              </m:rPr>
              <m:t>min</m:t>
            </m:r>
          </m:e>
          <m:sub>
            <m:r>
              <m:t>i</m:t>
            </m:r>
          </m:sub>
        </m:sSub>
        <m:sSub>
          <m:e>
            <m:r>
              <m:t>m</m:t>
            </m:r>
          </m:e>
          <m:sub>
            <m:r>
              <m:t>i</m:t>
            </m:r>
          </m:sub>
        </m:sSub>
        <m:d>
          <m:dPr>
            <m:begChr m:val="("/>
            <m:endChr m:val=")"/>
            <m:sepChr m:val=""/>
            <m:grow/>
          </m:dPr>
          <m:e>
            <m:r>
              <m:t>X</m:t>
            </m:r>
            <m:r>
              <m:rPr>
                <m:sty m:val="p"/>
              </m:rPr>
              <m:t>,</m:t>
            </m:r>
            <m:r>
              <m:t>u</m:t>
            </m:r>
          </m:e>
        </m:d>
      </m:oMath>
      <w:r>
        <w:rPr>
          <w:rFonts w:ascii="Times New Roman" w:hAnsi="Times New Roman" w:cs="Times New Roman" w:eastAsia="Times New Roman"/>
          <w:sz w:val="24"/>
        </w:rPr>
        <w:t xml:space="preserve">, define, when the optimization is well posed,</w:t>
      </w:r>
      <w:r>
        <w:rPr>
          <w:rFonts w:ascii="Times New Roman" w:hAnsi="Times New Roman" w:cs="Times New Roman" w:eastAsia="Times New Roman"/>
          <w:sz w:val="24"/>
        </w:rPr>
        <w:t xml:space="preserve"> </w:t>
      </w:r>
      <m:oMath>
        <m:sSubSup>
          <m:e>
            <m:r>
              <m:t>V</m:t>
            </m:r>
          </m:e>
          <m:sub>
            <m:r>
              <m:t>T</m:t>
            </m:r>
          </m:sub>
          <m:sup>
            <m:r>
              <m:rPr>
                <m:sty m:val="p"/>
                <m:scr m:val="script"/>
              </m:rPr>
              <m:t>I</m:t>
            </m:r>
          </m:sup>
        </m:sSubSup>
        <m:d>
          <m:dPr>
            <m:begChr m:val="("/>
            <m:endChr m:val=")"/>
            <m:sepChr m:val=""/>
            <m:grow/>
          </m:dPr>
          <m:e>
            <m:r>
              <m:t>B</m:t>
            </m:r>
            <m:r>
              <m:rPr>
                <m:sty m:val="p"/>
              </m:rPr>
              <m:t>,</m:t>
            </m:r>
            <m:r>
              <m:t>h</m:t>
            </m:r>
          </m:e>
        </m:d>
        <m:r>
          <m:rPr>
            <m:sty m:val="p"/>
          </m:rPr>
          <m:t>=</m:t>
        </m:r>
        <m:sSub>
          <m:e>
            <m:r>
              <m:rPr>
                <m:sty m:val="p"/>
              </m:rPr>
              <m:t>sup</m:t>
            </m:r>
          </m:e>
          <m:sub>
            <m:r>
              <m:t>Π</m:t>
            </m:r>
            <m:r>
              <m:rPr>
                <m:sty m:val="p"/>
              </m:rPr>
              <m:t>∈</m:t>
            </m:r>
            <m:sSub>
              <m:e>
                <m:r>
                  <m:t>Π</m:t>
                </m:r>
              </m:e>
              <m:sub>
                <m:r>
                  <m:rPr>
                    <m:sty m:val="p"/>
                    <m:scr m:val="script"/>
                  </m:rPr>
                  <m:t>I</m:t>
                </m:r>
              </m:sub>
            </m:sSub>
          </m:sub>
        </m:sSub>
        <m:sSub>
          <m:e>
            <m:r>
              <m:rPr>
                <m:sty m:val="p"/>
              </m:rPr>
              <m:t>inf</m:t>
            </m:r>
          </m:e>
          <m:sub>
            <m:r>
              <m:rPr>
                <m:sty m:val="p"/>
              </m:rPr>
              <m:t>c</m:t>
            </m:r>
            <m:r>
              <m:rPr>
                <m:sty m:val="p"/>
              </m:rPr>
              <m:t>o</m:t>
            </m:r>
            <m:r>
              <m:rPr>
                <m:sty m:val="p"/>
              </m:rPr>
              <m:t>m</m:t>
            </m:r>
            <m:r>
              <m:rPr>
                <m:sty m:val="p"/>
              </m:rPr>
              <m:t>p</m:t>
            </m:r>
            <m:r>
              <m:rPr>
                <m:sty m:val="p"/>
              </m:rPr>
              <m:t>a</m:t>
            </m:r>
            <m:r>
              <m:rPr>
                <m:sty m:val="p"/>
              </m:rPr>
              <m:t>t</m:t>
            </m:r>
            <m:r>
              <m:rPr>
                <m:sty m:val="p"/>
              </m:rPr>
              <m:t>i</m:t>
            </m:r>
            <m:r>
              <m:rPr>
                <m:sty m:val="p"/>
              </m:rPr>
              <m:t>b</m:t>
            </m:r>
            <m:r>
              <m:rPr>
                <m:sty m:val="p"/>
              </m:rPr>
              <m:t>l</m:t>
            </m:r>
            <m:r>
              <m:rPr>
                <m:sty m:val="p"/>
              </m:rPr>
              <m:t>e</m:t>
            </m:r>
            <m:r>
              <m:rPr>
                <m:sty m:val="p"/>
              </m:rPr>
              <m:t> </m:t>
            </m:r>
            <m:r>
              <m:rPr>
                <m:sty m:val="p"/>
              </m:rPr>
              <m:t>b</m:t>
            </m:r>
            <m:r>
              <m:rPr>
                <m:sty m:val="p"/>
              </m:rPr>
              <m:t>r</m:t>
            </m:r>
            <m:r>
              <m:rPr>
                <m:sty m:val="p"/>
              </m:rPr>
              <m:t>a</m:t>
            </m:r>
            <m:r>
              <m:rPr>
                <m:sty m:val="p"/>
              </m:rPr>
              <m:t>n</m:t>
            </m:r>
            <m:r>
              <m:rPr>
                <m:sty m:val="p"/>
              </m:rPr>
              <m:t>c</m:t>
            </m:r>
            <m:r>
              <m:rPr>
                <m:sty m:val="p"/>
              </m:rPr>
              <m:t>h</m:t>
            </m:r>
            <m:r>
              <m:rPr>
                <m:sty m:val="p"/>
              </m:rPr>
              <m:t>e</m:t>
            </m:r>
            <m:r>
              <m:rPr>
                <m:sty m:val="p"/>
              </m:rPr>
              <m:t>s</m:t>
            </m:r>
          </m:sub>
        </m:sSub>
        <m:sSub>
          <m:e>
            <m:r>
              <m:rPr>
                <m:sty m:val="p"/>
              </m:rPr>
              <m:t>min</m:t>
            </m:r>
          </m:e>
          <m:sub>
            <m:r>
              <m:t>0</m:t>
            </m:r>
            <m:r>
              <m:rPr>
                <m:sty m:val="p"/>
              </m:rPr>
              <m:t>≤</m:t>
            </m:r>
            <m:r>
              <m:t>t</m:t>
            </m:r>
            <m:r>
              <m:rPr>
                <m:sty m:val="p"/>
              </m:rPr>
              <m:t>≤</m:t>
            </m:r>
            <m:r>
              <m:t>T</m:t>
            </m:r>
          </m:sub>
        </m:sSub>
        <m:r>
          <m:t>q</m:t>
        </m:r>
        <m:d>
          <m:dPr>
            <m:begChr m:val="("/>
            <m:endChr m:val=")"/>
            <m:sepChr m:val=""/>
            <m:grow/>
          </m:dPr>
          <m:e>
            <m:r>
              <m:t>X</m:t>
            </m:r>
            <m:d>
              <m:dPr>
                <m:begChr m:val="("/>
                <m:endChr m:val=")"/>
                <m:sepChr m:val=""/>
                <m:grow/>
              </m:dPr>
              <m:e>
                <m:r>
                  <m:t>t</m:t>
                </m:r>
              </m:e>
            </m:d>
            <m:r>
              <m:rPr>
                <m:sty m:val="p"/>
              </m:rPr>
              <m:t>,</m:t>
            </m:r>
            <m:r>
              <m:t>u</m:t>
            </m:r>
            <m:d>
              <m:dPr>
                <m:begChr m:val="("/>
                <m:endChr m:val=")"/>
                <m:sepChr m:val=""/>
                <m:grow/>
              </m:dPr>
              <m:e>
                <m:r>
                  <m:t>t</m:t>
                </m:r>
              </m:e>
            </m:d>
          </m:e>
        </m:d>
      </m:oMath>
      <w:r>
        <w:rPr>
          <w:rFonts w:ascii="Times New Roman" w:hAnsi="Times New Roman" w:cs="Times New Roman" w:eastAsia="Times New Roman"/>
          <w:sz w:val="24"/>
        </w:rPr>
        <w:t xml:space="preserve">. A nonnegative value is equivalent to finite-horizon robust safety only when the supremum is attained or the relevant viability closure is used; for an information refinement, the difference</w:t>
      </w:r>
      <w:r>
        <w:rPr>
          <w:rFonts w:ascii="Times New Roman" w:hAnsi="Times New Roman" w:cs="Times New Roman" w:eastAsia="Times New Roman"/>
          <w:sz w:val="24"/>
        </w:rPr>
        <w:t xml:space="preserve"> </w:t>
      </w:r>
      <m:oMath>
        <m:sSubSup>
          <m:e>
            <m:r>
              <m:t>V</m:t>
            </m:r>
          </m:e>
          <m:sub>
            <m:r>
              <m:t>T</m:t>
            </m:r>
          </m:sub>
          <m:sup>
            <m:sSub>
              <m:e>
                <m:r>
                  <m:rPr>
                    <m:sty m:val="p"/>
                    <m:scr m:val="script"/>
                  </m:rPr>
                  <m:t>I</m:t>
                </m:r>
              </m:e>
              <m:sub>
                <m:r>
                  <m:t>1</m:t>
                </m:r>
              </m:sub>
            </m:sSub>
          </m:sup>
        </m:sSubSup>
        <m:r>
          <m:rPr>
            <m:sty m:val="p"/>
          </m:rPr>
          <m:t>−</m:t>
        </m:r>
        <m:sSubSup>
          <m:e>
            <m:r>
              <m:t>V</m:t>
            </m:r>
          </m:e>
          <m:sub>
            <m:r>
              <m:t>T</m:t>
            </m:r>
          </m:sub>
          <m:sup>
            <m:sSub>
              <m:e>
                <m:r>
                  <m:rPr>
                    <m:sty m:val="p"/>
                    <m:scr m:val="script"/>
                  </m:rPr>
                  <m:t>I</m:t>
                </m:r>
              </m:e>
              <m:sub>
                <m:r>
                  <m:t>2</m:t>
                </m:r>
              </m:sub>
            </m:sSub>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safety-margin value of information, not an entropy metric.</w:t>
      </w:r>
    </w:p>
    <w:p>
      <w:pPr>
        <w:pStyle w:val="BodyText"/>
        <w:spacing w:line="360" w:lineRule="auto" w:after="120"/>
        <w:ind w:firstLine="720"/>
        <w:jc w:val="both"/>
      </w:pPr>
      <w:r>
        <w:rPr>
          <w:rFonts w:ascii="Times New Roman" w:hAnsi="Times New Roman" w:cs="Times New Roman" w:eastAsia="Times New Roman"/>
          <w:b/>
          <w:bCs/>
          <w:sz w:val="24"/>
        </w:rPr>
        <w:t xml:space="preserve">Informational recovery</w:t>
      </w:r>
      <w:r>
        <w:rPr>
          <w:rFonts w:ascii="Times New Roman" w:hAnsi="Times New Roman" w:cs="Times New Roman" w:eastAsia="Times New Roman"/>
          <w:sz w:val="24"/>
        </w:rPr>
        <w:t xml:space="preserve">: recovery is an information-state property — a strategy keeps the physical trajectory in the emergency envelope</w:t>
      </w:r>
      <w:r>
        <w:rPr>
          <w:rFonts w:ascii="Times New Roman" w:hAnsi="Times New Roman" w:cs="Times New Roman" w:eastAsia="Times New Roman"/>
          <w:sz w:val="24"/>
        </w:rPr>
        <w:t xml:space="preserve"> </w:t>
      </w:r>
      <m:oMath>
        <m:sSub>
          <m:e>
            <m:r>
              <m:rPr>
                <m:sty m:val="p"/>
                <m:scr m:val="script"/>
              </m:rPr>
              <m:t>E</m:t>
            </m:r>
          </m:e>
          <m:sub>
            <m:r>
              <m:t>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until time</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reaches a viable information state</w:t>
      </w:r>
      <w:r>
        <w:rPr>
          <w:rFonts w:ascii="Times New Roman" w:hAnsi="Times New Roman" w:cs="Times New Roman" w:eastAsia="Times New Roman"/>
          <w:sz w:val="24"/>
        </w:rPr>
        <w:t xml:space="preserve"> </w:t>
      </w:r>
      <m:oMath>
        <m:d>
          <m:dPr>
            <m:begChr m:val="("/>
            <m:endChr m:val=")"/>
            <m:sepChr m:val=""/>
            <m:grow/>
          </m:dPr>
          <m:e>
            <m:sSub>
              <m:e>
                <m:r>
                  <m:t>B</m:t>
                </m:r>
              </m:e>
              <m:sub>
                <m:r>
                  <m:t>T</m:t>
                </m:r>
              </m:sub>
            </m:sSub>
            <m:r>
              <m:rPr>
                <m:sty m:val="p"/>
              </m:rPr>
              <m:t>,</m:t>
            </m:r>
            <m:sSub>
              <m:e>
                <m:r>
                  <m:t>h</m:t>
                </m:r>
              </m:e>
              <m:sub>
                <m:r>
                  <m:t>T</m:t>
                </m:r>
              </m:sub>
            </m:sSub>
          </m:e>
        </m:d>
        <m:r>
          <m:rPr>
            <m:sty m:val="p"/>
          </m:rPr>
          <m:t>∈</m:t>
        </m:r>
        <m:sSub>
          <m:e>
            <m:r>
              <m:rPr>
                <m:sty m:val="p"/>
                <m:scr m:val="fraktur"/>
              </m:rPr>
              <m:t>K</m:t>
            </m:r>
          </m:e>
          <m:sub>
            <m:r>
              <m:rPr>
                <m:sty m:val="p"/>
              </m:rPr>
              <m:t>∞</m:t>
            </m:r>
          </m:sub>
        </m:sSub>
      </m:oMath>
      <w:r>
        <w:rPr>
          <w:rFonts w:ascii="Times New Roman" w:hAnsi="Times New Roman" w:cs="Times New Roman" w:eastAsia="Times New Roman"/>
          <w:sz w:val="24"/>
        </w:rPr>
        <w:t xml:space="preserve">. Physical recoverability therefore does not imply institutional recoverability: the belief must itself be epistemically viable, which is the requirement that makes observation architecture part of the recovery question.</w:t>
      </w:r>
    </w:p>
    <w:p>
      <w:pPr>
        <w:pStyle w:val="BodyText"/>
        <w:spacing w:line="360" w:lineRule="auto" w:after="120"/>
        <w:ind w:firstLine="720"/>
        <w:jc w:val="both"/>
      </w:pPr>
      <w:r>
        <w:rPr>
          <w:rFonts w:ascii="Times New Roman" w:hAnsi="Times New Roman" w:cs="Times New Roman" w:eastAsia="Times New Roman"/>
          <w:b/>
          <w:bCs/>
          <w:sz w:val="24"/>
        </w:rPr>
        <w:t xml:space="preserve">Normative monotonicity</w:t>
      </w:r>
      <w:r>
        <w:rPr>
          <w:rFonts w:ascii="Times New Roman" w:hAnsi="Times New Roman" w:cs="Times New Roman" w:eastAsia="Times New Roman"/>
          <w:sz w:val="24"/>
        </w:rPr>
        <w:t xml:space="preserve">: if two declared constraint systems satisfy</w:t>
      </w:r>
      <w:r>
        <w:rPr>
          <w:rFonts w:ascii="Times New Roman" w:hAnsi="Times New Roman" w:cs="Times New Roman" w:eastAsia="Times New Roman"/>
          <w:sz w:val="24"/>
        </w:rPr>
        <w:t xml:space="preserve"> </w:t>
      </w:r>
      <m:oMath>
        <m:sSub>
          <m:e>
            <m:r>
              <m:rPr>
                <m:sty m:val="p"/>
                <m:scr m:val="script"/>
              </m:rPr>
              <m:t>C</m:t>
            </m:r>
          </m:e>
          <m:sub>
            <m:r>
              <m:t>X</m:t>
            </m:r>
          </m:sub>
        </m:sSub>
        <m:d>
          <m:dPr>
            <m:begChr m:val="("/>
            <m:endChr m:val=")"/>
            <m:sepChr m:val=""/>
            <m:grow/>
          </m:dPr>
          <m:e>
            <m:sSub>
              <m:e>
                <m:r>
                  <m:t>λ</m:t>
                </m:r>
              </m:e>
              <m:sub>
                <m:r>
                  <m:t>1</m:t>
                </m:r>
              </m:sub>
            </m:sSub>
          </m:e>
        </m:d>
        <m:r>
          <m:rPr>
            <m:sty m:val="p"/>
          </m:rPr>
          <m:t>⊆</m:t>
        </m:r>
        <m:sSub>
          <m:e>
            <m:r>
              <m:rPr>
                <m:sty m:val="p"/>
                <m:scr m:val="script"/>
              </m:rPr>
              <m:t>C</m:t>
            </m:r>
          </m:e>
          <m:sub>
            <m:r>
              <m:t>X</m:t>
            </m:r>
          </m:sub>
        </m:sSub>
        <m:d>
          <m:dPr>
            <m:begChr m:val="("/>
            <m:endChr m:val=")"/>
            <m:sepChr m:val=""/>
            <m:grow/>
          </m:dPr>
          <m:e>
            <m:sSub>
              <m:e>
                <m:r>
                  <m:t>λ</m:t>
                </m:r>
              </m:e>
              <m:sub>
                <m:r>
                  <m:t>2</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scr m:val="script"/>
          </m:rPr>
          <m:t>A</m:t>
        </m:r>
        <m:d>
          <m:dPr>
            <m:begChr m:val="("/>
            <m:endChr m:val=")"/>
            <m:sepChr m:val=""/>
            <m:grow/>
          </m:dPr>
          <m:e>
            <m:r>
              <m:rPr>
                <m:sty m:val="p"/>
              </m:rPr>
              <m:t>⋅</m:t>
            </m:r>
            <m:r>
              <m:rPr>
                <m:sty m:val="p"/>
              </m:rPr>
              <m:t>;</m:t>
            </m:r>
            <m:sSub>
              <m:e>
                <m:r>
                  <m:t>λ</m:t>
                </m:r>
              </m:e>
              <m:sub>
                <m:r>
                  <m:t>1</m:t>
                </m:r>
              </m:sub>
            </m:sSub>
          </m:e>
        </m:d>
        <m:r>
          <m:rPr>
            <m:sty m:val="p"/>
          </m:rPr>
          <m:t>⊆</m:t>
        </m:r>
        <m:r>
          <m:rPr>
            <m:sty m:val="p"/>
            <m:scr m:val="script"/>
          </m:rPr>
          <m:t>A</m:t>
        </m:r>
        <m:d>
          <m:dPr>
            <m:begChr m:val="("/>
            <m:endChr m:val=")"/>
            <m:sepChr m:val=""/>
            <m:grow/>
          </m:dPr>
          <m:e>
            <m:r>
              <m:rPr>
                <m:sty m:val="p"/>
              </m:rPr>
              <m:t>⋅</m:t>
            </m:r>
            <m:r>
              <m:rPr>
                <m:sty m:val="p"/>
              </m:rPr>
              <m:t>;</m:t>
            </m:r>
            <m:sSub>
              <m:e>
                <m:r>
                  <m:t>λ</m:t>
                </m:r>
              </m:e>
              <m:sub>
                <m:r>
                  <m:t>2</m:t>
                </m:r>
              </m:sub>
            </m:sSub>
          </m:e>
        </m:d>
      </m:oMath>
      <w:r>
        <w:rPr>
          <w:rFonts w:ascii="Times New Roman" w:hAnsi="Times New Roman" w:cs="Times New Roman" w:eastAsia="Times New Roman"/>
          <w:sz w:val="24"/>
        </w:rPr>
        <w:t xml:space="preserve">, then the corresponding viability kernels (Aubin 1991; Aubin, Bayen, and Saint-Pierre 2011) are nested in the same direction under aligned dynamics, information, and uncertainty classes. This exposes the feasibility consequences of normative choices without purporting to derive or justify them — the scope discipline that the distributive layer of §8 inherits.</w:t>
      </w:r>
    </w:p>
    <w:bookmarkEnd w:id="44"/>
    <w:bookmarkStart w:id="45" w:name="model-objects-and-empirical-proxies"/>
    <w:p>
      <w:pPr>
        <w:pStyle w:val="Heading2"/>
        <w:spacing w:before="240" w:after="120" w:line="360" w:lineRule="auto"/>
        <w:ind w:firstLine="0" w:left="0"/>
        <w:jc w:val="left"/>
      </w:pPr>
      <w:r>
        <w:rPr>
          <w:rFonts w:ascii="Times New Roman" w:hAnsi="Times New Roman" w:cs="Times New Roman" w:eastAsia="Times New Roman"/>
          <w:b/>
          <w:sz w:val="24"/>
        </w:rPr>
        <w:t xml:space="preserve">4.6 Model objects and empirical proxies</w:t>
      </w:r>
    </w:p>
    <w:p>
      <w:pPr>
        <w:pStyle w:val="FirstParagraph"/>
        <w:spacing w:line="360" w:lineRule="auto" w:after="120"/>
        <w:ind w:firstLine="720"/>
        <w:jc w:val="both"/>
      </w:pPr>
      <w:r>
        <w:rPr>
          <w:rFonts w:ascii="Times New Roman" w:hAnsi="Times New Roman" w:cs="Times New Roman" w:eastAsia="Times New Roman"/>
          <w:sz w:val="24"/>
        </w:rPr>
        <w:t xml:space="preserve">The observation and identification discipline separates model objects from public-data objects. The model hitting time</w:t>
      </w:r>
      <w:r>
        <w:rPr>
          <w:rFonts w:ascii="Times New Roman" w:hAnsi="Times New Roman" w:cs="Times New Roman" w:eastAsia="Times New Roman"/>
          <w:sz w:val="24"/>
        </w:rPr>
        <w:t xml:space="preserve"> </w:t>
      </w:r>
      <m:oMath>
        <m:sSup>
          <m:e>
            <m:r>
              <m:t>T</m:t>
            </m:r>
          </m:e>
          <m:sup>
            <m:r>
              <m:rPr>
                <m:sty m:val="p"/>
              </m:rPr>
              <m:t>d</m:t>
            </m:r>
            <m:r>
              <m:rPr>
                <m:sty m:val="p"/>
              </m:rPr>
              <m:t>e</m:t>
            </m:r>
            <m:r>
              <m:rPr>
                <m:sty m:val="p"/>
              </m:rPr>
              <m:t>p</m:t>
            </m:r>
          </m:sup>
        </m:sSup>
        <m:r>
          <m:rPr>
            <m:sty m:val="p"/>
          </m:rPr>
          <m:t>=</m:t>
        </m:r>
        <m:r>
          <m:rPr>
            <m:sty m:val="p"/>
          </m:rPr>
          <m:t>inf</m:t>
        </m:r>
        <m:r>
          <m:rPr>
            <m:sty m:val="p"/>
          </m:rPr>
          <m:t>{</m:t>
        </m:r>
        <m:r>
          <m:t>t</m:t>
        </m:r>
        <m:r>
          <m:rPr>
            <m:sty m:val="p"/>
          </m:rPr>
          <m:t>&gt;</m:t>
        </m:r>
        <m:r>
          <m:t>0</m:t>
        </m:r>
        <m:r>
          <m:rPr>
            <m:sty m:val="p"/>
          </m:rPr>
          <m:t>:</m:t>
        </m:r>
        <m:r>
          <m:t>A</m:t>
        </m:r>
        <m:d>
          <m:dPr>
            <m:begChr m:val="("/>
            <m:endChr m:val=")"/>
            <m:sepChr m:val=""/>
            <m:grow/>
          </m:dPr>
          <m:e>
            <m:r>
              <m:t>t</m:t>
            </m:r>
          </m:e>
        </m:d>
        <m:r>
          <m:rPr>
            <m:sty m:val="p"/>
          </m:rPr>
          <m:t>≤</m:t>
        </m:r>
        <m:r>
          <m:t>ε</m:t>
        </m:r>
        <m:r>
          <m:t>A</m:t>
        </m:r>
        <m:d>
          <m:dPr>
            <m:begChr m:val="("/>
            <m:endChr m:val=")"/>
            <m:sepChr m:val=""/>
            <m:grow/>
          </m:dPr>
          <m:e>
            <m:r>
              <m:t>0</m:t>
            </m:r>
          </m:e>
        </m:d>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lives on trajectories of the mass-conserved ledger or a named reduced system and is not computed in the empirical tables; the instantaneous diagnostics (gross and net active-pool horizons) measure support use and decline and are not identified with empirical regression statistics; the constructed proxies (the groundwater trend-to-window-minimum ratio, the fisheries logarithmic horizon, the reserve-life ratio) are the public-data objects. None of the three is interchangeable with the others, and no empirical statistic is identified with a model object without a declared map.</w:t>
      </w:r>
    </w:p>
    <w:p>
      <w:pPr>
        <w:pStyle w:val="BodyText"/>
        <w:spacing w:line="360" w:lineRule="auto" w:after="120"/>
        <w:ind w:firstLine="720"/>
        <w:jc w:val="both"/>
      </w:pPr>
      <w:r>
        <w:rPr>
          <w:rFonts w:ascii="Times New Roman" w:hAnsi="Times New Roman" w:cs="Times New Roman" w:eastAsia="Times New Roman"/>
          <w:sz w:val="24"/>
        </w:rPr>
        <w:t xml:space="preserve">Where distributional statements are attached to such proxies, their uncertainty boundary is part of the content. The first-passage results owned by the ledger companion — the inverse-Gaussian groundwater passage and the geometric-Brownian fisheries passage — condition on the drift, the barrier, and the noise scale: the drift is estimated from a finite, potentially autocorrelated record; the barrier is selected from that same record; measurement error, serial dependence, seasonal forcing, spatial aggregation, trend breaks, and common climatic drivers are separate uncertainties. Integrating out uncertainty in the drift, the barrier, or the noise scale gives a predictive distribution that is generally a mixture rather than a single inverse-Gaussian law, and a residual scale from the same window would not identify process noise. No calibrated predictive distribution is claimed. This is boundary-only content — it states what the distributional statements do not provide — and it governs every power and detectability statement of §5.4.</w:t>
      </w:r>
    </w:p>
    <w:bookmarkEnd w:id="45"/>
    <w:bookmarkStart w:id="46" w:name="an-open-observation-problem"/>
    <w:p>
      <w:pPr>
        <w:pStyle w:val="Heading2"/>
        <w:spacing w:before="240" w:after="120" w:line="360" w:lineRule="auto"/>
        <w:ind w:firstLine="0" w:left="0"/>
        <w:jc w:val="left"/>
      </w:pPr>
      <w:r>
        <w:rPr>
          <w:rFonts w:ascii="Times New Roman" w:hAnsi="Times New Roman" w:cs="Times New Roman" w:eastAsia="Times New Roman"/>
          <w:b/>
          <w:sz w:val="24"/>
        </w:rPr>
        <w:t xml:space="preserve">4.7 An open observation problem</w:t>
      </w:r>
    </w:p>
    <w:p>
      <w:pPr>
        <w:pStyle w:val="FirstParagraph"/>
        <w:spacing w:line="360" w:lineRule="auto" w:after="120"/>
        <w:ind w:firstLine="720"/>
        <w:jc w:val="both"/>
      </w:pPr>
      <w:r>
        <w:rPr>
          <w:rFonts w:ascii="Times New Roman" w:hAnsi="Times New Roman" w:cs="Times New Roman" w:eastAsia="Times New Roman"/>
          <w:b/>
          <w:bCs/>
          <w:sz w:val="24"/>
        </w:rPr>
        <w:t xml:space="preserve">Open problem (binary-sensor threshold discretization).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State the conditions under which the binary-sensor observation model is a threshold discretization of the continuous observation model. The problem is open; no partial result is claimed here.</w:t>
      </w:r>
    </w:p>
    <w:bookmarkEnd w:id="46"/>
    <w:bookmarkEnd w:id="47"/>
    <w:bookmarkStart w:id="52" w:name="identification-and-power"/>
    <w:p>
      <w:pPr>
        <w:pStyle w:val="Heading1"/>
        <w:spacing w:before="360" w:after="120" w:line="360" w:lineRule="auto"/>
        <w:ind w:firstLine="0" w:left="0"/>
        <w:jc w:val="left"/>
      </w:pPr>
      <w:r>
        <w:rPr>
          <w:rFonts w:ascii="Times New Roman" w:hAnsi="Times New Roman" w:cs="Times New Roman" w:eastAsia="Times New Roman"/>
          <w:b/>
          <w:sz w:val="28"/>
        </w:rPr>
        <w:t xml:space="preserve">5. Identification and power</w:t>
      </w:r>
    </w:p>
    <w:bookmarkStart w:id="48" w:name="the-dimensionless-identifiability-chart"/>
    <w:p>
      <w:pPr>
        <w:pStyle w:val="Heading2"/>
        <w:spacing w:before="240" w:after="120" w:line="360" w:lineRule="auto"/>
        <w:ind w:firstLine="0" w:left="0"/>
        <w:jc w:val="left"/>
      </w:pPr>
      <w:r>
        <w:rPr>
          <w:rFonts w:ascii="Times New Roman" w:hAnsi="Times New Roman" w:cs="Times New Roman" w:eastAsia="Times New Roman"/>
          <w:b/>
          <w:sz w:val="24"/>
        </w:rPr>
        <w:t xml:space="preserve">5.1 The dimensionless identifiability chart</w:t>
      </w:r>
    </w:p>
    <w:p>
      <w:pPr>
        <w:pStyle w:val="FirstParagraph"/>
        <w:spacing w:line="360" w:lineRule="auto" w:after="120"/>
        <w:ind w:firstLine="720"/>
        <w:jc w:val="both"/>
      </w:pPr>
      <w:r>
        <w:rPr>
          <w:rFonts w:ascii="Times New Roman" w:hAnsi="Times New Roman" w:cs="Times New Roman" w:eastAsia="Times New Roman"/>
          <w:b/>
          <w:bCs/>
          <w:sz w:val="24"/>
        </w:rPr>
        <w:t xml:space="preserve">Theorem (dimensionless identifiability).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three-state gated core, let</w:t>
      </w:r>
      <w:r>
        <w:rPr>
          <w:rFonts w:ascii="Times New Roman" w:hAnsi="Times New Roman" w:cs="Times New Roman" w:eastAsia="Times New Roman"/>
          <w:sz w:val="24"/>
        </w:rPr>
        <w:t xml:space="preserve"> </w:t>
      </w:r>
      <m:oMath>
        <m:r>
          <m:t>e</m:t>
        </m:r>
        <m:r>
          <m:rPr>
            <m:sty m:val="p"/>
          </m:rPr>
          <m:t>=</m:t>
        </m:r>
        <m:r>
          <m:t>E</m:t>
        </m:r>
        <m:r>
          <m:rPr>
            <m:sty m:val="p"/>
          </m:rPr>
          <m:t>/</m:t>
        </m:r>
        <m:sSub>
          <m:e>
            <m:r>
              <m:t>E</m:t>
            </m:r>
          </m:e>
          <m:sub>
            <m:r>
              <m:rPr>
                <m:sty m:val="p"/>
              </m:rPr>
              <m:t>max</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r>
          <m:rPr>
            <m:sty m:val="p"/>
          </m:rPr>
          <m:t>=</m:t>
        </m:r>
        <m:r>
          <m:t>N</m:t>
        </m:r>
        <m:r>
          <m:rPr>
            <m:sty m:val="p"/>
          </m:rPr>
          <m:t>/</m:t>
        </m:r>
        <m:r>
          <m:t>K</m:t>
        </m:r>
      </m:oMath>
      <w:r>
        <w:rPr>
          <w:rFonts w:ascii="Times New Roman" w:hAnsi="Times New Roman" w:cs="Times New Roman" w:eastAsia="Times New Roman"/>
          <w:sz w:val="24"/>
        </w:rPr>
        <w:t xml:space="preserve">, and</w:t>
      </w:r>
    </w:p>
    <w:p>
      <w:pPr>
        <w:pStyle w:val="BodyText"/>
        <w:spacing w:line="360" w:lineRule="auto" w:before="120" w:after="120"/>
        <w:ind w:firstLine="0"/>
        <w:jc w:val="center"/>
      </w:pPr>
      <m:oMathPara>
        <m:oMathParaPr>
          <m:jc m:val="center"/>
        </m:oMathParaPr>
        <m:oMath>
          <m:r>
            <m:rPr>
              <m:sty m:val="p"/>
            </m:rPr>
            <m:t>𝜚</m:t>
          </m:r>
          <m:r>
            <m:rPr>
              <m:sty m:val="p"/>
            </m:rPr>
            <m:t>=</m:t>
          </m:r>
          <m:f>
            <m:fPr>
              <m:type m:val="bar"/>
            </m:fPr>
            <m:num>
              <m:r>
                <m:t>q</m:t>
              </m:r>
              <m:sSub>
                <m:e>
                  <m:r>
                    <m:t>E</m:t>
                  </m:r>
                </m:e>
                <m:sub>
                  <m:r>
                    <m:rPr>
                      <m:sty m:val="p"/>
                    </m:rPr>
                    <m:t>max</m:t>
                  </m:r>
                </m:sub>
              </m:sSub>
            </m:num>
            <m:den>
              <m:r>
                <m:t>r</m:t>
              </m:r>
            </m:den>
          </m:f>
          <m:r>
            <m:rPr>
              <m:sty m:val="p"/>
            </m:rPr>
            <m:t>,</m:t>
          </m:r>
          <m:r>
            <m:t>  </m:t>
          </m:r>
          <m:r>
            <m:t>a</m:t>
          </m:r>
          <m:r>
            <m:rPr>
              <m:sty m:val="p"/>
            </m:rPr>
            <m:t>=</m:t>
          </m:r>
          <m:f>
            <m:fPr>
              <m:type m:val="bar"/>
            </m:fPr>
            <m:num>
              <m:r>
                <m:t>δ</m:t>
              </m:r>
            </m:num>
            <m:den>
              <m:sSub>
                <m:e>
                  <m:r>
                    <m:t>Δ</m:t>
                  </m:r>
                </m:e>
                <m:sub>
                  <m:r>
                    <m:rPr>
                      <m:sty m:val="p"/>
                    </m:rPr>
                    <m:t>r</m:t>
                  </m:r>
                  <m:r>
                    <m:rPr>
                      <m:sty m:val="p"/>
                    </m:rPr>
                    <m:t>e</m:t>
                  </m:r>
                  <m:r>
                    <m:rPr>
                      <m:sty m:val="p"/>
                    </m:rPr>
                    <m:t>f</m:t>
                  </m:r>
                </m:sub>
              </m:sSub>
            </m:den>
          </m:f>
          <m:r>
            <m:rPr>
              <m:sty m:val="p"/>
            </m:rPr>
            <m:t>,</m:t>
          </m:r>
          <m:r>
            <m:t>  </m:t>
          </m:r>
          <m:r>
            <m:t>b</m:t>
          </m:r>
          <m:r>
            <m:rPr>
              <m:sty m:val="p"/>
            </m:rPr>
            <m:t>=</m:t>
          </m:r>
          <m:f>
            <m:fPr>
              <m:type m:val="bar"/>
            </m:fPr>
            <m:num>
              <m:sSub>
                <m:e>
                  <m:r>
                    <m:t>δ</m:t>
                  </m:r>
                </m:e>
                <m:sub>
                  <m:r>
                    <m:t>0</m:t>
                  </m:r>
                </m:sub>
              </m:sSub>
              <m:r>
                <m:t>δ</m:t>
              </m:r>
            </m:num>
            <m:den>
              <m:r>
                <m:t>η</m:t>
              </m:r>
              <m:sSub>
                <m:e>
                  <m:r>
                    <m:t>E</m:t>
                  </m:r>
                </m:e>
                <m:sub>
                  <m:r>
                    <m:rPr>
                      <m:sty m:val="p"/>
                    </m:rPr>
                    <m:t>max</m:t>
                  </m:r>
                </m:sub>
              </m:sSub>
              <m:d>
                <m:dPr>
                  <m:begChr m:val="("/>
                  <m:endChr m:val=")"/>
                  <m:sepChr m:val=""/>
                  <m:grow/>
                </m:dPr>
                <m:e>
                  <m:sSub>
                    <m:e>
                      <m:r>
                        <m:t>Z</m:t>
                      </m:r>
                    </m:e>
                    <m:sub>
                      <m:r>
                        <m:rPr>
                          <m:sty m:val="p"/>
                        </m:rPr>
                        <m:t>r</m:t>
                      </m:r>
                      <m:r>
                        <m:rPr>
                          <m:sty m:val="p"/>
                        </m:rPr>
                        <m:t>e</m:t>
                      </m:r>
                      <m:r>
                        <m:rPr>
                          <m:sty m:val="p"/>
                        </m:rPr>
                        <m:t>f</m:t>
                      </m:r>
                    </m:sub>
                  </m:sSub>
                  <m:r>
                    <m:rPr>
                      <m:sty m:val="p"/>
                    </m:rPr>
                    <m:t>+</m:t>
                  </m:r>
                  <m:r>
                    <m:t>δ</m:t>
                  </m:r>
                </m:e>
              </m:d>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At an interior equilibrium,</w:t>
      </w:r>
      <w:r>
        <w:rPr>
          <w:rFonts w:ascii="Times New Roman" w:hAnsi="Times New Roman" w:cs="Times New Roman" w:eastAsia="Times New Roman"/>
          <w:sz w:val="24"/>
        </w:rPr>
        <w:t xml:space="preserve"> </w:t>
      </w:r>
      <m:oMath>
        <m:sSup>
          <m:e>
            <m:r>
              <m:t>e</m:t>
            </m:r>
          </m:e>
          <m:sup>
            <m:r>
              <m:rPr>
                <m:sty m:val="p"/>
              </m:rPr>
              <m:t>*</m:t>
            </m:r>
          </m:sup>
        </m:sSup>
        <m:r>
          <m:rPr>
            <m:sty m:val="p"/>
          </m:rPr>
          <m:t>=</m:t>
        </m:r>
        <m:d>
          <m:dPr>
            <m:begChr m:val="("/>
            <m:endChr m:val=")"/>
            <m:sepChr m:val=""/>
            <m:grow/>
          </m:dPr>
          <m:e>
            <m:r>
              <m:t>a</m:t>
            </m:r>
            <m:r>
              <m:rPr>
                <m:sty m:val="p"/>
              </m:rPr>
              <m:t>+</m:t>
            </m:r>
            <m:rad>
              <m:radPr>
                <m:degHide m:val="on"/>
              </m:radPr>
              <m:deg/>
              <m:e>
                <m:sSup>
                  <m:e>
                    <m:r>
                      <m:t>a</m:t>
                    </m:r>
                  </m:e>
                  <m:sup>
                    <m:r>
                      <m:t>2</m:t>
                    </m:r>
                  </m:sup>
                </m:sSup>
                <m:r>
                  <m:rPr>
                    <m:sty m:val="p"/>
                  </m:rPr>
                  <m:t>+</m:t>
                </m:r>
                <m:r>
                  <m:t>4</m:t>
                </m:r>
                <m:r>
                  <m:t>b</m:t>
                </m:r>
              </m:e>
            </m:rad>
          </m:e>
        </m:d>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N</m:t>
            </m:r>
          </m:e>
          <m:sup>
            <m:r>
              <m:rPr>
                <m:sty m:val="p"/>
              </m:rPr>
              <m:t>*</m:t>
            </m:r>
          </m:sup>
        </m:sSup>
        <m:r>
          <m:rPr>
            <m:sty m:val="p"/>
          </m:rPr>
          <m:t>/</m:t>
        </m:r>
        <m:r>
          <m:t>K</m:t>
        </m:r>
        <m:r>
          <m:rPr>
            <m:sty m:val="p"/>
          </m:rPr>
          <m:t>=</m:t>
        </m:r>
        <m:r>
          <m:t>1</m:t>
        </m:r>
        <m:r>
          <m:rPr>
            <m:sty m:val="p"/>
          </m:rPr>
          <m:t>−</m:t>
        </m:r>
        <m:r>
          <m:rPr>
            <m:sty m:val="p"/>
          </m:rPr>
          <m:t>𝜚</m:t>
        </m:r>
        <m:sSup>
          <m:e>
            <m:r>
              <m:t>e</m:t>
            </m:r>
          </m:e>
          <m:sup>
            <m:r>
              <m:rPr>
                <m:sty m:val="p"/>
              </m:rPr>
              <m:t>*</m:t>
            </m:r>
          </m:sup>
        </m:sSup>
      </m:oMath>
      <w:r>
        <w:rPr>
          <w:rFonts w:ascii="Times New Roman" w:hAnsi="Times New Roman" w:cs="Times New Roman" w:eastAsia="Times New Roman"/>
          <w:sz w:val="24"/>
        </w:rPr>
        <w:t xml:space="preserve">. After scaling time by</w:t>
      </w:r>
      <w:r>
        <w:rPr>
          <w:rFonts w:ascii="Times New Roman" w:hAnsi="Times New Roman" w:cs="Times New Roman" w:eastAsia="Times New Roman"/>
          <w:sz w:val="24"/>
        </w:rPr>
        <w:t xml:space="preserve"> </w:t>
      </w:r>
      <m:oMath>
        <m:sSup>
          <m:e>
            <m:r>
              <m:t>r</m:t>
            </m:r>
          </m:e>
          <m:sup>
            <m:r>
              <m:rPr>
                <m:sty m:val="p"/>
              </m:rPr>
              <m:t>−</m:t>
            </m:r>
            <m:r>
              <m:t>1</m:t>
            </m:r>
          </m:sup>
        </m:sSup>
      </m:oMath>
      <w:r>
        <w:rPr>
          <w:rFonts w:ascii="Times New Roman" w:hAnsi="Times New Roman" w:cs="Times New Roman" w:eastAsia="Times New Roman"/>
          <w:sz w:val="24"/>
        </w:rPr>
        <w:t xml:space="preserve">, the local Hopf delays</w:t>
      </w:r>
      <w:r>
        <w:rPr>
          <w:rFonts w:ascii="Times New Roman" w:hAnsi="Times New Roman" w:cs="Times New Roman" w:eastAsia="Times New Roman"/>
          <w:sz w:val="24"/>
        </w:rPr>
        <w:t xml:space="preserve"> </w:t>
      </w:r>
      <m:oMath>
        <m:r>
          <m:t>r</m:t>
        </m:r>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 on</w:t>
      </w:r>
      <w:r>
        <w:rPr>
          <w:rFonts w:ascii="Times New Roman" w:hAnsi="Times New Roman" w:cs="Times New Roman" w:eastAsia="Times New Roman"/>
          <w:sz w:val="24"/>
        </w:rPr>
        <w:t xml:space="preserve"> </w:t>
      </w:r>
      <m:oMath>
        <m:d>
          <m:dPr>
            <m:begChr m:val="("/>
            <m:endChr m:val=")"/>
            <m:sepChr m:val=""/>
            <m:grow/>
          </m:dPr>
          <m:e>
            <m:r>
              <m:rPr>
                <m:sty m:val="p"/>
              </m:rPr>
              <m:t>𝜚</m:t>
            </m:r>
            <m:r>
              <m:rPr>
                <m:sty m:val="p"/>
              </m:rPr>
              <m:t>,</m:t>
            </m:r>
            <m:sSub>
              <m:e>
                <m:r>
                  <m:t>λ</m:t>
                </m:r>
              </m:e>
              <m:sub>
                <m:r>
                  <m:t>F</m:t>
                </m:r>
              </m:sub>
            </m:sSub>
            <m:r>
              <m:rPr>
                <m:sty m:val="p"/>
              </m:rPr>
              <m:t>,</m:t>
            </m:r>
            <m:r>
              <m:t>a</m:t>
            </m:r>
            <m:r>
              <m:rPr>
                <m:sty m:val="p"/>
              </m:rPr>
              <m:t>,</m:t>
            </m:r>
            <m:r>
              <m:t>b</m:t>
            </m:r>
            <m:r>
              <m:rPr>
                <m:sty m:val="p"/>
              </m:rPr>
              <m:t>,</m:t>
            </m:r>
            <m:sSub>
              <m:e>
                <m:r>
                  <m:t>Z</m:t>
                </m:r>
              </m:e>
              <m:sub>
                <m:r>
                  <m:rPr>
                    <m:sty m:val="p"/>
                  </m:rPr>
                  <m:t>r</m:t>
                </m:r>
                <m:r>
                  <m:rPr>
                    <m:sty m:val="p"/>
                  </m:rPr>
                  <m:t>e</m:t>
                </m:r>
                <m:r>
                  <m:rPr>
                    <m:sty m:val="p"/>
                  </m:rPr>
                  <m:t>f</m:t>
                </m:r>
              </m:sub>
            </m:sSub>
            <m:r>
              <m:rPr>
                <m:sty m:val="p"/>
              </m:rPr>
              <m:t>/</m:t>
            </m:r>
            <m:r>
              <m:t>δ</m:t>
            </m:r>
            <m:r>
              <m:rPr>
                <m:sty m:val="p"/>
              </m:rPr>
              <m:t>,</m:t>
            </m:r>
            <m:r>
              <m:t>η</m:t>
            </m:r>
            <m:r>
              <m:rPr>
                <m:sty m:val="p"/>
              </m:rPr>
              <m:t>/</m:t>
            </m:r>
            <m:r>
              <m:t>r</m:t>
            </m:r>
            <m:r>
              <m:rPr>
                <m:sty m:val="p"/>
              </m:rPr>
              <m:t>,</m:t>
            </m:r>
            <m:r>
              <m:t>r</m:t>
            </m:r>
            <m:sSub>
              <m:e>
                <m:r>
                  <m:t>τ</m:t>
                </m:r>
              </m:e>
              <m:sub>
                <m:r>
                  <m:t>m</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on</w:t>
      </w:r>
      <w:r>
        <w:rPr>
          <w:rFonts w:ascii="Times New Roman" w:hAnsi="Times New Roman" w:cs="Times New Roman" w:eastAsia="Times New Roman"/>
          <w:sz w:val="24"/>
        </w:rPr>
        <w:t xml:space="preserve"> </w:t>
      </w:r>
      <m:oMath>
        <m:sSub>
          <m:e>
            <m:r>
              <m:rPr>
                <m:sty m:val="p"/>
              </m:rPr>
              <m:t>sp</m:t>
            </m:r>
          </m:e>
          <m:sub>
            <m:r>
              <m:t>k</m:t>
            </m:r>
          </m:sub>
        </m:sSub>
        <m:r>
          <m:rPr>
            <m:sty m:val="p"/>
          </m:rPr>
          <m:t>′</m:t>
        </m:r>
        <m:d>
          <m:dPr>
            <m:begChr m:val="("/>
            <m:endChr m:val=")"/>
            <m:sepChr m:val=""/>
            <m:grow/>
          </m:dPr>
          <m:e>
            <m:r>
              <m:t>0</m:t>
            </m:r>
          </m:e>
        </m:d>
        <m:r>
          <m:rPr>
            <m:sty m:val="p"/>
          </m:rPr>
          <m:t>=</m:t>
        </m:r>
        <m:r>
          <m:t>1</m:t>
        </m:r>
        <m:r>
          <m:rPr>
            <m:sty m:val="p"/>
          </m:rPr>
          <m:t>/</m:t>
        </m:r>
        <m:r>
          <m:t>2</m:t>
        </m:r>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λ</m:t>
            </m:r>
          </m:e>
          <m:sub>
            <m:r>
              <m:t>F</m:t>
            </m:r>
          </m:sub>
        </m:sSub>
        <m:r>
          <m:rPr>
            <m:sty m:val="p"/>
          </m:rPr>
          <m:t>=</m:t>
        </m:r>
        <m:r>
          <m:t>r</m:t>
        </m:r>
        <m:r>
          <m:t>K</m:t>
        </m:r>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flow-scale group. The four combinations</w:t>
      </w:r>
      <w:r>
        <w:rPr>
          <w:rFonts w:ascii="Times New Roman" w:hAnsi="Times New Roman" w:cs="Times New Roman" w:eastAsia="Times New Roman"/>
          <w:sz w:val="24"/>
        </w:rPr>
        <w:t xml:space="preserve"> </w:t>
      </w:r>
      <m:oMath>
        <m:d>
          <m:dPr>
            <m:begChr m:val="("/>
            <m:endChr m:val=")"/>
            <m:sepChr m:val=""/>
            <m:grow/>
          </m:dPr>
          <m:e>
            <m:r>
              <m:t>q</m:t>
            </m:r>
            <m:sSup>
              <m:e>
                <m:r>
                  <m:t>E</m:t>
                </m:r>
              </m:e>
              <m:sup>
                <m:r>
                  <m:rPr>
                    <m:sty m:val="p"/>
                  </m:rPr>
                  <m:t>*</m:t>
                </m:r>
              </m:sup>
            </m:sSup>
            <m:r>
              <m:rPr>
                <m:sty m:val="p"/>
              </m:rPr>
              <m:t>,</m:t>
            </m:r>
            <m:r>
              <m:t> </m:t>
            </m:r>
            <m:sSup>
              <m:e>
                <m:r>
                  <m:t>E</m:t>
                </m:r>
              </m:e>
              <m:sup>
                <m:r>
                  <m:rPr>
                    <m:sty m:val="p"/>
                  </m:rPr>
                  <m:t>*</m:t>
                </m:r>
              </m:sup>
            </m:sSup>
            <m:r>
              <m:rPr>
                <m:sty m:val="p"/>
              </m:rPr>
              <m:t>/</m:t>
            </m:r>
            <m:sSub>
              <m:e>
                <m:r>
                  <m:t>E</m:t>
                </m:r>
              </m:e>
              <m:sub>
                <m:r>
                  <m:rPr>
                    <m:sty m:val="p"/>
                  </m:rPr>
                  <m:t>max</m:t>
                </m:r>
              </m:sub>
            </m:sSub>
            <m:r>
              <m:rPr>
                <m:sty m:val="p"/>
              </m:rPr>
              <m:t>,</m:t>
            </m:r>
            <m:r>
              <m:t> </m:t>
            </m:r>
            <m:r>
              <m:t>η</m:t>
            </m:r>
            <m:sSup>
              <m:e>
                <m:r>
                  <m:t>E</m:t>
                </m:r>
              </m:e>
              <m:sup>
                <m:r>
                  <m:rPr>
                    <m:sty m:val="p"/>
                  </m:rPr>
                  <m:t>*</m:t>
                </m:r>
              </m:sup>
            </m:sSup>
            <m:r>
              <m:rPr>
                <m:sty m:val="p"/>
              </m:rPr>
              <m:t>/</m:t>
            </m:r>
            <m:sSub>
              <m:e>
                <m:r>
                  <m:t>Δ</m:t>
                </m:r>
              </m:e>
              <m:sub>
                <m:r>
                  <m:rPr>
                    <m:sty m:val="p"/>
                  </m:rPr>
                  <m:t>r</m:t>
                </m:r>
                <m:r>
                  <m:rPr>
                    <m:sty m:val="p"/>
                  </m:rPr>
                  <m:t>e</m:t>
                </m:r>
                <m:r>
                  <m:rPr>
                    <m:sty m:val="p"/>
                  </m:rPr>
                  <m:t>f</m:t>
                </m:r>
              </m:sub>
            </m:sSub>
            <m:r>
              <m:rPr>
                <m:sty m:val="p"/>
              </m:rPr>
              <m:t>,</m:t>
            </m:r>
            <m:r>
              <m:t> </m:t>
            </m:r>
            <m:sSub>
              <m:e>
                <m:r>
                  <m:t>δ</m:t>
                </m:r>
              </m:e>
              <m:sub>
                <m:r>
                  <m:t>0</m:t>
                </m:r>
              </m:sub>
            </m:sSub>
            <m:r>
              <m:rPr>
                <m:sty m:val="p"/>
              </m:rPr>
              <m:t>/</m:t>
            </m:r>
            <m:r>
              <m:t>η</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determine the characteristic function: the coupling entry</w:t>
      </w:r>
      <w:r>
        <w:rPr>
          <w:rFonts w:ascii="Times New Roman" w:hAnsi="Times New Roman" w:cs="Times New Roman" w:eastAsia="Times New Roman"/>
          <w:sz w:val="24"/>
        </w:rPr>
        <w:t xml:space="preserve"> </w:t>
      </w:r>
      <m:oMath>
        <m:r>
          <m:rPr>
            <m:sty m:val="p"/>
          </m:rPr>
          <m:t>−</m:t>
        </m:r>
        <m:r>
          <m:t>q</m:t>
        </m:r>
        <m:sSup>
          <m:e>
            <m:r>
              <m:t>N</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still contains</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separately unless effort is scaled by</w:t>
      </w:r>
      <w:r>
        <w:rPr>
          <w:rFonts w:ascii="Times New Roman" w:hAnsi="Times New Roman" w:cs="Times New Roman" w:eastAsia="Times New Roman"/>
          <w:sz w:val="24"/>
        </w:rPr>
        <w:t xml:space="preserve"> </w:t>
      </w:r>
      <m:oMath>
        <m:sSub>
          <m:e>
            <m:r>
              <m:t>E</m:t>
            </m:r>
          </m:e>
          <m:sub>
            <m:r>
              <m:rPr>
                <m:sty m:val="p"/>
              </m:rPr>
              <m:t>max</m:t>
            </m:r>
          </m:sub>
        </m:sSub>
      </m:oMath>
      <w:r>
        <w:rPr>
          <w:rFonts w:ascii="Times New Roman" w:hAnsi="Times New Roman" w:cs="Times New Roman" w:eastAsia="Times New Roman"/>
          <w:sz w:val="24"/>
        </w:rPr>
        <w:t xml:space="preserve">. Two calibrated parameter points are two points in</w:t>
      </w:r>
      <w:r>
        <w:rPr>
          <w:rFonts w:ascii="Times New Roman" w:hAnsi="Times New Roman" w:cs="Times New Roman" w:eastAsia="Times New Roman"/>
          <w:sz w:val="24"/>
        </w:rPr>
        <w:t xml:space="preserve"> </w:t>
      </w:r>
      <m:oMath>
        <m:d>
          <m:dPr>
            <m:begChr m:val="("/>
            <m:endChr m:val=")"/>
            <m:sepChr m:val=""/>
            <m:grow/>
          </m:dPr>
          <m:e>
            <m:r>
              <m:t>η</m:t>
            </m:r>
            <m:r>
              <m:rPr>
                <m:sty m:val="p"/>
              </m:rPr>
              <m:t>/</m:t>
            </m:r>
            <m:r>
              <m:t>r</m:t>
            </m:r>
            <m:r>
              <m:rPr>
                <m:sty m:val="p"/>
              </m:rPr>
              <m:t>,</m:t>
            </m:r>
            <m:r>
              <m:rPr>
                <m:sty m:val="p"/>
              </m:rPr>
              <m:t>𝜚</m:t>
            </m:r>
          </m:e>
        </m:d>
      </m:oMath>
      <w:r>
        <w:rPr>
          <w:rFonts w:ascii="Times New Roman" w:hAnsi="Times New Roman" w:cs="Times New Roman" w:eastAsia="Times New Roman"/>
          <w:sz w:val="24"/>
        </w:rPr>
        <w:t xml:space="preserve">, not one class.</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an interior rest the surplus argument vanishes and</w:t>
      </w:r>
      <w:r>
        <w:rPr>
          <w:rFonts w:ascii="Times New Roman" w:hAnsi="Times New Roman" w:cs="Times New Roman" w:eastAsia="Times New Roman"/>
          <w:sz w:val="24"/>
        </w:rPr>
        <w:t xml:space="preserve"> </w:t>
      </w:r>
      <m:oMath>
        <m:sSup>
          <m:e>
            <m:r>
              <m:t>Z</m:t>
            </m:r>
          </m:e>
          <m:sup>
            <m:r>
              <m:rPr>
                <m:sty m:val="p"/>
              </m:rPr>
              <m:t>*</m:t>
            </m:r>
          </m:sup>
        </m:sSup>
        <m:r>
          <m:rPr>
            <m:sty m:val="p"/>
          </m:rPr>
          <m:t>=</m:t>
        </m:r>
        <m:r>
          <m:t>δ</m:t>
        </m:r>
      </m:oMath>
      <w:r>
        <w:rPr>
          <w:rFonts w:ascii="Times New Roman" w:hAnsi="Times New Roman" w:cs="Times New Roman" w:eastAsia="Times New Roman"/>
          <w:sz w:val="24"/>
        </w:rPr>
        <w:t xml:space="preserve">; the effort equilibrium reduces to</w:t>
      </w:r>
      <w:r>
        <w:rPr>
          <w:rFonts w:ascii="Times New Roman" w:hAnsi="Times New Roman" w:cs="Times New Roman" w:eastAsia="Times New Roman"/>
          <w:sz w:val="24"/>
        </w:rPr>
        <w:t xml:space="preserve"> </w:t>
      </w:r>
      <m:oMath>
        <m:sSup>
          <m:e>
            <m:r>
              <m:t>e</m:t>
            </m:r>
          </m:e>
          <m:sup>
            <m:r>
              <m:t>2</m:t>
            </m:r>
          </m:sup>
        </m:sSup>
        <m:r>
          <m:rPr>
            <m:sty m:val="p"/>
          </m:rPr>
          <m:t>−</m:t>
        </m:r>
        <m:r>
          <m:t>a</m:t>
        </m:r>
        <m:r>
          <m:t>e</m:t>
        </m:r>
        <m:r>
          <m:rPr>
            <m:sty m:val="p"/>
          </m:rPr>
          <m:t>−</m:t>
        </m:r>
        <m:r>
          <m:t>b</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displayed root, and</w:t>
      </w:r>
      <w:r>
        <w:rPr>
          <w:rFonts w:ascii="Times New Roman" w:hAnsi="Times New Roman" w:cs="Times New Roman" w:eastAsia="Times New Roman"/>
          <w:sz w:val="24"/>
        </w:rPr>
        <w:t xml:space="preserve"> </w:t>
      </w:r>
      <m:oMath>
        <m:sSup>
          <m:e>
            <m:r>
              <m:t>N</m:t>
            </m:r>
          </m:e>
          <m:sup>
            <m:r>
              <m:rPr>
                <m:sty m:val="p"/>
              </m:rPr>
              <m:t>*</m:t>
            </m:r>
          </m:sup>
        </m:sSup>
        <m:r>
          <m:rPr>
            <m:sty m:val="p"/>
          </m:rPr>
          <m:t>/</m:t>
        </m:r>
        <m:r>
          <m:t>K</m:t>
        </m:r>
        <m:r>
          <m:rPr>
            <m:sty m:val="p"/>
          </m:rPr>
          <m:t>=</m:t>
        </m:r>
        <m:r>
          <m:t>1</m:t>
        </m:r>
        <m:r>
          <m:rPr>
            <m:sty m:val="p"/>
          </m:rPr>
          <m:t>−</m:t>
        </m:r>
        <m:r>
          <m:rPr>
            <m:sty m:val="p"/>
          </m:rPr>
          <m:t>𝜚</m:t>
        </m:r>
        <m:sSup>
          <m:e>
            <m:r>
              <m:t>e</m:t>
            </m:r>
          </m:e>
          <m:sup>
            <m:r>
              <m:rPr>
                <m:sty m:val="p"/>
              </m:rPr>
              <m:t>*</m:t>
            </m:r>
          </m:sup>
        </m:sSup>
      </m:oMath>
      <w:r>
        <w:rPr>
          <w:rFonts w:ascii="Times New Roman" w:hAnsi="Times New Roman" w:cs="Times New Roman" w:eastAsia="Times New Roman"/>
          <w:sz w:val="24"/>
        </w:rPr>
        <w:t xml:space="preserve">. After the time change</w:t>
      </w:r>
      <w:r>
        <w:rPr>
          <w:rFonts w:ascii="Times New Roman" w:hAnsi="Times New Roman" w:cs="Times New Roman" w:eastAsia="Times New Roman"/>
          <w:sz w:val="24"/>
        </w:rPr>
        <w:t xml:space="preserve"> </w:t>
      </w:r>
      <m:oMath>
        <m:r>
          <m:t>s</m:t>
        </m:r>
        <m:r>
          <m:rPr>
            <m:sty m:val="p"/>
          </m:rPr>
          <m:t>=</m:t>
        </m:r>
        <m:r>
          <m:t>r</m:t>
        </m:r>
        <m:r>
          <m:t>t</m:t>
        </m:r>
      </m:oMath>
      <w:r>
        <w:rPr>
          <w:rFonts w:ascii="Times New Roman" w:hAnsi="Times New Roman" w:cs="Times New Roman" w:eastAsia="Times New Roman"/>
          <w:sz w:val="24"/>
        </w:rPr>
        <w:t xml:space="preserve">, every entry of the linearisation scales into the listed groups; the characteristic function is homogeneous in these entries, so its roots — the dimensionless frequencies and delays — are functions of the groups only. ∎</w:t>
      </w:r>
    </w:p>
    <w:p>
      <w:pPr>
        <w:pStyle w:val="BodyText"/>
        <w:spacing w:line="360" w:lineRule="auto" w:after="120"/>
        <w:ind w:firstLine="720"/>
        <w:jc w:val="both"/>
      </w:pPr>
      <w:r>
        <w:rPr>
          <w:rFonts w:ascii="Times New Roman" w:hAnsi="Times New Roman" w:cs="Times New Roman" w:eastAsia="Times New Roman"/>
          <w:sz w:val="24"/>
        </w:rPr>
        <w:t xml:space="preserve">Two qualifications ride the parameters: Hopf points are invariant under the softplus sharpness</w:t>
      </w:r>
      <w:r>
        <w:rPr>
          <w:rFonts w:ascii="Times New Roman" w:hAnsi="Times New Roman" w:cs="Times New Roman" w:eastAsia="Times New Roman"/>
          <w:sz w:val="24"/>
        </w:rPr>
        <w:t xml:space="preserve"> </w:t>
      </w:r>
      <m:oMath>
        <m:r>
          <m:t>k</m:t>
        </m:r>
        <m:r>
          <m:rPr>
            <m:sty m:val="p"/>
          </m:rPr>
          <m:t>∈</m:t>
        </m:r>
        <m:r>
          <m:rPr>
            <m:sty m:val="p"/>
          </m:rPr>
          <m:t>{</m:t>
        </m:r>
        <m:r>
          <m:t>5</m:t>
        </m:r>
        <m:r>
          <m:rPr>
            <m:sty m:val="p"/>
          </m:rPr>
          <m:t>,</m:t>
        </m:r>
        <m:r>
          <m:t>10</m:t>
        </m:r>
        <m:r>
          <m:rPr>
            <m:sty m:val="p"/>
          </m:rPr>
          <m:t>,</m:t>
        </m:r>
        <m:r>
          <m:t>20</m:t>
        </m:r>
        <m:r>
          <m:rPr>
            <m:sty m:val="p"/>
          </m:rPr>
          <m:t>,</m:t>
        </m:r>
        <m:r>
          <m:t>40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fixed</w:t>
      </w:r>
      <w:r>
        <w:rPr>
          <w:rFonts w:ascii="Times New Roman" w:hAnsi="Times New Roman" w:cs="Times New Roman" w:eastAsia="Times New Roman"/>
          <w:sz w:val="24"/>
        </w:rPr>
        <w:t xml:space="preserve"> </w:t>
      </w:r>
      <m:oMath>
        <m:r>
          <m:t>δ</m:t>
        </m:r>
      </m:oMath>
      <w:r>
        <w:rPr>
          <w:rFonts w:ascii="Times New Roman" w:hAnsi="Times New Roman" w:cs="Times New Roman" w:eastAsia="Times New Roman"/>
          <w:sz w:val="24"/>
        </w:rPr>
        <w:t xml:space="preserve">, not at fixed</w:t>
      </w:r>
      <w:r>
        <w:rPr>
          <w:rFonts w:ascii="Times New Roman" w:hAnsi="Times New Roman" w:cs="Times New Roman" w:eastAsia="Times New Roman"/>
          <w:sz w:val="24"/>
        </w:rPr>
        <w:t xml:space="preserve"> </w:t>
      </w:r>
      <m:oMath>
        <m:r>
          <m:t>δ</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equilibrium memory</w:t>
      </w:r>
      <w:r>
        <w:rPr>
          <w:rFonts w:ascii="Times New Roman" w:hAnsi="Times New Roman" w:cs="Times New Roman" w:eastAsia="Times New Roman"/>
          <w:sz w:val="24"/>
        </w:rPr>
        <w:t xml:space="preserve"> </w:t>
      </w:r>
      <m:oMath>
        <m:sSup>
          <m:e>
            <m:r>
              <m:t>Z</m:t>
            </m:r>
          </m:e>
          <m:sup>
            <m:r>
              <m:rPr>
                <m:sty m:val="p"/>
              </m:rPr>
              <m:t>*</m:t>
            </m:r>
          </m:sup>
        </m:sSup>
        <m:r>
          <m:rPr>
            <m:sty m:val="p"/>
          </m:rPr>
          <m:t>=</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itself depends on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baseline calibration); and criticality is not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-invariant, since the first Lyapunov coefficient contains</w:t>
      </w:r>
      <w:r>
        <w:rPr>
          <w:rFonts w:ascii="Times New Roman" w:hAnsi="Times New Roman" w:cs="Times New Roman" w:eastAsia="Times New Roman"/>
          <w:sz w:val="24"/>
        </w:rPr>
        <w:t xml:space="preserve"> </w:t>
      </w:r>
      <m:oMath>
        <m:sSub>
          <m:e>
            <m:r>
              <m:rPr>
                <m:sty m:val="p"/>
              </m:rPr>
              <m:t>sp</m:t>
            </m:r>
          </m:e>
          <m:sub>
            <m:r>
              <m:t>k</m:t>
            </m:r>
          </m:sub>
        </m:sSub>
        <m:r>
          <m:rPr>
            <m:sty m:val="p"/>
          </m:rPr>
          <m:t>″</m:t>
        </m:r>
        <m:d>
          <m:dPr>
            <m:begChr m:val="("/>
            <m:endChr m:val=")"/>
            <m:sepChr m:val=""/>
            <m:grow/>
          </m:dPr>
          <m:e>
            <m:r>
              <m:t>0</m:t>
            </m:r>
          </m:e>
        </m:d>
        <m:r>
          <m:rPr>
            <m:sty m:val="p"/>
          </m:rPr>
          <m:t>=</m:t>
        </m:r>
        <m:r>
          <m:t>k</m:t>
        </m:r>
        <m:r>
          <m:rPr>
            <m:sty m:val="p"/>
          </m:rPr>
          <m:t>/</m:t>
        </m:r>
        <m:r>
          <m:t>4</m:t>
        </m:r>
      </m:oMath>
      <w:r>
        <w:rPr>
          <w:rFonts w:ascii="Times New Roman" w:hAnsi="Times New Roman" w:cs="Times New Roman" w:eastAsia="Times New Roman"/>
          <w:sz w:val="24"/>
        </w:rPr>
        <w:t xml:space="preserve">. The chart is complementary to the effort-scale non-identifiability transformation (stated in the architecture companion; the delay-dynamics companion owns the family): the separate effort scale is not identifiable from the stock–signal pair alone, and the chart states the groups that do fix the equilibrium ratio and the dimensionless delays once effort is scaled by</w:t>
      </w:r>
      <w:r>
        <w:rPr>
          <w:rFonts w:ascii="Times New Roman" w:hAnsi="Times New Roman" w:cs="Times New Roman" w:eastAsia="Times New Roman"/>
          <w:sz w:val="24"/>
        </w:rPr>
        <w:t xml:space="preserve"> </w:t>
      </w:r>
      <m:oMath>
        <m:sSub>
          <m:e>
            <m:r>
              <m:t>E</m:t>
            </m:r>
          </m:e>
          <m:sub>
            <m:r>
              <m:rPr>
                <m:sty m:val="p"/>
              </m:rPr>
              <m:t>max</m:t>
            </m:r>
          </m:sub>
        </m:sSub>
      </m:oMath>
      <w:r>
        <w:rPr>
          <w:rFonts w:ascii="Times New Roman" w:hAnsi="Times New Roman" w:cs="Times New Roman" w:eastAsia="Times New Roman"/>
          <w:sz w:val="24"/>
        </w:rPr>
        <w:t xml:space="preserve">. The calibration consequence is binding for everything below: parameter claims must be stated in the chart’s groups, and two calibrated systems are comparable only through those groups — never through raw effort scales.</w:t>
      </w:r>
    </w:p>
    <w:bookmarkEnd w:id="48"/>
    <w:bookmarkStart w:id="49" w:name="empirical-hypotheses-with-declared-tests"/>
    <w:p>
      <w:pPr>
        <w:pStyle w:val="Heading2"/>
        <w:spacing w:before="240" w:after="120" w:line="360" w:lineRule="auto"/>
        <w:ind w:firstLine="0" w:left="0"/>
        <w:jc w:val="left"/>
      </w:pPr>
      <w:r>
        <w:rPr>
          <w:rFonts w:ascii="Times New Roman" w:hAnsi="Times New Roman" w:cs="Times New Roman" w:eastAsia="Times New Roman"/>
          <w:b/>
          <w:sz w:val="24"/>
        </w:rPr>
        <w:t xml:space="preserve">5.2 Empirical hypotheses with declared tests</w:t>
      </w:r>
    </w:p>
    <w:p>
      <w:pPr>
        <w:pStyle w:val="FirstParagraph"/>
        <w:spacing w:line="360" w:lineRule="auto" w:after="120"/>
        <w:ind w:firstLine="720"/>
        <w:jc w:val="both"/>
      </w:pPr>
      <w:r>
        <w:rPr>
          <w:rFonts w:ascii="Times New Roman" w:hAnsi="Times New Roman" w:cs="Times New Roman" w:eastAsia="Times New Roman"/>
          <w:sz w:val="24"/>
        </w:rPr>
        <w:t xml:space="preserve">The architecture-level distinctions have prospective empirical consequences; each hypothesis carries its test requirements on the line.</w:t>
      </w:r>
    </w:p>
    <w:p>
      <w:pPr>
        <w:pStyle w:val="BodyText"/>
        <w:spacing w:line="360" w:lineRule="auto" w:after="120"/>
        <w:ind w:firstLine="720"/>
        <w:jc w:val="both"/>
      </w:pPr>
      <w:r>
        <w:rPr>
          <w:rFonts w:ascii="Times New Roman" w:hAnsi="Times New Roman" w:cs="Times New Roman" w:eastAsia="Times New Roman"/>
          <w:b/>
          <w:bCs/>
          <w:sz w:val="24"/>
        </w:rPr>
        <w:t xml:space="preserve">Observation aggregation.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systems where independent component measurements reveal safety-crossing fibres for the operational aggregate indicator, aggregate-only certification will produce nonzero component-safety misclassification under prospective validation. The test must freeze the aggregate, the component thresholds, the candidate population, the observation model, and the error metric before validation; finding no safety-crossing fibre in the declared domain counts against the hypothesis for that application. The certification limit of §4.1 is the mechanism.</w:t>
      </w:r>
    </w:p>
    <w:p>
      <w:pPr>
        <w:pStyle w:val="BodyText"/>
        <w:spacing w:line="360" w:lineRule="auto" w:after="120"/>
        <w:ind w:firstLine="720"/>
        <w:jc w:val="both"/>
      </w:pPr>
      <w:r>
        <w:rPr>
          <w:rFonts w:ascii="Times New Roman" w:hAnsi="Times New Roman" w:cs="Times New Roman" w:eastAsia="Times New Roman"/>
          <w:b/>
          <w:bCs/>
          <w:sz w:val="24"/>
        </w:rPr>
        <w:t xml:space="preserve">Governance phase ordering.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After controlling declared ecological and market confounders, extractive and protective controllers will exhibit opposite signed phase relations between assessed decline and realised extraction, and measured deployment delay will shift that relation in the direction predicted by the registered controller. Contradictory causal ordering, or absence of the preregistered phase relation at adequate power, rejects the mechanism for that population. The frequency-domain caveat governs short records: where a predicted endogenous period is unresolvable, the test estimates gain and phase over resolvable frequencies from exogenous excitation, a dated intervention, or a justified closed-loop identification design (the closed-loop identification literature: Forssell and Ljung 1999) — a stock–effort cross-spectrum alone does not identify the open-loop transfer operator or separate ecological, assessment, decision, and deployment lags.</w:t>
      </w:r>
    </w:p>
    <w:p>
      <w:pPr>
        <w:pStyle w:val="BodyText"/>
        <w:spacing w:line="360" w:lineRule="auto" w:after="120"/>
        <w:ind w:firstLine="720"/>
        <w:jc w:val="both"/>
      </w:pPr>
      <w:r>
        <w:rPr>
          <w:rFonts w:ascii="Times New Roman" w:hAnsi="Times New Roman" w:cs="Times New Roman" w:eastAsia="Times New Roman"/>
          <w:b/>
          <w:bCs/>
          <w:sz w:val="24"/>
        </w:rPr>
        <w:t xml:space="preserve">Substitution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frozen linear technology approximation, dual infeasibility certificates will predict service shortfalls under held-out resource/capacity scenarios more reliably than an unconstrained aggregate elasticity. A fair test compares out-of-sample scenarios and records pathway changes that invalidate the frozen technology matrix.</w:t>
      </w:r>
    </w:p>
    <w:p>
      <w:pPr>
        <w:pStyle w:val="BodyText"/>
        <w:spacing w:line="360" w:lineRule="auto" w:after="120"/>
        <w:ind w:firstLine="720"/>
        <w:jc w:val="both"/>
      </w:pPr>
      <w:r>
        <w:rPr>
          <w:rFonts w:ascii="Times New Roman" w:hAnsi="Times New Roman" w:cs="Times New Roman" w:eastAsia="Times New Roman"/>
          <w:sz w:val="24"/>
        </w:rPr>
        <w:t xml:space="preserve">Three further architecture-level hypotheses are declared at the same status — testable through restricted models, each with its test requirement on the line, none executed.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Stage-composition discrimination.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Models with explicit juvenile compartments outperform adult-only models when recruitment suppression is the dominant pressure; the test is an out-of-sample forecast comparison across the two model classes on the same series.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Spatial-aggregation failure.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Spatially aggregated predictions fail systematically where measured variance places the nonlinear moment correction outside its uncertainty bound; the test compares aggregated and spatially explicit predictions against withheld spatial data.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Exergy/capacity constraint effects.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Exergy/capacity constraints alter deployment and threshold risk in directions predicted before fitting the outcome; the test is intervention trials with and without the capacity constraint under preregistered directional outcomes. Each hypothesis requires a registered minimal model, data-generating process, estimator, and falsification rule, and the full architecture is not fitted merely because a smaller model fails.</w:t>
      </w:r>
    </w:p>
    <w:bookmarkEnd w:id="49"/>
    <w:bookmarkStart w:id="50" w:name="Xb2d6fbcbe0ef0c4948fa065198a76eff2767a15"/>
    <w:p>
      <w:pPr>
        <w:pStyle w:val="Heading2"/>
        <w:spacing w:before="240" w:after="120" w:line="360" w:lineRule="auto"/>
        <w:ind w:firstLine="0" w:left="0"/>
        <w:jc w:val="left"/>
      </w:pPr>
      <w:r>
        <w:rPr>
          <w:rFonts w:ascii="Times New Roman" w:hAnsi="Times New Roman" w:cs="Times New Roman" w:eastAsia="Times New Roman"/>
          <w:b/>
          <w:sz w:val="24"/>
        </w:rPr>
        <w:t xml:space="preserve">5.3 The cross-sectional spectral screen and its input layer</w:t>
      </w:r>
    </w:p>
    <w:p>
      <w:pPr>
        <w:pStyle w:val="FirstParagraph"/>
        <w:spacing w:line="360" w:lineRule="auto" w:after="120"/>
        <w:ind w:firstLine="720"/>
        <w:jc w:val="both"/>
      </w:pPr>
      <w:r>
        <w:rPr>
          <w:rFonts w:ascii="Times New Roman" w:hAnsi="Times New Roman" w:cs="Times New Roman" w:eastAsia="Times New Roman"/>
          <w:sz w:val="24"/>
        </w:rPr>
        <w:t xml:space="preserve">The screen’s input layer is the frozen 42-stock cohort of the RAM Legacy Stock Assessment Database v4.66 (Ricard et al. 2012), selected by a separate annual-review eligibility screen. The release records stock and assessment metadata and series such as biomass, fishing mortality or exploitation rate, total allowable catch, catch advice, and effort; it does not encode controller sign, the decision rule, or dated decision and deployment queues. The annual-review designation is therefore an analysis-side cohort criterion, not a database classification of a stock as extractive or protective. The cohort and its eligibility table are the screen’s input layer — the RAM stock identifiers and the annual-review eligibility table are a registration requirement, declared and not attached — and the worked fisheries ledger cases of the ledger companion are separate objects; fragmenting the screen’s inputs from its analysis would split one analysis across papers.</w:t>
      </w:r>
    </w:p>
    <w:p>
      <w:pPr>
        <w:pStyle w:val="BodyText"/>
        <w:spacing w:line="360" w:lineRule="auto" w:after="120"/>
        <w:ind w:firstLine="720"/>
        <w:jc w:val="both"/>
      </w:pPr>
      <w:r>
        <w:rPr>
          <w:rFonts w:ascii="Times New Roman" w:hAnsi="Times New Roman" w:cs="Times New Roman" w:eastAsia="Times New Roman"/>
          <w:sz w:val="24"/>
        </w:rPr>
        <w:t xml:space="preserve">For each eligible biomass and exploitation/effort proxy series, the analysis detrends according to a declared rule, computes a Lomb–Scargle periodogram (Lomb 1976; Scargle 1982), integrates power in the predeclared bands (4–8 yr biomass, 12–60 yr effort), and compares it with a per-series AR(1) red-noise null, with familywise interpretation across stocks, observables, and bands (false-discovery-rate control in the Benjamini–Hochberg sense; Benjamini and Hochberg 1995); a peak is classified as robust only if it survives the null comparison, the multiplicity adjustment, and sensitivity to detrending and endpoint choices — with the processed series and spectral routines a declared, unattached registration requirement.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The result is a spectral null: no stock has a peak in the declared biomass or effort band meeting all robustness criteria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(Baltic sprat, for example, has biomass coefficient of variation 0.40, but its variation is low-frequency and regime-dominated rather than a robust target-band peak). The null carries its three-way restriction on the line: it is not proof of absence, not a comparison of controller signs, and not causal evidence that annual review stabilises anything. On the stage-structured review map, annual-review stability at every tested response value is consistent with this null; consistency is not a test.</w:t>
      </w:r>
    </w:p>
    <w:bookmarkEnd w:id="50"/>
    <w:bookmarkStart w:id="51" w:name="power-and-detectability"/>
    <w:p>
      <w:pPr>
        <w:pStyle w:val="Heading2"/>
        <w:spacing w:before="240" w:after="120" w:line="360" w:lineRule="auto"/>
        <w:ind w:firstLine="0" w:left="0"/>
        <w:jc w:val="left"/>
      </w:pPr>
      <w:r>
        <w:rPr>
          <w:rFonts w:ascii="Times New Roman" w:hAnsi="Times New Roman" w:cs="Times New Roman" w:eastAsia="Times New Roman"/>
          <w:b/>
          <w:sz w:val="24"/>
        </w:rPr>
        <w:t xml:space="preserve">5.4 Power and detectability</w:t>
      </w:r>
    </w:p>
    <w:p>
      <w:pPr>
        <w:pStyle w:val="FirstParagraph"/>
        <w:spacing w:line="360" w:lineRule="auto" w:after="120"/>
        <w:ind w:firstLine="720"/>
        <w:jc w:val="both"/>
      </w:pPr>
      <w:r>
        <w:rPr>
          <w:rFonts w:ascii="Times New Roman" w:hAnsi="Times New Roman" w:cs="Times New Roman" w:eastAsia="Times New Roman"/>
          <w:sz w:val="24"/>
        </w:rPr>
        <w:t xml:space="preserve">Power experiments inject the model-generated effort signal into AR(1)-type noise and apply the same band-power statistic (conventional power-analysis framing: Cohen 1988). On 100–200 yr synthetic records, the sprat-class signal has estimated power 1.0 at noise scale</w:t>
      </w:r>
      <w:r>
        <w:rPr>
          <w:rFonts w:ascii="Times New Roman" w:hAnsi="Times New Roman" w:cs="Times New Roman" w:eastAsia="Times New Roman"/>
          <w:sz w:val="24"/>
        </w:rPr>
        <w:t xml:space="preserve"> </w:t>
      </w:r>
      <m:oMath>
        <m:r>
          <m:t>σ</m:t>
        </m:r>
        <m:r>
          <m:rPr>
            <m:sty m:val="p"/>
          </m:rPr>
          <m:t>=</m:t>
        </m:r>
        <m:r>
          <m:t>0.1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approximately 0.24–0.58 at</w:t>
      </w:r>
      <w:r>
        <w:rPr>
          <w:rFonts w:ascii="Times New Roman" w:hAnsi="Times New Roman" w:cs="Times New Roman" w:eastAsia="Times New Roman"/>
          <w:sz w:val="24"/>
        </w:rPr>
        <w:t xml:space="preserve"> </w:t>
      </w:r>
      <m:oMath>
        <m:r>
          <m:t>σ</m:t>
        </m:r>
        <m:r>
          <m:rPr>
            <m:sty m:val="p"/>
          </m:rPr>
          <m:t>=</m:t>
        </m:r>
        <m:r>
          <m:t>0.3</m:t>
        </m:r>
      </m:oMath>
      <w:r>
        <w:rPr>
          <w:rFonts w:ascii="Times New Roman" w:hAnsi="Times New Roman" w:cs="Times New Roman" w:eastAsia="Times New Roman"/>
          <w:sz w:val="24"/>
        </w:rPr>
        <w:t xml:space="preserve">; the anchovy-class effort signal has power approximately 0.02–0.14 over the tested horizons and noise levels — its longer effort peak and slow amplitude growth can offset its larger relative excursion. These are conditional simulations: no minimum-power guarantee holds per empirical stock, and the 100–200 yr horizons exceed many eligible series. The anchovy-class null is consequently weakly informative under the declared test, and the sprat-class result is informative only in favourable noise and record-length regimes; the empirical screen is a selected-cohort consistency check and the baseline for a prospective design, not a general test of the extractive mechanism. The power simulation code and seeds are a registration requirement not discharged.</w:t>
      </w:r>
    </w:p>
    <w:p>
      <w:pPr>
        <w:pStyle w:val="BodyText"/>
        <w:spacing w:line="360" w:lineRule="auto" w:after="120"/>
        <w:ind w:firstLine="720"/>
        <w:jc w:val="both"/>
      </w:pPr>
      <w:r>
        <w:rPr>
          <w:rFonts w:ascii="Times New Roman" w:hAnsi="Times New Roman" w:cs="Times New Roman" w:eastAsia="Times New Roman"/>
          <w:sz w:val="24"/>
        </w:rPr>
        <w:t xml:space="preserve">The evidentiary separation is total: the stage-dependent regions, noise experiments, and power estimates do not establish population-wide frequencies or policy effects and cannot be transferred to SD-E-B3 or to protective control. A prospective test defines the candidate universe, controller eligibility, primary endpoint, spectral band, null model, multiplicity control, and minimum power before outcomes are examined. A complementary design estimates resolvable gain and phase rather than waiting for several complete endogenous cycles: for a locally linear registered model, the empirical target is the frequency response from an independently timed assessment or command perturbation to realised effort and stock response over the annual-to-decadal band the data support; identification requires exogenous excitation, an intervention design, or a justified closed-loop method; the analysis reports phase margin and uncertainty, compares alternative ecological and controller factorizations, and rejects the mechanism when no admissible factorization reproduces the preregistered gain–phase curve. This design can test feedback architecture even when century-scale periods are unobservable, but it cannot separately identify lag components without the dated records of §7.1.</w:t>
      </w:r>
    </w:p>
    <w:bookmarkEnd w:id="51"/>
    <w:bookmarkEnd w:id="52"/>
    <w:bookmarkStart w:id="58" w:name="case-screening-and-the-northern-cod-case"/>
    <w:p>
      <w:pPr>
        <w:pStyle w:val="Heading1"/>
        <w:spacing w:before="360" w:after="120" w:line="360" w:lineRule="auto"/>
        <w:ind w:firstLine="0" w:left="0"/>
        <w:jc w:val="left"/>
      </w:pPr>
      <w:r>
        <w:rPr>
          <w:rFonts w:ascii="Times New Roman" w:hAnsi="Times New Roman" w:cs="Times New Roman" w:eastAsia="Times New Roman"/>
          <w:b/>
          <w:sz w:val="28"/>
        </w:rPr>
        <w:t xml:space="preserve">6. Case screening and the northern cod case</w:t>
      </w:r>
    </w:p>
    <w:bookmarkStart w:id="53" w:name="the-structured-search-and-its-zero-count"/>
    <w:p>
      <w:pPr>
        <w:pStyle w:val="Heading2"/>
        <w:spacing w:before="240" w:after="120" w:line="360" w:lineRule="auto"/>
        <w:ind w:firstLine="0" w:left="0"/>
        <w:jc w:val="left"/>
      </w:pPr>
      <w:r>
        <w:rPr>
          <w:rFonts w:ascii="Times New Roman" w:hAnsi="Times New Roman" w:cs="Times New Roman" w:eastAsia="Times New Roman"/>
          <w:b/>
          <w:sz w:val="24"/>
        </w:rPr>
        <w:t xml:space="preserve">6.1 The structured search and its zero count</w:t>
      </w:r>
    </w:p>
    <w:p>
      <w:pPr>
        <w:pStyle w:val="FirstParagraph"/>
        <w:spacing w:line="360" w:lineRule="auto" w:after="120"/>
        <w:ind w:firstLine="720"/>
        <w:jc w:val="both"/>
      </w:pPr>
      <w:r>
        <w:rPr>
          <w:rFonts w:ascii="Times New Roman" w:hAnsi="Times New Roman" w:cs="Times New Roman" w:eastAsia="Times New Roman"/>
          <w:sz w:val="24"/>
        </w:rPr>
        <w:t xml:space="preserve">The case search considered more than 30 systems spanning fisheries, aquaculture, groundwater, surface water, rangeland, wildlife harvest, forestry, and produced-capital markets, under four criteria: (i) a responsive institutional feedback rather than a one-time cap or ban; (ii) an independently dateable response or implementation lag; (iii) no major environmental, biological, or structural driver capable of generating the same outcome; and (iv) individual-resource or individual-station data rather than an aggregate series.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candidate satisfied all four criteria after primary-source and station-level review.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Behind criterion (iii) stands a named enumeration of the alternative mechanisms that can mimic or replace an institutional cycle — stage/maturation delays and cohort resonance; recruitment suppression versus stock culling; support-pool/nutrient limitation; pollution/waste feedback; predator–prey or climatic forcing; and direct abiotic mining and slow-store exhaustion — with the rule that a candidate institutional mechanism must be compared with these alternatives rather than identified from periodicity alone. The criteria themselves prevent the zero count from serving as independent disconfirmation: because eligibility deliberately excludes any major competing driver, the null is a property of the searched candidate set, not a statistical test against the mechanism. Bangkok (durably) and La Mancha Oriental (on the stabilising side before its 2019–2023 extraction relapse) are the closest cases; the unconfounded delay oscillators identified in produced-capital systems (livestock and electricity-capacity cycles) do not contain the autonomously regenerating stock the resource model assumes.</w:t>
      </w:r>
    </w:p>
    <w:p>
      <w:pPr>
        <w:pStyle w:val="BodyText"/>
        <w:spacing w:line="360" w:lineRule="auto" w:after="120"/>
        <w:ind w:firstLine="720"/>
        <w:jc w:val="both"/>
      </w:pPr>
      <w:r>
        <w:rPr>
          <w:rFonts w:ascii="Times New Roman" w:hAnsi="Times New Roman" w:cs="Times New Roman" w:eastAsia="Times New Roman"/>
          <w:sz w:val="24"/>
        </w:rPr>
        <w:t xml:space="preserve">The case-level coefficients, correlations, periods, and lag estimates are author calculations from registered input series, not source-reported values: Sheridan-6 groundwater shows a decline–recovery–decline pattern with precipitation explaining approximately half the index-well variance (</w:t>
      </w:r>
      <m:oMath>
        <m:sSup>
          <m:e>
            <m:r>
              <m:t>R</m:t>
            </m:r>
          </m:e>
          <m:sup>
            <m:r>
              <m:t>2</m:t>
            </m:r>
          </m:sup>
        </m:sSup>
        <m:r>
          <m:rPr>
            <m:sty m:val="p"/>
          </m:rPr>
          <m:t>≈</m:t>
        </m:r>
        <m:r>
          <m:t>0.47</m:t>
        </m:r>
      </m:oMath>
      <w:r>
        <w:rPr>
          <w:rFonts w:ascii="Times New Roman" w:hAnsi="Times New Roman" w:cs="Times New Roman" w:eastAsia="Times New Roman"/>
          <w:sz w:val="24"/>
        </w:rPr>
        <w:t xml:space="preserve">), and the official programme record establishes a 55 acre-inch block allocation over the five-year first period rather than a continuously adjusted feedback; Bangkok pumping declines after 1999, but subsidence and recovery contain spatially heterogeneous consolidation and rainfall effects; La Mancha Oriental extraction rose again in 2019–2023 to an author-calculated average of approximately 312 hm³ yr⁻¹, with crop composition, evapotranspiration, and surface-water substitution complicating attribution; Icelandic cod under the 1995 harvest-control rule (annual total allowable catch at 25% of fishable biomass, subject to a minimum catch provision) has an author-calculated post-rule coefficient of variation 0.387 with a 10–15 yr fluctuation, but the estimated implementation lag is approximately 0.2–0.3 yr — a lag that is not a review interval and is not inserted into the sampled model as</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and cohort resonance supplies an alternative mechanism, its period 15–25 times shorter than the four-state prediction; Icelandic haddock under a related rule has a post-implementation coefficient of variation of 0.143, lower despite higher recruitment variability. Peruvian anchoveta provides a further discriminator: the 1950–2019 catch series has a robust period near 3.7 yr, consistent with ENSO recurrence, and cross-correlation gives</w:t>
      </w:r>
      <w:r>
        <w:rPr>
          <w:rFonts w:ascii="Times New Roman" w:hAnsi="Times New Roman" w:cs="Times New Roman" w:eastAsia="Times New Roman"/>
          <w:sz w:val="24"/>
        </w:rPr>
        <w:t xml:space="preserve"> </w:t>
      </w:r>
      <m:oMath>
        <m:d>
          <m:dPr>
            <m:begChr m:val="|"/>
            <m:endChr m:val="|"/>
            <m:sepChr m:val=""/>
            <m:grow/>
          </m:dPr>
          <m:e>
            <m:r>
              <m:t>r</m:t>
            </m:r>
          </m:e>
        </m:d>
        <m:r>
          <m:rPr>
            <m:sty m:val="p"/>
          </m:rPr>
          <m:t>≈</m:t>
        </m:r>
        <m:r>
          <m:t>0.31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ENSO leading catch; the correlation is retained as exploratory pending exact identification of the ENSO product, and the subannual review regime lies below the anchovy-class response region — but controller nonclassification prevents that comparison from testing the mechanism. The case-screening table and query log are a registration requirement not discharged.</w:t>
      </w:r>
    </w:p>
    <w:p>
      <w:pPr>
        <w:pStyle w:val="BodyText"/>
        <w:spacing w:line="360" w:lineRule="auto" w:after="120"/>
        <w:ind w:firstLine="720"/>
        <w:jc w:val="both"/>
      </w:pPr>
      <w:r>
        <w:rPr>
          <w:rFonts w:ascii="Times New Roman" w:hAnsi="Times New Roman" w:cs="Times New Roman" w:eastAsia="Times New Roman"/>
          <w:sz w:val="24"/>
        </w:rPr>
        <w:t xml:space="preserve">Two structural reasons explain the null: the long records needed to test the claim exist primarily for visible crises, and visibility is correlated with a fast non-institutional driver; and at any regeneration rate inside the instability window the predicted period is centuries, longer than any institution has held a fixed response rule. The visible-record pattern — long series repeatedly associated with climate variability, cohort effects, infrastructure changes, or emergency interventions — is consistent with a selection mechanism in which systems receive intensive monitoring after complex crises, but the retrospective search does not causally identify selection bias.</w:t>
      </w:r>
    </w:p>
    <w:bookmarkEnd w:id="53"/>
    <w:bookmarkStart w:id="54" w:name="X2748f9ccf94041baa58dc94c22f050f39b36989"/>
    <w:p>
      <w:pPr>
        <w:pStyle w:val="Heading2"/>
        <w:spacing w:before="240" w:after="120" w:line="360" w:lineRule="auto"/>
        <w:ind w:firstLine="0" w:left="0"/>
        <w:jc w:val="left"/>
      </w:pPr>
      <w:r>
        <w:rPr>
          <w:rFonts w:ascii="Times New Roman" w:hAnsi="Times New Roman" w:cs="Times New Roman" w:eastAsia="Times New Roman"/>
          <w:b/>
          <w:sz w:val="24"/>
        </w:rPr>
        <w:t xml:space="preserve">6.2 The constitutive model and the phase-line obstruction</w:t>
      </w:r>
    </w:p>
    <w:p>
      <w:pPr>
        <w:pStyle w:val="FirstParagraph"/>
        <w:spacing w:line="360" w:lineRule="auto" w:after="120"/>
        <w:ind w:firstLine="720"/>
        <w:jc w:val="both"/>
      </w:pPr>
      <w:r>
        <w:rPr>
          <w:rFonts w:ascii="Times New Roman" w:hAnsi="Times New Roman" w:cs="Times New Roman" w:eastAsia="Times New Roman"/>
          <w:sz w:val="24"/>
        </w:rPr>
        <w:t xml:space="preserve">The northern cod case (NAFO 2J3KL) — the collapse and protracted non-recovery of the Newfoundland and Labrador northern cod stock, the canonical collapse narrative of fisheries science (Hutchings and Myers 1994; Walters and Maguire 1996) — is carried as a bounded empirical object with the strong-Allee surplus equation as its illustrative constitutive model:</w:t>
      </w:r>
    </w:p>
    <w:p>
      <w:pPr>
        <w:pStyle w:val="BodyText"/>
        <w:spacing w:line="360" w:lineRule="auto" w:before="120" w:after="120"/>
        <w:ind w:firstLine="0"/>
        <w:jc w:val="center"/>
      </w:pPr>
      <m:oMathPara>
        <m:oMathParaPr>
          <m:jc m:val="center"/>
        </m:oMathParaPr>
        <m:oMath>
          <m:f>
            <m:fPr>
              <m:type m:val="bar"/>
            </m:fPr>
            <m:num>
              <m:r>
                <m:t>d</m:t>
              </m:r>
              <m:r>
                <m:t>S</m:t>
              </m:r>
            </m:num>
            <m:den>
              <m:r>
                <m:t>d</m:t>
              </m:r>
              <m:r>
                <m:t>t</m:t>
              </m:r>
            </m:den>
          </m:f>
          <m:r>
            <m:rPr>
              <m:sty m:val="p"/>
            </m:rPr>
            <m:t>=</m:t>
          </m:r>
          <m:r>
            <m:t>r</m:t>
          </m:r>
          <m:r>
            <m:t>S</m:t>
          </m:r>
          <m:d>
            <m:dPr>
              <m:begChr m:val="("/>
              <m:endChr m:val=")"/>
              <m:sepChr m:val=""/>
              <m:grow/>
            </m:dPr>
            <m:e>
              <m:r>
                <m:t>1</m:t>
              </m:r>
              <m:r>
                <m:rPr>
                  <m:sty m:val="p"/>
                </m:rPr>
                <m:t>−</m:t>
              </m:r>
              <m:f>
                <m:fPr>
                  <m:type m:val="bar"/>
                </m:fPr>
                <m:num>
                  <m:r>
                    <m:t>S</m:t>
                  </m:r>
                </m:num>
                <m:den>
                  <m:r>
                    <m:t>K</m:t>
                  </m:r>
                </m:den>
              </m:f>
            </m:e>
          </m:d>
          <m:f>
            <m:fPr>
              <m:type m:val="bar"/>
            </m:fPr>
            <m:num>
              <m:r>
                <m:t>S</m:t>
              </m:r>
              <m:r>
                <m:rPr>
                  <m:sty m:val="p"/>
                </m:rPr>
                <m:t>−</m:t>
              </m:r>
              <m:r>
                <m:rPr>
                  <m:sty m:val="p"/>
                  <m:scr m:val="fraktur"/>
                </m:rPr>
                <m:t>s</m:t>
              </m:r>
            </m:num>
            <m:den>
              <m:r>
                <m:t>K</m:t>
              </m:r>
              <m:r>
                <m:rPr>
                  <m:sty m:val="p"/>
                </m:rPr>
                <m:t>−</m:t>
              </m:r>
              <m:r>
                <m:rPr>
                  <m:sty m:val="p"/>
                  <m:scr m:val="fraktur"/>
                </m:rPr>
                <m:t>s</m:t>
              </m:r>
            </m:den>
          </m:f>
          <m:r>
            <m:rPr>
              <m:sty m:val="p"/>
            </m:rPr>
            <m:t>−</m:t>
          </m:r>
          <m:r>
            <m:t>C</m:t>
          </m:r>
          <m:d>
            <m:dPr>
              <m:begChr m:val="("/>
              <m:endChr m:val=")"/>
              <m:sepChr m:val=""/>
              <m:grow/>
            </m:dPr>
            <m:e>
              <m:r>
                <m:t>t</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spawning stock biomass,</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intrinsic growth rate,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unexploited carrying capacity,</w:t>
      </w:r>
      <w:r>
        <w:rPr>
          <w:rFonts w:ascii="Times New Roman" w:hAnsi="Times New Roman" w:cs="Times New Roman" w:eastAsia="Times New Roman"/>
          <w:sz w:val="24"/>
        </w:rPr>
        <w:t xml:space="preserve"> </w:t>
      </w:r>
      <m:oMath>
        <m:r>
          <m:rPr>
            <m:sty m:val="p"/>
            <m:scr m:val="fraktur"/>
          </m:rP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unstable threshold, and</w:t>
      </w:r>
      <w:r>
        <w:rPr>
          <w:rFonts w:ascii="Times New Roman" w:hAnsi="Times New Roman" w:cs="Times New Roman" w:eastAsia="Times New Roman"/>
          <w:sz w:val="24"/>
        </w:rPr>
        <w:t xml:space="preserve"> </w:t>
      </w:r>
      <m:oMath>
        <m:r>
          <m:t>C</m:t>
        </m:r>
        <m:d>
          <m:dPr>
            <m:begChr m:val="("/>
            <m:endChr m:val=")"/>
            <m:sepChr m:val=""/>
            <m:grow/>
          </m:dPr>
          <m:e>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removals. The Schaefer model is the degenerate member of this family in which the factor</w:t>
      </w:r>
      <w:r>
        <w:rPr>
          <w:rFonts w:ascii="Times New Roman" w:hAnsi="Times New Roman" w:cs="Times New Roman" w:eastAsia="Times New Roman"/>
          <w:sz w:val="24"/>
        </w:rPr>
        <w:t xml:space="preserve"> </w:t>
      </w:r>
      <m:oMath>
        <m:d>
          <m:dPr>
            <m:begChr m:val="("/>
            <m:endChr m:val=")"/>
            <m:sepChr m:val=""/>
            <m:grow/>
          </m:dPr>
          <m:e>
            <m:r>
              <m:t>S</m:t>
            </m:r>
            <m:r>
              <m:rPr>
                <m:sty m:val="p"/>
              </m:rPr>
              <m:t>−</m:t>
            </m:r>
            <m:r>
              <m:rPr>
                <m:sty m:val="p"/>
                <m:scr m:val="fraktur"/>
              </m:rPr>
              <m:t>s</m:t>
            </m:r>
          </m:e>
        </m:d>
        <m:r>
          <m:rPr>
            <m:sty m:val="p"/>
          </m:rPr>
          <m:t>/</m:t>
        </m:r>
        <m:d>
          <m:dPr>
            <m:begChr m:val="("/>
            <m:endChr m:val=")"/>
            <m:sepChr m:val=""/>
            <m:grow/>
          </m:dPr>
          <m:e>
            <m:r>
              <m:t>K</m:t>
            </m:r>
            <m:r>
              <m:rPr>
                <m:sty m:val="p"/>
              </m:rPr>
              <m:t>−</m:t>
            </m:r>
            <m:r>
              <m:rPr>
                <m:sty m:val="p"/>
                <m:scr m:val="fraktur"/>
              </m:rPr>
              <m:t>s</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replaced by</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no value of</w:t>
      </w:r>
      <w:r>
        <w:rPr>
          <w:rFonts w:ascii="Times New Roman" w:hAnsi="Times New Roman" w:cs="Times New Roman" w:eastAsia="Times New Roman"/>
          <w:sz w:val="24"/>
        </w:rPr>
        <w:t xml:space="preserve"> </w:t>
      </w:r>
      <m:oMath>
        <m:r>
          <m:rPr>
            <m:sty m:val="p"/>
            <m:scr m:val="fraktur"/>
          </m:rP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makes the displayed factor identically</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 tends to</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in the limit</w:t>
      </w:r>
      <w:r>
        <w:rPr>
          <w:rFonts w:ascii="Times New Roman" w:hAnsi="Times New Roman" w:cs="Times New Roman" w:eastAsia="Times New Roman"/>
          <w:sz w:val="24"/>
        </w:rPr>
        <w:t xml:space="preserve"> </w:t>
      </w:r>
      <m:oMath>
        <m:r>
          <m:rPr>
            <m:sty m:val="p"/>
            <m:scr m:val="fraktur"/>
          </m:rPr>
          <m:t>s</m:t>
        </m:r>
        <m:r>
          <m:rPr>
            <m:sty m:val="p"/>
          </m:rPr>
          <m:t>→</m:t>
        </m:r>
        <m:r>
          <m:rPr>
            <m:sty m:val="p"/>
          </m:rPr>
          <m:t>−</m:t>
        </m:r>
        <m:r>
          <m:rPr>
            <m:sty m:val="p"/>
          </m:rPr>
          <m:t>∞</m:t>
        </m:r>
      </m:oMath>
      <w:r>
        <w:rPr>
          <w:rFonts w:ascii="Times New Roman" w:hAnsi="Times New Roman" w:cs="Times New Roman" w:eastAsia="Times New Roman"/>
          <w:sz w:val="24"/>
        </w:rPr>
        <w:t xml:space="preserve">), so the Schaefer comparison is a change of growth law, not a parameter specialisation. The constitutive assumption stands as such — the equation is an illustrative model, not a fit — and the obstruction class is the one-dimensional autonomous equation with fixed parameters and fixed removals: the displayed equation is autonomous exactly when removals are fixed.</w:t>
      </w:r>
    </w:p>
    <w:p>
      <w:pPr>
        <w:pStyle w:val="BodyText"/>
        <w:spacing w:line="360" w:lineRule="auto" w:after="120"/>
        <w:ind w:firstLine="720"/>
        <w:jc w:val="both"/>
      </w:pPr>
      <w:r>
        <w:rPr>
          <w:rFonts w:ascii="Times New Roman" w:hAnsi="Times New Roman" w:cs="Times New Roman" w:eastAsia="Times New Roman"/>
          <w:b/>
          <w:bCs/>
          <w:sz w:val="24"/>
        </w:rPr>
        <w:t xml:space="preserve">Proposition (scalar-autonomous phase-line obstruction).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nonconstant solution of a locally Lipschitz scalar autonomous ODE is monotone between equilibria and cannot cross an equilibrium in either direction. Consequently, an exact path that repeatedly rises and falls across a common interval is incompatible with any single fixed scalar autonomous model.</w:t>
      </w:r>
    </w:p>
    <w:p>
      <w:pPr>
        <w:pStyle w:val="BodyText"/>
        <w:spacing w:line="360" w:lineRule="auto" w:after="120"/>
        <w:ind w:firstLine="720"/>
        <w:jc w:val="both"/>
      </w:pPr>
      <w:r>
        <w:rPr>
          <w:rFonts w:ascii="Times New Roman" w:hAnsi="Times New Roman" w:cs="Times New Roman" w:eastAsia="Times New Roman"/>
          <w:i/>
          <w:iCs/>
          <w:sz w:val="24"/>
        </w:rPr>
        <w:t xml:space="preserve">Proof (verified present; reproduced).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acc>
          <m:accPr>
            <m:chr m:val="̇"/>
          </m:accPr>
          <m:e>
            <m:r>
              <m:t>x</m:t>
            </m:r>
          </m:e>
        </m:acc>
        <m:r>
          <m:rPr>
            <m:sty m:val="p"/>
          </m:rPr>
          <m:t>=</m:t>
        </m:r>
        <m:r>
          <m:t>f</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locally Lipschitz. If</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nonconstant on an interval and</w:t>
      </w:r>
      <w:r>
        <w:rPr>
          <w:rFonts w:ascii="Times New Roman" w:hAnsi="Times New Roman" w:cs="Times New Roman" w:eastAsia="Times New Roman"/>
          <w:sz w:val="24"/>
        </w:rPr>
        <w:t xml:space="preserve"> </w:t>
      </w:r>
      <m:oMath>
        <m:r>
          <m:t>x</m:t>
        </m:r>
        <m:d>
          <m:dPr>
            <m:begChr m:val="("/>
            <m:endChr m:val=")"/>
            <m:sepChr m:val=""/>
            <m:grow/>
          </m:dPr>
          <m:e>
            <m:sSub>
              <m:e>
                <m:r>
                  <m:t>t</m:t>
                </m:r>
              </m:e>
              <m:sub>
                <m:r>
                  <m:t>1</m:t>
                </m:r>
              </m:sub>
            </m:sSub>
          </m:e>
        </m:d>
        <m:r>
          <m:rPr>
            <m:sty m:val="p"/>
          </m:rPr>
          <m:t>=</m:t>
        </m:r>
        <m:r>
          <m:t>x</m:t>
        </m:r>
        <m:d>
          <m:dPr>
            <m:begChr m:val="("/>
            <m:endChr m:val=")"/>
            <m:sepChr m:val=""/>
            <m:grow/>
          </m:dPr>
          <m:e>
            <m:sSub>
              <m:e>
                <m:r>
                  <m:t>t</m:t>
                </m:r>
              </m:e>
              <m:sub>
                <m:r>
                  <m:t>2</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t</m:t>
            </m:r>
          </m:e>
          <m:sub>
            <m:r>
              <m:t>1</m:t>
            </m:r>
          </m:sub>
        </m:sSub>
        <m:r>
          <m:rPr>
            <m:sty m:val="p"/>
          </m:rPr>
          <m:t>&lt;</m:t>
        </m:r>
        <m:sSub>
          <m:e>
            <m:r>
              <m:t>t</m:t>
            </m:r>
          </m:e>
          <m:sub>
            <m:r>
              <m:t>2</m:t>
            </m:r>
          </m:sub>
        </m:sSub>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attains an interior extremum at some</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acc>
          <m:accPr>
            <m:chr m:val="̇"/>
          </m:accPr>
          <m:e>
            <m:r>
              <m:t>x</m:t>
            </m:r>
          </m:e>
        </m:acc>
        <m:d>
          <m:dPr>
            <m:begChr m:val="("/>
            <m:endChr m:val=")"/>
            <m:sepChr m:val=""/>
            <m:grow/>
          </m:dPr>
          <m:e>
            <m:r>
              <m:t>τ</m:t>
            </m:r>
          </m:e>
        </m:d>
        <m:r>
          <m:rPr>
            <m:sty m:val="p"/>
          </m:rPr>
          <m:t>=</m:t>
        </m:r>
        <m:r>
          <m:t>0</m:t>
        </m:r>
      </m:oMath>
      <w:r>
        <w:rPr>
          <w:rFonts w:ascii="Times New Roman" w:hAnsi="Times New Roman" w:cs="Times New Roman" w:eastAsia="Times New Roman"/>
          <w:sz w:val="24"/>
        </w:rPr>
        <w:t xml:space="preserve">, i.e. </w:t>
      </w:r>
      <m:oMath>
        <m:r>
          <m:t>f</m:t>
        </m:r>
        <m:d>
          <m:dPr>
            <m:begChr m:val="("/>
            <m:endChr m:val=")"/>
            <m:sepChr m:val=""/>
            <m:grow/>
          </m:dPr>
          <m:e>
            <m:r>
              <m:t>x</m:t>
            </m:r>
            <m:d>
              <m:dPr>
                <m:begChr m:val="("/>
                <m:endChr m:val=")"/>
                <m:sepChr m:val=""/>
                <m:grow/>
              </m:dPr>
              <m:e>
                <m:r>
                  <m:t>τ</m:t>
                </m:r>
              </m:e>
            </m:d>
          </m:e>
        </m:d>
        <m:r>
          <m:rPr>
            <m:sty m:val="p"/>
          </m:rPr>
          <m:t>=</m:t>
        </m:r>
        <m:r>
          <m:t>0</m:t>
        </m:r>
      </m:oMath>
      <w:r>
        <w:rPr>
          <w:rFonts w:ascii="Times New Roman" w:hAnsi="Times New Roman" w:cs="Times New Roman" w:eastAsia="Times New Roman"/>
          <w:sz w:val="24"/>
        </w:rPr>
        <w:t xml:space="preserve">; by uniqueness the solution through</w:t>
      </w:r>
      <w:r>
        <w:rPr>
          <w:rFonts w:ascii="Times New Roman" w:hAnsi="Times New Roman" w:cs="Times New Roman" w:eastAsia="Times New Roman"/>
          <w:sz w:val="24"/>
        </w:rPr>
        <w:t xml:space="preserve"> </w:t>
      </w:r>
      <m:oMath>
        <m:d>
          <m:dPr>
            <m:begChr m:val="("/>
            <m:endChr m:val=")"/>
            <m:sepChr m:val=""/>
            <m:grow/>
          </m:dPr>
          <m:e>
            <m:r>
              <m:t>τ</m:t>
            </m:r>
            <m:r>
              <m:rPr>
                <m:sty m:val="p"/>
              </m:rPr>
              <m:t>,</m:t>
            </m:r>
            <m:r>
              <m:t>x</m:t>
            </m:r>
            <m:d>
              <m:dPr>
                <m:begChr m:val="("/>
                <m:endChr m:val=")"/>
                <m:sepChr m:val=""/>
                <m:grow/>
              </m:dPr>
              <m:e>
                <m:r>
                  <m:t>τ</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constant equilibrium solution, a contradiction. So every solution is strictly monotone or constant. If a trajectory met an equilibrium value</w:t>
      </w:r>
      <w:r>
        <w:rPr>
          <w:rFonts w:ascii="Times New Roman" w:hAnsi="Times New Roman" w:cs="Times New Roman" w:eastAsia="Times New Roman"/>
          <w:sz w:val="24"/>
        </w:rPr>
        <w:t xml:space="preserve"> </w:t>
      </w:r>
      <m:oMath>
        <m:sSup>
          <m:e>
            <m:r>
              <m:t>x</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any time it would be constant thereafter and, by uniqueness applied backwards, before; hence a nonconstant solution never attains an equilibrium value and cannot cross one in either direction. A path that rises and falls across a common interval attains some level twice with opposite directions, contradicting monotonicity. ∎</w:t>
      </w:r>
    </w:p>
    <w:p>
      <w:pPr>
        <w:pStyle w:val="BodyText"/>
        <w:spacing w:line="360" w:lineRule="auto" w:after="120"/>
        <w:ind w:firstLine="720"/>
        <w:jc w:val="both"/>
      </w:pPr>
      <w:r>
        <w:rPr>
          <w:rFonts w:ascii="Times New Roman" w:hAnsi="Times New Roman" w:cs="Times New Roman" w:eastAsia="Times New Roman"/>
          <w:sz w:val="24"/>
        </w:rPr>
        <w:t xml:space="preserve">The obstruction is stronger and cleaner than a threshold-location trichotomy, and narrower: it concerns exact trajectories, not noisy estimates or forced systems. On this proposition rests the case’s incompatibility result: any autonomous fixed-</w:t>
      </w:r>
      <m:oMath>
        <m:d>
          <m:dPr>
            <m:begChr m:val="("/>
            <m:endChr m:val=")"/>
            <m:sepChr m:val=""/>
            <m:grow/>
          </m:dPr>
          <m:e>
            <m:r>
              <m:t>r</m:t>
            </m:r>
            <m:r>
              <m:rPr>
                <m:sty m:val="p"/>
              </m:rPr>
              <m:t>,</m:t>
            </m:r>
            <m:r>
              <m:t>K</m:t>
            </m:r>
            <m:r>
              <m:rPr>
                <m:sty m:val="p"/>
              </m:rPr>
              <m:t>,</m:t>
            </m:r>
            <m:r>
              <m:rPr>
                <m:sty m:val="p"/>
                <m:scr m:val="fraktur"/>
              </m:rPr>
              <m:t>s</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is incompatible with the non-monotonic post-moratorium trajectory — the series that both rises and falls across tens of thousands of tonnes after 1992 cannot remain in one basin of the threshold and cannot cross the threshold in both directions. Two scope statements govern the result. The reliable contradiction is repeated direction reversal: convergence toward</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be arbitrarily slow near degeneracy, so failure to reach an unspecified biomass by an unspecified deadline is not a contradiction. And the obstruction must be separated from rejection under measurement error, process noise, age structure, migration, time-varying mortality, and state-space observation models — the incompatibility is a property of the exact trajectory class, nothing broader.</w:t>
      </w:r>
    </w:p>
    <w:p>
      <w:pPr>
        <w:pStyle w:val="BodyText"/>
        <w:spacing w:line="360" w:lineRule="auto" w:after="120"/>
        <w:ind w:firstLine="720"/>
        <w:jc w:val="both"/>
      </w:pPr>
      <w:r>
        <w:rPr>
          <w:rFonts w:ascii="Times New Roman" w:hAnsi="Times New Roman" w:cs="Times New Roman" w:eastAsia="Times New Roman"/>
          <w:b/>
          <w:bCs/>
          <w:sz w:val="24"/>
        </w:rPr>
        <w:t xml:space="preserve">Lemma (extra-loss threshold shift,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constitutive model with an additional constant loss (</w:t>
      </w:r>
      <m:oMath>
        <m:r>
          <m:t>C</m:t>
        </m:r>
        <m:r>
          <m:rPr>
            <m:sty m:val="p"/>
          </m:rPr>
          <m:t>&gt;</m:t>
        </m:r>
        <m:r>
          <m:t>0</m:t>
        </m:r>
      </m:oMath>
      <w:r>
        <w:rPr>
          <w:rFonts w:ascii="Times New Roman" w:hAnsi="Times New Roman" w:cs="Times New Roman" w:eastAsia="Times New Roman"/>
          <w:sz w:val="24"/>
        </w:rPr>
        <w:t xml:space="preserve">) or extra mortality (</w:t>
      </w:r>
      <m:oMath>
        <m:sSub>
          <m:e>
            <m:r>
              <m:t>M</m:t>
            </m:r>
          </m:e>
          <m:sub>
            <m:r>
              <m:t>x</m:t>
            </m:r>
          </m:sub>
        </m:sSub>
        <m:r>
          <m:rPr>
            <m:sty m:val="p"/>
          </m:rPr>
          <m:t>&gt;</m:t>
        </m:r>
        <m:r>
          <m:t>0</m:t>
        </m:r>
      </m:oMath>
      <w:r>
        <w:rPr>
          <w:rFonts w:ascii="Times New Roman" w:hAnsi="Times New Roman" w:cs="Times New Roman" w:eastAsia="Times New Roman"/>
          <w:sz w:val="24"/>
        </w:rPr>
        <w:t xml:space="preserve">), the effective threshold satisfies</w:t>
      </w:r>
      <w:r>
        <w:rPr>
          <w:rFonts w:ascii="Times New Roman" w:hAnsi="Times New Roman" w:cs="Times New Roman" w:eastAsia="Times New Roman"/>
          <w:sz w:val="24"/>
        </w:rPr>
        <w:t xml:space="preserve"> </w:t>
      </w:r>
      <m:oMath>
        <m:sSub>
          <m:e>
            <m:r>
              <m:rPr>
                <m:sty m:val="p"/>
                <m:scr m:val="fraktur"/>
              </m:rPr>
              <m:t>s</m:t>
            </m:r>
          </m:e>
          <m:sub>
            <m:r>
              <m:rPr>
                <m:sty m:val="p"/>
              </m:rPr>
              <m:t>e</m:t>
            </m:r>
            <m:r>
              <m:rPr>
                <m:sty m:val="p"/>
              </m:rPr>
              <m:t>f</m:t>
            </m:r>
            <m:r>
              <m:rPr>
                <m:sty m:val="p"/>
              </m:rPr>
              <m:t>f</m:t>
            </m:r>
          </m:sub>
        </m:sSub>
        <m:r>
          <m:rPr>
            <m:sty m:val="p"/>
          </m:rPr>
          <m:t>&gt;</m:t>
        </m:r>
        <m:r>
          <m:rPr>
            <m:sty m:val="p"/>
            <m:scr m:val="fraktur"/>
          </m:rP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conditional on the modified positive equilibria existing and the loss lying below the relevant production maximum; larger losses eliminate the positive basin entirely.</w:t>
      </w:r>
    </w:p>
    <w:p>
      <w:pPr>
        <w:pStyle w:val="BodyText"/>
        <w:spacing w:line="360" w:lineRule="auto" w:after="120"/>
        <w:ind w:firstLine="720"/>
        <w:jc w:val="both"/>
      </w:pPr>
      <w:r>
        <w:rPr>
          <w:rFonts w:ascii="Times New Roman" w:hAnsi="Times New Roman" w:cs="Times New Roman" w:eastAsia="Times New Roman"/>
          <w:sz w:val="24"/>
        </w:rPr>
        <w:t xml:space="preserve">The lemma is conditional, with the coalescence/disappearance case and the per-capita analog part of the statement; an effective threshold is not automatically a shifted structural parameter.</w:t>
      </w:r>
    </w:p>
    <w:bookmarkEnd w:id="54"/>
    <w:bookmarkStart w:id="55" w:name="X5b7cda8cd78e6f9be7ea91a841737781acf0126"/>
    <w:p>
      <w:pPr>
        <w:pStyle w:val="Heading2"/>
        <w:spacing w:before="240" w:after="120" w:line="360" w:lineRule="auto"/>
        <w:ind w:firstLine="0" w:left="0"/>
        <w:jc w:val="left"/>
      </w:pPr>
      <w:r>
        <w:rPr>
          <w:rFonts w:ascii="Times New Roman" w:hAnsi="Times New Roman" w:cs="Times New Roman" w:eastAsia="Times New Roman"/>
          <w:b/>
          <w:sz w:val="24"/>
        </w:rPr>
        <w:t xml:space="preserve">6.3 The two-window split and the formulation dependence</w:t>
      </w:r>
    </w:p>
    <w:p>
      <w:pPr>
        <w:pStyle w:val="FirstParagraph"/>
        <w:spacing w:line="360" w:lineRule="auto" w:after="120"/>
        <w:ind w:firstLine="720"/>
        <w:jc w:val="both"/>
      </w:pPr>
      <w:r>
        <w:rPr>
          <w:rFonts w:ascii="Times New Roman" w:hAnsi="Times New Roman" w:cs="Times New Roman" w:eastAsia="Times New Roman"/>
          <w:sz w:val="24"/>
        </w:rPr>
        <w:t xml:space="preserve">The case’s positive result is a descriptive partition: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the exact data split the phenomenon into two events — the crash interpretation is formulation-dependent, and the non-recovery is unexplained in both formulations. The split is the positive result, not a new mechanism.</w:t>
      </w:r>
    </w:p>
    <w:p>
      <w:pPr>
        <w:pStyle w:val="BodyText"/>
        <w:spacing w:line="360" w:lineRule="auto" w:after="120"/>
        <w:ind w:firstLine="720"/>
        <w:jc w:val="both"/>
      </w:pPr>
      <w:r>
        <w:rPr>
          <w:rFonts w:ascii="Times New Roman" w:hAnsi="Times New Roman" w:cs="Times New Roman" w:eastAsia="Times New Roman"/>
          <w:sz w:val="24"/>
        </w:rPr>
        <w:t xml:space="preserve">The crash window (1991–1995) is documented by the assessment table (DFO CSAS SAR 2016/026, Table A2): spawning stock biomass 735, 382, 101, 31, 10 kt across 1991–1995 with estimated natural mortality 1.002, 2.214, 2.575, 2.331, 0.288 yr⁻¹ — the crash-window mortality 2.2–2.6 is roughly ten times pre-collapse levels. These are rounded renderings of the assessment table (the underlying values are 381.95, 101.05, 30.55 kt, and so on), and the survival column is</w:t>
      </w:r>
      <w:r>
        <w:rPr>
          <w:rFonts w:ascii="Times New Roman" w:hAnsi="Times New Roman" w:cs="Times New Roman" w:eastAsia="Times New Roman"/>
          <w:sz w:val="24"/>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after rounding — a transformation of the reported instantaneous mortality estimate, not an independently observed survival series.</w:t>
      </w:r>
    </w:p>
    <w:p>
      <w:pPr>
        <w:pStyle w:val="BodyText"/>
        <w:spacing w:line="360" w:lineRule="auto" w:after="120"/>
        <w:ind w:firstLine="720"/>
        <w:jc w:val="both"/>
      </w:pPr>
      <w:r>
        <w:rPr>
          <w:rFonts w:ascii="Times New Roman" w:hAnsi="Times New Roman" w:cs="Times New Roman" w:eastAsia="Times New Roman"/>
          <w:sz w:val="24"/>
        </w:rPr>
        <w:t xml:space="preserve">The interpretation of the crash is a formulation attribution, not a causal claim: the NCAM M-shift formulation allocates most estimated mortality to natural death — NCAM’s</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an estimated unobserved-death component conditional on model structure, and assessment-framework proceedings explicitly caution that unreported fishing deaths may enter de-facto</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while the constrained-M formulation attributes the crash to unreported catch. The constrained-M quantities (crash window</w:t>
      </w:r>
      <w:r>
        <w:rPr>
          <w:rFonts w:ascii="Times New Roman" w:hAnsi="Times New Roman" w:cs="Times New Roman" w:eastAsia="Times New Roman"/>
          <w:sz w:val="24"/>
        </w:rPr>
        <w:t xml:space="preserve"> </w:t>
      </w:r>
      <m:oMath>
        <m:r>
          <m:t>M</m:t>
        </m:r>
        <m:r>
          <m:rPr>
            <m:sty m:val="p"/>
          </m:rPr>
          <m:t>=</m:t>
        </m:r>
        <m:r>
          <m:t>0.46</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r>
          <m:rPr>
            <m:sty m:val="p"/>
          </m:rPr>
          <m:t>=</m:t>
        </m:r>
        <m:r>
          <m:t>1.37</m:t>
        </m:r>
      </m:oMath>
      <w:r>
        <w:rPr>
          <w:rFonts w:ascii="Times New Roman" w:hAnsi="Times New Roman" w:cs="Times New Roman" w:eastAsia="Times New Roman"/>
          <w:sz w:val="24"/>
        </w:rPr>
        <w:t xml:space="preserve">, unreported catch 257.8 kt yr⁻¹ — 102.5% of mean spawning biomass; non-recovery window</w:t>
      </w:r>
      <w:r>
        <w:rPr>
          <w:rFonts w:ascii="Times New Roman" w:hAnsi="Times New Roman" w:cs="Times New Roman" w:eastAsia="Times New Roman"/>
          <w:sz w:val="24"/>
        </w:rPr>
        <w:t xml:space="preserve"> </w:t>
      </w:r>
      <m:oMath>
        <m:r>
          <m:t>M</m:t>
        </m:r>
        <m:r>
          <m:rPr>
            <m:sty m:val="p"/>
          </m:rPr>
          <m:t>=</m:t>
        </m:r>
        <m:r>
          <m:t>0.43</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r>
          <m:rPr>
            <m:sty m:val="p"/>
          </m:rPr>
          <m:t>=</m:t>
        </m:r>
        <m:r>
          <m:t>0.25</m:t>
        </m:r>
      </m:oMath>
      <w:r>
        <w:rPr>
          <w:rFonts w:ascii="Times New Roman" w:hAnsi="Times New Roman" w:cs="Times New Roman" w:eastAsia="Times New Roman"/>
          <w:sz w:val="24"/>
        </w:rPr>
        <w:t xml:space="preserve">, 3.7 kt yr⁻¹) are unreproduced: they are reproduction targets requiring equations, source series, code, units, windows, and uncertainty, registered on the open-problem docket and stated here as hypotheses, not results.</w:t>
      </w:r>
    </w:p>
    <w:p>
      <w:pPr>
        <w:pStyle w:val="BodyText"/>
        <w:spacing w:line="360" w:lineRule="auto" w:after="120"/>
        <w:ind w:firstLine="720"/>
        <w:jc w:val="both"/>
      </w:pPr>
      <w:r>
        <w:rPr>
          <w:rFonts w:ascii="Times New Roman" w:hAnsi="Times New Roman" w:cs="Times New Roman" w:eastAsia="Times New Roman"/>
          <w:sz w:val="24"/>
        </w:rPr>
        <w:t xml:space="preserve">The assessment table’s later rows give the two windows their empirical grounding (DFO CSAS SAR 2016/026, Table A2): in the non-recovery window the estimated spawning stock biomass is 16.05 kt (1996), 34.42 kt (2000), and 20.07 kt (2004), with estimated natural mortality 0.341, 0.717, and 0.362 yr⁻¹ — low and non-monotonic, rising and falling across a common interval, the repeated direction reversal of the §6.2 obstruction — and in the recovery window 25.18 kt (2005), 96.91 kt (2010), and 298.65 kt (2015), with natural mortality 0.288, 0.696, and 0.278 yr⁻¹, the substantial increase after the mid-2000s. These are the assessment table’s reported estimates (DFO CSAS SAR 2016/026, Table A2, NCAM M-shift formulation — the state-space assessment model of Cadigan 2016); the corresponding survival entries — 0.711, 0.488, and 0.696 in the non-recovery window, 0.750, 0.499, and 0.757 in the recovery window — are</w:t>
      </w:r>
      <w:r>
        <w:rPr>
          <w:rFonts w:ascii="Times New Roman" w:hAnsi="Times New Roman" w:cs="Times New Roman" w:eastAsia="Times New Roman"/>
          <w:sz w:val="24"/>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after rounding, transformations of the reported instantaneous mortality estimates rather than an independently observed survival series.</w:t>
      </w:r>
    </w:p>
    <w:p>
      <w:pPr>
        <w:pStyle w:val="BodyText"/>
        <w:spacing w:line="360" w:lineRule="auto" w:after="120"/>
        <w:ind w:firstLine="720"/>
        <w:jc w:val="both"/>
      </w:pPr>
      <w:r>
        <w:rPr>
          <w:rFonts w:ascii="Times New Roman" w:hAnsi="Times New Roman" w:cs="Times New Roman" w:eastAsia="Times New Roman"/>
          <w:sz w:val="24"/>
        </w:rPr>
        <w:t xml:space="preserve">The non-recovery window (1996–2004) remains unexplained in both formulations: residual catch is first-order at low biomass, weak depensation is a live alternative (Shelton and Healey 1999), and the predator-pit and assessment-bias discriminants are untested. Context from a companion study, one sentence: the research programme’s cod forecast-evaluation study applies preregistered persistence-benchmark scoring to this case, and its negative certificate — a declared, published finding of non-retention under preregistered scoring, distinct from a statistical null result, here that the persistence benchmark was not defeated — is that study’s result and is not transferred here.</w:t>
      </w:r>
    </w:p>
    <w:bookmarkEnd w:id="55"/>
    <w:bookmarkStart w:id="56" w:name="ecosystem-context-and-the-toy-test"/>
    <w:p>
      <w:pPr>
        <w:pStyle w:val="Heading2"/>
        <w:spacing w:before="240" w:after="120" w:line="360" w:lineRule="auto"/>
        <w:ind w:firstLine="0" w:left="0"/>
        <w:jc w:val="left"/>
      </w:pPr>
      <w:r>
        <w:rPr>
          <w:rFonts w:ascii="Times New Roman" w:hAnsi="Times New Roman" w:cs="Times New Roman" w:eastAsia="Times New Roman"/>
          <w:b/>
          <w:sz w:val="24"/>
        </w:rPr>
        <w:t xml:space="preserve">6.4 Ecosystem context and the toy test</w:t>
      </w:r>
    </w:p>
    <w:p>
      <w:pPr>
        <w:pStyle w:val="FirstParagraph"/>
        <w:spacing w:line="360" w:lineRule="auto" w:after="120"/>
        <w:ind w:firstLine="720"/>
        <w:jc w:val="both"/>
      </w:pPr>
      <w:r>
        <w:rPr>
          <w:rFonts w:ascii="Times New Roman" w:hAnsi="Times New Roman" w:cs="Times New Roman" w:eastAsia="Times New Roman"/>
          <w:sz w:val="24"/>
        </w:rPr>
        <w:t xml:space="preserve">The ecosystem context is background only: between 1985–87 and 2013–15, harp seal biomass rose from 49,600 t to 161,183 t (a 3.2-fold increase) and capelin biomass fell from 13.77 to 4.97 t km⁻² (a 64% decline) in the mass-balance record (Tam and Bundy 2019). These are descriptive mass-balance inputs, not causal tests; the statements that the predator pit is unsupported and that no capelin correlation exists would each require a defined estimator, interval, lag structure, and uncertainty quantification, and are kept untested and exploratory until reproduced.</w:t>
      </w:r>
    </w:p>
    <w:p>
      <w:pPr>
        <w:pStyle w:val="BodyText"/>
        <w:spacing w:line="360" w:lineRule="auto" w:after="120"/>
        <w:ind w:firstLine="720"/>
        <w:jc w:val="both"/>
      </w:pPr>
      <w:r>
        <w:rPr>
          <w:rFonts w:ascii="Times New Roman" w:hAnsi="Times New Roman" w:cs="Times New Roman" w:eastAsia="Times New Roman"/>
          <w:sz w:val="24"/>
        </w:rPr>
        <w:t xml:space="preserve">The four toy simulations of the appendix — Schaefer growth from</w:t>
      </w:r>
      <w:r>
        <w:rPr>
          <w:rFonts w:ascii="Times New Roman" w:hAnsi="Times New Roman" w:cs="Times New Roman" w:eastAsia="Times New Roman"/>
          <w:sz w:val="24"/>
        </w:rPr>
        <w:t xml:space="preserve"> </w:t>
      </w:r>
      <m:oMath>
        <m:r>
          <m:t>1.2</m:t>
        </m:r>
        <m:r>
          <m:rPr>
            <m:sty m:val="p"/>
          </m:rPr>
          <m:t>×</m:t>
        </m:r>
        <m:sSup>
          <m:e>
            <m:r>
              <m:t>10</m:t>
            </m:r>
          </m:e>
          <m:sup>
            <m:r>
              <m:t>5</m:t>
            </m:r>
          </m:sup>
        </m:sSup>
      </m:oMath>
      <w:r>
        <w:rPr>
          <w:rFonts w:ascii="Times New Roman" w:hAnsi="Times New Roman" w:cs="Times New Roman" w:eastAsia="Times New Roman"/>
          <w:sz w:val="24"/>
        </w:rPr>
        <w:t xml:space="preserve">, below-threshold decay to zero, above-threshold convergence to</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and the below-threshold monotone no-pulse check at</w:t>
      </w:r>
      <w:r>
        <w:rPr>
          <w:rFonts w:ascii="Times New Roman" w:hAnsi="Times New Roman" w:cs="Times New Roman" w:eastAsia="Times New Roman"/>
          <w:sz w:val="24"/>
        </w:rPr>
        <w:t xml:space="preserve"> </w:t>
      </w:r>
      <m:oMath>
        <m:r>
          <m:t>C</m:t>
        </m:r>
        <m:r>
          <m:rPr>
            <m:sty m:val="p"/>
          </m:rPr>
          <m:t>=</m:t>
        </m:r>
        <m:r>
          <m:t>3</m:t>
        </m:r>
        <m:r>
          <m:rPr>
            <m:sty m:val="p"/>
          </m:rPr>
          <m:t>×</m:t>
        </m:r>
        <m:sSup>
          <m:e>
            <m:r>
              <m:t>10</m:t>
            </m:r>
          </m:e>
          <m:sup>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execute as expected. They confirm only that the selected parameterized toy trajectories behave as designed: the test does not fit northern cod and does not validate the constrained-M experiment.</w:t>
      </w:r>
    </w:p>
    <w:bookmarkEnd w:id="56"/>
    <w:bookmarkStart w:id="57" w:name="the-social-ecological-bridge"/>
    <w:p>
      <w:pPr>
        <w:pStyle w:val="Heading2"/>
        <w:spacing w:before="240" w:after="120" w:line="360" w:lineRule="auto"/>
        <w:ind w:firstLine="0" w:left="0"/>
        <w:jc w:val="left"/>
      </w:pPr>
      <w:r>
        <w:rPr>
          <w:rFonts w:ascii="Times New Roman" w:hAnsi="Times New Roman" w:cs="Times New Roman" w:eastAsia="Times New Roman"/>
          <w:b/>
          <w:sz w:val="24"/>
        </w:rPr>
        <w:t xml:space="preserve">6.5 The social-ecological bridge</w:t>
      </w:r>
    </w:p>
    <w:p>
      <w:pPr>
        <w:pStyle w:val="FirstParagraph"/>
        <w:spacing w:line="360" w:lineRule="auto" w:after="120"/>
        <w:ind w:firstLine="720"/>
        <w:jc w:val="both"/>
      </w:pPr>
      <w:r>
        <w:rPr>
          <w:rFonts w:ascii="Times New Roman" w:hAnsi="Times New Roman" w:cs="Times New Roman" w:eastAsia="Times New Roman"/>
          <w:sz w:val="24"/>
        </w:rPr>
        <w:t xml:space="preserve">The case’s social-ecological extension is a registered bridge: 43 Newfoundland and Labrador fishing-dependent census subdivisions are identified from Statistics Canada Table 38-10-0167-01, mean income from fishing moves from 32.2% (2016) to 25.6% (2021), and DFO licence and landing data require a NAFO STATLANT filter. The archived table query and the population mapping are required before these social values join the adaptive-capacity material (§8); the bridge itself is the registered obligation, and the values are not carried as results.</w:t>
      </w:r>
    </w:p>
    <w:p>
      <w:pPr>
        <w:pStyle w:val="BodyText"/>
        <w:spacing w:line="360" w:lineRule="auto" w:after="120"/>
        <w:ind w:firstLine="720"/>
        <w:jc w:val="both"/>
      </w:pPr>
      <w:r>
        <w:rPr>
          <w:rFonts w:ascii="Times New Roman" w:hAnsi="Times New Roman" w:cs="Times New Roman" w:eastAsia="Times New Roman"/>
          <w:sz w:val="24"/>
        </w:rPr>
        <w:t xml:space="preserve">The conjecture the bridge would test is stated at its open status: a biomass-only success story can coincide with a declining inshore constituency. The discriminants are declared — if biomass pulses up while the locked human margins stay negative, the conjecture is supported; if the human margins recover with or before the biomass, it is defeated; and if the human series cannot be assembled, the normative object is not operationalized and that is published. The conjecture remains open, and coincidence is not causal effect: comparison populations, confounders, migration, shellfish substitution, transfers, policy timing, and a causal or explicitly descriptive design are all required before the discriminants discriminate.</w:t>
      </w:r>
    </w:p>
    <w:bookmarkEnd w:id="57"/>
    <w:bookmarkEnd w:id="58"/>
    <w:bookmarkStart w:id="64" w:name="prospective-designs"/>
    <w:p>
      <w:pPr>
        <w:pStyle w:val="Heading1"/>
        <w:spacing w:before="360" w:after="120" w:line="360" w:lineRule="auto"/>
        <w:ind w:firstLine="0" w:left="0"/>
        <w:jc w:val="left"/>
      </w:pPr>
      <w:r>
        <w:rPr>
          <w:rFonts w:ascii="Times New Roman" w:hAnsi="Times New Roman" w:cs="Times New Roman" w:eastAsia="Times New Roman"/>
          <w:b/>
          <w:sz w:val="28"/>
        </w:rPr>
        <w:t xml:space="preserve">7. Prospective designs</w:t>
      </w:r>
    </w:p>
    <w:p>
      <w:pPr>
        <w:pStyle w:val="FirstParagraph"/>
        <w:spacing w:line="360" w:lineRule="auto" w:after="120"/>
        <w:ind w:firstLine="720"/>
        <w:jc w:val="both"/>
      </w:pPr>
      <w:r>
        <w:rPr>
          <w:rFonts w:ascii="Times New Roman" w:hAnsi="Times New Roman" w:cs="Times New Roman" w:eastAsia="Times New Roman"/>
          <w:sz w:val="24"/>
        </w:rPr>
        <w:t xml:space="preserve">The retrospective evidence does not identify the institutional mechanism; the constructive content of this article is the research programme that could. Four identification designs and one closed-loop evaluation design are specified as preregistration targets — none has been executed, and each is preregistered before outcome inspection.</w:t>
      </w:r>
    </w:p>
    <w:bookmarkStart w:id="59" w:name="governance-event-panels"/>
    <w:p>
      <w:pPr>
        <w:pStyle w:val="Heading2"/>
        <w:spacing w:before="240" w:after="120" w:line="360" w:lineRule="auto"/>
        <w:ind w:firstLine="0" w:left="0"/>
        <w:jc w:val="left"/>
      </w:pPr>
      <w:r>
        <w:rPr>
          <w:rFonts w:ascii="Times New Roman" w:hAnsi="Times New Roman" w:cs="Times New Roman" w:eastAsia="Times New Roman"/>
          <w:b/>
          <w:sz w:val="24"/>
        </w:rPr>
        <w:t xml:space="preserve">7.1 Governance-event panels</w:t>
      </w:r>
    </w:p>
    <w:p>
      <w:pPr>
        <w:pStyle w:val="FirstParagraph"/>
        <w:spacing w:line="360" w:lineRule="auto" w:after="120"/>
        <w:ind w:firstLine="720"/>
        <w:jc w:val="both"/>
      </w:pPr>
      <w:r>
        <w:rPr>
          <w:rFonts w:ascii="Times New Roman" w:hAnsi="Times New Roman" w:cs="Times New Roman" w:eastAsia="Times New Roman"/>
          <w:sz w:val="24"/>
        </w:rPr>
        <w:t xml:space="preserve">For each resource–jurisdiction unit, construct a source-linked event record containing the raw-observation date, the public or scientific recognition date, assessment completion, scheduled review, formal decision, legal adoption, physical deployment, compliance, realised-pressure change, and subsequent ecological-response dates. Date uncertainty, interval censoring, revisions, missing stages, and overlapping interventions are retained rather than collapsed to one lag. Such a panel estimates component-specific delay distributions only for stages actually observed; otherwise the estimand is a combined interval or a closed-loop phase, not separate</w:t>
      </w:r>
      <w:r>
        <w:rPr>
          <w:rFonts w:ascii="Times New Roman" w:hAnsi="Times New Roman" w:cs="Times New Roman" w:eastAsia="Times New Roman"/>
          <w:sz w:val="24"/>
        </w:rPr>
        <w:t xml:space="preserve"> </w:t>
      </w:r>
      <m:oMath>
        <m:sSub>
          <m:e>
            <m:r>
              <m:t>τ</m:t>
            </m:r>
          </m:e>
          <m:sub>
            <m:r>
              <m:rPr>
                <m:sty m:val="p"/>
              </m:rPr>
              <m:t>d</m:t>
            </m:r>
            <m:r>
              <m:rPr>
                <m:sty m:val="p"/>
              </m:rPr>
              <m:t>e</m:t>
            </m:r>
            <m:r>
              <m:rPr>
                <m:sty m:val="p"/>
              </m:rPr>
              <m:t>c</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τ</m:t>
            </m:r>
          </m:e>
          <m:sub>
            <m:r>
              <m:rPr>
                <m:sty m:val="p"/>
              </m:rPr>
              <m:t>d</m:t>
            </m:r>
            <m:r>
              <m:rPr>
                <m:sty m:val="p"/>
              </m:rPr>
              <m:t>e</m:t>
            </m:r>
            <m:r>
              <m:rPr>
                <m:sty m:val="p"/>
              </m:rP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One interpretive caveat rides every delay value such records recover: the fixed-</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is a modelling idealisation — real institutions confronting visible scarcity typically change their instrument set entirely (buyouts, engineered transfers, new infrastructure) rather than hold a single continuous response law with a constant delay — so an estimated</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summary of a changing control architecture, not a structural constant. The cod case supplies two dated decision events for such a panel — the 2 July 1992 moratorium announcement and the 26 June 2024 reopening with a total allowable catch of 18 kt (these are the retained verified facts of the institutional-margins record) — and its discipline is negative: no governance lead is inferred from annual biomass data, and a fast response does not establish adequacy.</w:t>
      </w:r>
    </w:p>
    <w:bookmarkEnd w:id="59"/>
    <w:bookmarkStart w:id="60" w:name="quasi-experimental-timing"/>
    <w:p>
      <w:pPr>
        <w:pStyle w:val="Heading2"/>
        <w:spacing w:before="240" w:after="120" w:line="360" w:lineRule="auto"/>
        <w:ind w:firstLine="0" w:left="0"/>
        <w:jc w:val="left"/>
      </w:pPr>
      <w:r>
        <w:rPr>
          <w:rFonts w:ascii="Times New Roman" w:hAnsi="Times New Roman" w:cs="Times New Roman" w:eastAsia="Times New Roman"/>
          <w:b/>
          <w:sz w:val="24"/>
        </w:rPr>
        <w:t xml:space="preserve">7.2 Quasi-experimental timing</w:t>
      </w:r>
    </w:p>
    <w:p>
      <w:pPr>
        <w:pStyle w:val="FirstParagraph"/>
        <w:spacing w:line="360" w:lineRule="auto" w:after="120"/>
        <w:ind w:firstLine="720"/>
        <w:jc w:val="both"/>
      </w:pPr>
      <w:r>
        <w:rPr>
          <w:rFonts w:ascii="Times New Roman" w:hAnsi="Times New Roman" w:cs="Times New Roman" w:eastAsia="Times New Roman"/>
          <w:sz w:val="24"/>
        </w:rPr>
        <w:t xml:space="preserve">Candidate interventions include staggered adoption, discontinuities in review schedules, rule changes, jurisdictional borders, phased quota systems, and administrative reforms whose timing is plausibly independent of the outcome innovation. An event study, difference-in-differences design, synthetic control, interrupted time series, or state-space intervention model is chosen according to its assumptions, not merely data availability. The protocol predeclares the intervention, the controller sign, treatment and comparison units, the estimand, the event window, anticipation and pretrend tests, spillovers, concurrent ecological or market shocks, and exclusion rules. Two coding rules are binding: a change in implementation lag is not coded as a change in</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and a nominal schedule change is not a treatment unless it changes a responsive decision opportunity.</w:t>
      </w:r>
    </w:p>
    <w:bookmarkEnd w:id="60"/>
    <w:bookmarkStart w:id="61" w:name="Xe9be49d5fdb77bf60846930285086a8a9fbed89"/>
    <w:p>
      <w:pPr>
        <w:pStyle w:val="Heading2"/>
        <w:spacing w:before="240" w:after="120" w:line="360" w:lineRule="auto"/>
        <w:ind w:firstLine="0" w:left="0"/>
        <w:jc w:val="left"/>
      </w:pPr>
      <w:r>
        <w:rPr>
          <w:rFonts w:ascii="Times New Roman" w:hAnsi="Times New Roman" w:cs="Times New Roman" w:eastAsia="Times New Roman"/>
          <w:b/>
          <w:sz w:val="24"/>
        </w:rPr>
        <w:t xml:space="preserve">7.3 Out-of-sample mechanism comparison and the displacement discipline</w:t>
      </w:r>
    </w:p>
    <w:p>
      <w:pPr>
        <w:pStyle w:val="FirstParagraph"/>
        <w:spacing w:line="360" w:lineRule="auto" w:after="120"/>
        <w:ind w:firstLine="720"/>
        <w:jc w:val="both"/>
      </w:pPr>
      <w:r>
        <w:rPr>
          <w:rFonts w:ascii="Times New Roman" w:hAnsi="Times New Roman" w:cs="Times New Roman" w:eastAsia="Times New Roman"/>
          <w:sz w:val="24"/>
        </w:rPr>
        <w:t xml:space="preserve">For each candidate system, compare at least an environmental-forcing model, a cohort- or demographic-resonance model, an institutional-delay model with registered controller sign, a combined model, and a null time-series model. Models make predictions before the held-out block is scored, using declared predictive and calibration criteria; model weights or posterior probabilities require an explicit likelihood and prior, and predictive ranking alone does not identify a causal mechanism. The displacement rule: a delay explanation is weakened when it cannot reproduce the preregistered phase ordering, and it is displaced when a competing mechanism predicts the held-out observations better — complexity is retained only on scored evidence, never by accumulation. The registered domain templates of the ledger companion (phosphorus, groundwater) carry the same discipline for their physical and institutional ladders.</w:t>
      </w:r>
    </w:p>
    <w:bookmarkEnd w:id="61"/>
    <w:bookmarkStart w:id="62" w:name="X92f294ba6ec00b8b6531a2b14b81bf1e2485831"/>
    <w:p>
      <w:pPr>
        <w:pStyle w:val="Heading2"/>
        <w:spacing w:before="240" w:after="120" w:line="360" w:lineRule="auto"/>
        <w:ind w:firstLine="0" w:left="0"/>
        <w:jc w:val="left"/>
      </w:pPr>
      <w:r>
        <w:rPr>
          <w:rFonts w:ascii="Times New Roman" w:hAnsi="Times New Roman" w:cs="Times New Roman" w:eastAsia="Times New Roman"/>
          <w:b/>
          <w:sz w:val="24"/>
        </w:rPr>
        <w:t xml:space="preserve">7.4 Controlled and randomized human-in-the-loop experiments</w:t>
      </w:r>
    </w:p>
    <w:p>
      <w:pPr>
        <w:pStyle w:val="FirstParagraph"/>
        <w:spacing w:line="360" w:lineRule="auto" w:after="120"/>
        <w:ind w:firstLine="720"/>
        <w:jc w:val="both"/>
      </w:pPr>
      <w:r>
        <w:rPr>
          <w:rFonts w:ascii="Times New Roman" w:hAnsi="Times New Roman" w:cs="Times New Roman" w:eastAsia="Times New Roman"/>
          <w:sz w:val="24"/>
        </w:rPr>
        <w:t xml:space="preserve">A minimum human-in-the-loop design places participants in the same simulated renewable-resource environment and randomizes review cadence and the timing or sign of decision feedback, with ecological shocks held common across arms where appropriate. Primary endpoints include realised pressure, threshold crossings, recovery time, variability, and the gain–phase relation between assessments, commands, and actions. Treatment rules, stopping and safety criteria, sample size, exclusions, and analysis are preregistered. Agent-based institutional experiments, digital-twin exercises, and carefully governed field pilots complement this design; extrapolation from a laboratory or simulated resource to a field institution remains a separate external-validity claim. Mechanism-class precedent exists — controlled population and resource-management experiments show that delay- and parameter-driven transitions can be empirically studied (Costantino et al. 1995), and commons-free fishery-management experiments in which subjects overshoot by approximately 60% from stock-and-flow misperception show the behavioural substrate (Moxnes 1998) — but precedent for the mechanism class is not validation of the institutional equations.</w:t>
      </w:r>
    </w:p>
    <w:bookmarkEnd w:id="62"/>
    <w:bookmarkStart w:id="63" w:name="X5c38628bf7e298f6e41e54caac863bf8983f999"/>
    <w:p>
      <w:pPr>
        <w:pStyle w:val="Heading2"/>
        <w:spacing w:before="240" w:after="120" w:line="360" w:lineRule="auto"/>
        <w:ind w:firstLine="0" w:left="0"/>
        <w:jc w:val="left"/>
      </w:pPr>
      <w:r>
        <w:rPr>
          <w:rFonts w:ascii="Times New Roman" w:hAnsi="Times New Roman" w:cs="Times New Roman" w:eastAsia="Times New Roman"/>
          <w:b/>
          <w:sz w:val="24"/>
        </w:rPr>
        <w:t xml:space="preserve">7.5 Closed-loop management strategy evaluation</w:t>
      </w:r>
    </w:p>
    <w:p>
      <w:pPr>
        <w:pStyle w:val="FirstParagraph"/>
        <w:spacing w:line="360" w:lineRule="auto" w:after="120"/>
        <w:ind w:firstLine="720"/>
        <w:jc w:val="both"/>
      </w:pPr>
      <w:r>
        <w:rPr>
          <w:rFonts w:ascii="Times New Roman" w:hAnsi="Times New Roman" w:cs="Times New Roman" w:eastAsia="Times New Roman"/>
          <w:sz w:val="24"/>
        </w:rPr>
        <w:t xml:space="preserve">Because retrospective evidence does not identify the mechanism, policy comparison must be conducted in a closed loop that keeps process, observation and assessment, parameter, structural-model, decision, and implementation uncertainty distinct (the management-procedure tradition: Punt and Donovan 2007). Each simulation replicate contains: an operating model (age- or stage-structured or other resource dynamics, environmental forcing, density dependence, structural alternatives); an observation model (survey and catch observations, missingness, bias, autocorrelated error); an assessment model (estimator, update frequency, retrospective bias, uncertainty); a decision rule (SD-E, SD-P, SD-F, or SD-H, including caps on change and emergency clauses); an implementation model (compliance, deployment lag, effort creep, realised versus commanded pressure); and performance metrics (threshold risk, yield and service delivery, variability, closure frequency, effort cost, recovery time, distributional impacts).</w:t>
      </w:r>
    </w:p>
    <w:p>
      <w:pPr>
        <w:pStyle w:val="BodyText"/>
        <w:spacing w:line="360" w:lineRule="auto" w:after="120"/>
        <w:ind w:firstLine="720"/>
        <w:jc w:val="both"/>
      </w:pPr>
      <w:r>
        <w:rPr>
          <w:rFonts w:ascii="Times New Roman" w:hAnsi="Times New Roman" w:cs="Times New Roman" w:eastAsia="Times New Roman"/>
          <w:sz w:val="24"/>
        </w:rPr>
        <w:t xml:space="preserve">The core experimental design crosses</w:t>
      </w:r>
    </w:p>
    <w:p>
      <w:pPr>
        <w:pStyle w:val="BodyText"/>
        <w:spacing w:line="360" w:lineRule="auto" w:before="120" w:after="120"/>
        <w:ind w:firstLine="0"/>
        <w:jc w:val="center"/>
      </w:pPr>
      <m:oMathPara>
        <m:oMathParaPr>
          <m:jc m:val="center"/>
        </m:oMathParaPr>
        <m:oMath>
          <m:sSub>
            <m:e>
              <m:r>
                <m:t>T</m:t>
              </m:r>
            </m:e>
            <m:sub>
              <m:r>
                <m:t>r</m:t>
              </m:r>
            </m:sub>
          </m:sSub>
          <m:r>
            <m:rPr>
              <m:sty m:val="p"/>
            </m:rPr>
            <m:t>×</m:t>
          </m:r>
          <m:sSub>
            <m:e>
              <m:r>
                <m:t>τ</m:t>
              </m:r>
            </m:e>
            <m:sub>
              <m:r>
                <m:rPr>
                  <m:sty m:val="p"/>
                </m:rPr>
                <m:t>d</m:t>
              </m:r>
              <m:r>
                <m:rPr>
                  <m:sty m:val="p"/>
                </m:rPr>
                <m:t>e</m:t>
              </m:r>
              <m:r>
                <m:rPr>
                  <m:sty m:val="p"/>
                </m:rPr>
                <m:t>c</m:t>
              </m:r>
            </m:sub>
          </m:sSub>
          <m:r>
            <m:rPr>
              <m:sty m:val="p"/>
            </m:rPr>
            <m:t>×</m:t>
          </m:r>
          <m:sSub>
            <m:e>
              <m:r>
                <m:t>τ</m:t>
              </m:r>
            </m:e>
            <m:sub>
              <m:r>
                <m:rPr>
                  <m:sty m:val="p"/>
                </m:rPr>
                <m:t>d</m:t>
              </m:r>
              <m:r>
                <m:rPr>
                  <m:sty m:val="p"/>
                </m:rPr>
                <m:t>e</m:t>
              </m:r>
              <m:r>
                <m:rPr>
                  <m:sty m:val="p"/>
                </m:rPr>
                <m:t>p</m:t>
              </m:r>
            </m:sub>
          </m:sSub>
          <m:r>
            <m:rPr>
              <m:sty m:val="p"/>
            </m:rPr>
            <m:t>×</m:t>
          </m:r>
          <m:r>
            <m:rPr>
              <m:nor/>
              <m:sty m:val="p"/>
            </m:rPr>
            <m:t>controller sign</m:t>
          </m:r>
          <m:r>
            <m:rPr>
              <m:sty m:val="p"/>
            </m:rPr>
            <m:t>×</m:t>
          </m:r>
          <m:r>
            <m:rPr>
              <m:nor/>
              <m:sty m:val="p"/>
            </m:rPr>
            <m:t>observation/assessment error</m:t>
          </m:r>
          <m:r>
            <m:rPr>
              <m:sty m:val="p"/>
            </m:rPr>
            <m:t>×</m:t>
          </m:r>
          <m:r>
            <m:rPr>
              <m:nor/>
              <m:sty m:val="p"/>
            </m:rPr>
            <m:t>parameter draw</m:t>
          </m:r>
          <m:r>
            <m:rPr>
              <m:sty m:val="p"/>
            </m:rPr>
            <m:t>×</m:t>
          </m:r>
          <m:r>
            <m:rPr>
              <m:nor/>
              <m:sty m:val="p"/>
            </m:rPr>
            <m:t>operating-model class</m:t>
          </m:r>
          <m:r>
            <m:rPr>
              <m:sty m:val="p"/>
            </m:rPr>
            <m:t>×</m:t>
          </m:r>
          <m:r>
            <m:rPr>
              <m:nor/>
              <m:sty m:val="p"/>
            </m:rPr>
            <m:t>process-noise regime</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At minimum, responsive extractive, responsive protective, and fixed-plan controllers are compared; a conclusion that compares only two review intervals inside the extractive class cannot be generalised to governance as a whole. For each cell, enough stochastic replicates are used to estimate tail risk with confidence intervals, common random numbers are predeclared where useful, and failures of the assessment or optimizer are reported. Parameter uncertainty varies quantities within a declared operating model; process uncertainty governs stochastic state evolution; observation and assessment uncertainty govern the information supplied to the rule; and structural uncertainty varies the operating-model class itself, represented by multiple operating models rather than one parameter covariance matrix around a fitted model. Model-class worst-case, distributionally robust, and model-averaged performance answer different questions and are reported separately rather than treated as interchangeable robustness criteria.</w:t>
      </w:r>
    </w:p>
    <w:bookmarkEnd w:id="63"/>
    <w:bookmarkEnd w:id="64"/>
    <w:bookmarkStart w:id="70" w:name="X4a80de5badf7bc41d6934ac3a9086a6e130a135"/>
    <w:p>
      <w:pPr>
        <w:pStyle w:val="Heading1"/>
        <w:spacing w:before="360" w:after="120" w:line="360" w:lineRule="auto"/>
        <w:ind w:firstLine="0" w:left="0"/>
        <w:jc w:val="left"/>
      </w:pPr>
      <w:r>
        <w:rPr>
          <w:rFonts w:ascii="Times New Roman" w:hAnsi="Times New Roman" w:cs="Times New Roman" w:eastAsia="Times New Roman"/>
          <w:b/>
          <w:sz w:val="28"/>
        </w:rPr>
        <w:t xml:space="preserve">8. Distributive and adaptive-capacity constraints where reproducible</w:t>
      </w:r>
    </w:p>
    <w:bookmarkStart w:id="65" w:name="constituency-and-measured-floors"/>
    <w:p>
      <w:pPr>
        <w:pStyle w:val="Heading2"/>
        <w:spacing w:before="240" w:after="120" w:line="360" w:lineRule="auto"/>
        <w:ind w:firstLine="0" w:left="0"/>
        <w:jc w:val="left"/>
      </w:pPr>
      <w:r>
        <w:rPr>
          <w:rFonts w:ascii="Times New Roman" w:hAnsi="Times New Roman" w:cs="Times New Roman" w:eastAsia="Times New Roman"/>
          <w:b/>
          <w:sz w:val="24"/>
        </w:rPr>
        <w:t xml:space="preserve">8.1 Constituency and measured floors</w:t>
      </w:r>
    </w:p>
    <w:p>
      <w:pPr>
        <w:pStyle w:val="FirstParagraph"/>
        <w:spacing w:line="360" w:lineRule="auto" w:after="120"/>
        <w:ind w:firstLine="720"/>
        <w:jc w:val="both"/>
      </w:pPr>
      <w:r>
        <w:rPr>
          <w:rFonts w:ascii="Times New Roman" w:hAnsi="Times New Roman" w:cs="Times New Roman" w:eastAsia="Times New Roman"/>
          <w:sz w:val="24"/>
        </w:rPr>
        <w:t xml:space="preserve">The distributive layer begins with two definitions. The worst-off relevant population is a modelling choice — a named constituency</w:t>
      </w:r>
      <w:r>
        <w:rPr>
          <w:rFonts w:ascii="Times New Roman" w:hAnsi="Times New Roman" w:cs="Times New Roman" w:eastAsia="Times New Roman"/>
          <w:sz w:val="24"/>
        </w:rPr>
        <w:t xml:space="preserve"> </w:t>
      </w:r>
      <m:oMath>
        <m:sSub>
          <m:e>
            <m:r>
              <m:t>G</m:t>
            </m:r>
          </m:e>
          <m:sub>
            <m:r>
              <m:t>t</m:t>
            </m:r>
          </m:sub>
        </m:sSub>
      </m:oMath>
      <w:r>
        <w:rPr>
          <w:rFonts w:ascii="Times New Roman" w:hAnsi="Times New Roman" w:cs="Times New Roman" w:eastAsia="Times New Roman"/>
          <w:sz w:val="24"/>
        </w:rPr>
        <w:t xml:space="preserve">; for the research programme’s own case the constituency is the registered inshore harvesters and licence holders of NAFO 2J3KL. The declaration is not free: the displayed community-level data are all-resident employment income including aquaculture and processing, so the constituency must either be redefined as the census-subdivision populations or licence-holder microdata or administrative data obtained — the community table is not a licence-holder panel — and the geography crosswalk from census subdivisions to 2J3KL dependence is a separate declared mapping. A measured floor is a pair</w:t>
      </w:r>
      <w:r>
        <w:rPr>
          <w:rFonts w:ascii="Times New Roman" w:hAnsi="Times New Roman" w:cs="Times New Roman" w:eastAsia="Times New Roman"/>
          <w:sz w:val="24"/>
        </w:rPr>
        <w:t xml:space="preserve"> </w:t>
      </w:r>
      <m:oMath>
        <m:d>
          <m:dPr>
            <m:begChr m:val="("/>
            <m:endChr m:val=")"/>
            <m:sepChr m:val=""/>
            <m:grow/>
          </m:dPr>
          <m:e>
            <m:sSub>
              <m:e>
                <m:r>
                  <m:t>I</m:t>
                </m:r>
              </m:e>
              <m:sub>
                <m:r>
                  <m:t>k</m:t>
                </m:r>
              </m:sub>
            </m:sSub>
            <m:r>
              <m:rPr>
                <m:sty m:val="p"/>
              </m:rPr>
              <m:t>,</m:t>
            </m:r>
            <m:sSub>
              <m:e>
                <m:r>
                  <m:t>c</m:t>
                </m:r>
              </m:e>
              <m:sub>
                <m:r>
                  <m:t>k</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 instrument and a cutoff — a measurement object distinct from the norm that motivates it. Non-decline is a normative rule, not automatically an empirically justified floor: baseline, cohort, inflation and purchasing-power treatment, uncertainty, attrition, acceptable variation, authority, and structural diversification all require declaration before a floor measures anything.</w:t>
      </w:r>
    </w:p>
    <w:bookmarkEnd w:id="65"/>
    <w:bookmarkStart w:id="66" w:name="the-componentwise-margin-rule"/>
    <w:p>
      <w:pPr>
        <w:pStyle w:val="Heading2"/>
        <w:spacing w:before="240" w:after="120" w:line="360" w:lineRule="auto"/>
        <w:ind w:firstLine="0" w:left="0"/>
        <w:jc w:val="left"/>
      </w:pPr>
      <w:r>
        <w:rPr>
          <w:rFonts w:ascii="Times New Roman" w:hAnsi="Times New Roman" w:cs="Times New Roman" w:eastAsia="Times New Roman"/>
          <w:b/>
          <w:sz w:val="24"/>
        </w:rPr>
        <w:t xml:space="preserve">8.2 The componentwise-margin rule</w:t>
      </w:r>
    </w:p>
    <w:p>
      <w:pPr>
        <w:pStyle w:val="FirstParagraph"/>
        <w:spacing w:line="360" w:lineRule="auto" w:after="120"/>
        <w:ind w:firstLine="720"/>
        <w:jc w:val="both"/>
      </w:pPr>
      <w:r>
        <w:rPr>
          <w:rFonts w:ascii="Times New Roman" w:hAnsi="Times New Roman" w:cs="Times New Roman" w:eastAsia="Times New Roman"/>
          <w:sz w:val="24"/>
        </w:rPr>
        <w:t xml:space="preserve">If several floors are in force, the arrangement fails as soon as any measured margin</w:t>
      </w:r>
      <w:r>
        <w:rPr>
          <w:rFonts w:ascii="Times New Roman" w:hAnsi="Times New Roman" w:cs="Times New Roman" w:eastAsia="Times New Roman"/>
          <w:sz w:val="24"/>
        </w:rPr>
        <w:t xml:space="preserve"> </w:t>
      </w:r>
      <m:oMath>
        <m:sSub>
          <m:e>
            <m:r>
              <m:t>m</m:t>
            </m:r>
          </m:e>
          <m:sub>
            <m:r>
              <m:t>k</m:t>
            </m:r>
          </m:sub>
        </m:sSub>
        <m:d>
          <m:dPr>
            <m:begChr m:val="("/>
            <m:endChr m:val=")"/>
            <m:sepChr m:val=""/>
            <m:grow/>
          </m:dPr>
          <m:e>
            <m:r>
              <m:t>G</m:t>
            </m:r>
            <m:r>
              <m:rPr>
                <m:sty m:val="p"/>
              </m:rPr>
              <m:t>,</m:t>
            </m:r>
            <m:r>
              <m:t>t</m:t>
            </m:r>
          </m:e>
        </m:d>
        <m:r>
          <m:rPr>
            <m:sty m:val="p"/>
          </m:rPr>
          <m:t>=</m:t>
        </m:r>
        <m:sSub>
          <m:e>
            <m:r>
              <m:t>I</m:t>
            </m:r>
          </m:e>
          <m:sub>
            <m:r>
              <m:t>k</m:t>
            </m:r>
          </m:sub>
        </m:sSub>
        <m:d>
          <m:dPr>
            <m:begChr m:val="("/>
            <m:endChr m:val=")"/>
            <m:sepChr m:val=""/>
            <m:grow/>
          </m:dPr>
          <m:e>
            <m:r>
              <m:t>G</m:t>
            </m:r>
            <m:r>
              <m:rPr>
                <m:sty m:val="p"/>
              </m:rPr>
              <m:t>,</m:t>
            </m:r>
            <m:r>
              <m:t>t</m:t>
            </m:r>
          </m:e>
        </m:d>
        <m:r>
          <m:rPr>
            <m:sty m:val="p"/>
          </m:rPr>
          <m:t>−</m:t>
        </m:r>
        <m:sSub>
          <m:e>
            <m:r>
              <m:t>c</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negative; the object of record is the vector</w:t>
      </w:r>
      <w:r>
        <w:rPr>
          <w:rFonts w:ascii="Times New Roman" w:hAnsi="Times New Roman" w:cs="Times New Roman" w:eastAsia="Times New Roman"/>
          <w:sz w:val="24"/>
        </w:rPr>
        <w:t xml:space="preserve"> </w:t>
      </w:r>
      <m:oMath>
        <m:r>
          <m:t>m</m:t>
        </m:r>
        <m:d>
          <m:dPr>
            <m:begChr m:val="("/>
            <m:endChr m:val=")"/>
            <m:sepChr m:val=""/>
            <m:grow/>
          </m:dPr>
          <m:e>
            <m:r>
              <m:t>G</m:t>
            </m:r>
            <m:r>
              <m:rPr>
                <m:sty m:val="p"/>
              </m:rPr>
              <m:t>,</m:t>
            </m:r>
            <m:r>
              <m:t>t</m:t>
            </m:r>
          </m:e>
        </m:d>
      </m:oMath>
      <w:r>
        <w:rPr>
          <w:rFonts w:ascii="Times New Roman" w:hAnsi="Times New Roman" w:cs="Times New Roman" w:eastAsia="Times New Roman"/>
          <w:sz w:val="24"/>
        </w:rPr>
        <w:t xml:space="preserve">. The conjunction is exact and admits no compensatory master scalar — this is the measurement-level twin of the noncompensation witnesses owned by the atlas and ledger companions. The rule is what makes the distributive layer auditable: each margin is reported with its instrument and vintage, and no margin is aggregated away.</w:t>
      </w:r>
    </w:p>
    <w:bookmarkEnd w:id="66"/>
    <w:bookmarkStart w:id="67" w:name="instruments-releases-and-vintages"/>
    <w:p>
      <w:pPr>
        <w:pStyle w:val="Heading2"/>
        <w:spacing w:before="240" w:after="120" w:line="360" w:lineRule="auto"/>
        <w:ind w:firstLine="0" w:left="0"/>
        <w:jc w:val="left"/>
      </w:pPr>
      <w:r>
        <w:rPr>
          <w:rFonts w:ascii="Times New Roman" w:hAnsi="Times New Roman" w:cs="Times New Roman" w:eastAsia="Times New Roman"/>
          <w:b/>
          <w:sz w:val="24"/>
        </w:rPr>
        <w:t xml:space="preserve">8.3 Instruments, releases, and vintages</w:t>
      </w:r>
    </w:p>
    <w:p>
      <w:pPr>
        <w:pStyle w:val="FirstParagraph"/>
        <w:spacing w:line="360" w:lineRule="auto" w:after="120"/>
        <w:ind w:firstLine="720"/>
        <w:jc w:val="both"/>
      </w:pPr>
      <w:r>
        <w:rPr>
          <w:rFonts w:ascii="Times New Roman" w:hAnsi="Times New Roman" w:cs="Times New Roman" w:eastAsia="Times New Roman"/>
          <w:sz w:val="24"/>
        </w:rPr>
        <w:t xml:space="preserve">Two external instruments are admitted as world-hooks for deprivation, each retained with release and vintage locks: the global Multidimensional Poverty Index (Alkire–Foster method, OPHI/UNDP releases) as a multidimensional deprivation instrument, and the World Bank Poverty and Inequality Platform for income-axis measurement. Neither instrument exhausts the normative object — adaptive capacity held by someone, used against someone, paid for by someone — and the norm is not filled with a scalar score. The poverty-line vintage is part of the instrument declaration: the current primary international line is $3.00/day at 2021 purchasing-power parity, and the $2.15/day 2017-PPP line is available only for historically vintage-consistent analysis; any empirical use must state the line, the welfare aggregate, the PPP year, the population, and the release vintage.</w:t>
      </w:r>
    </w:p>
    <w:bookmarkEnd w:id="67"/>
    <w:bookmarkStart w:id="68" w:name="the-unreproduced-pipelines"/>
    <w:p>
      <w:pPr>
        <w:pStyle w:val="Heading2"/>
        <w:spacing w:before="240" w:after="120" w:line="360" w:lineRule="auto"/>
        <w:ind w:firstLine="0" w:left="0"/>
        <w:jc w:val="left"/>
      </w:pPr>
      <w:r>
        <w:rPr>
          <w:rFonts w:ascii="Times New Roman" w:hAnsi="Times New Roman" w:cs="Times New Roman" w:eastAsia="Times New Roman"/>
          <w:b/>
          <w:sz w:val="24"/>
        </w:rPr>
        <w:t xml:space="preserve">8.4 The unreproduced pipelines</w:t>
      </w:r>
    </w:p>
    <w:p>
      <w:pPr>
        <w:pStyle w:val="FirstParagraph"/>
        <w:spacing w:line="360" w:lineRule="auto" w:after="120"/>
        <w:ind w:firstLine="720"/>
        <w:jc w:val="both"/>
      </w:pPr>
      <w:r>
        <w:rPr>
          <w:rFonts w:ascii="Times New Roman" w:hAnsi="Times New Roman" w:cs="Times New Roman" w:eastAsia="Times New Roman"/>
          <w:sz w:val="24"/>
        </w:rPr>
        <w:t xml:space="preserve">The community-level social values are registered data pipelines and are not carried as results. The 43 fishing-dependent census subdivisions were identified from Statistics Canada Tables 38-10-0167-01 (2016) and 38-10-0168-01 (2021), with mean income from fishing moving from 32.2% to 25.6%; the community-level table (Bay de Verde 71.7% to 50.7%; Belleoram 58.9% to 56.7%; Fermeuse 57.9% in 2016 only; Hant’s Harbour 53.2% to 30.0%; Anchor Point 51.6% to 33.3%; Old Perlican 50.0% to 41.7%; Comfort Cove–Newstead and Greenspond 45.7% to 37.8%; Hermitage–Sandyville 45.5% to 56.5%; Charlottetown (Labrador) 43.9% to 38.5%) is displayed in the source and unreproduced: the locked query, CSV extract, filters, missing-value rules, geography crosswalk, and reproduction code are required. The Statistics Canada method facts are verified (the top-2% census-subdivision definition; the fishing-dependence thresholds 25.1% in 2016 and 21.4% in 2021); every displayed value carries the population mismatch — all-resident employment income, not licence holders — and the extraction must be distinguished from the licence, participation, and recruitment panel that the floors would require, which is not assembled.</w:t>
      </w:r>
    </w:p>
    <w:bookmarkEnd w:id="68"/>
    <w:bookmarkStart w:id="69" w:name="the-anti-domination-residue"/>
    <w:p>
      <w:pPr>
        <w:pStyle w:val="Heading2"/>
        <w:spacing w:before="240" w:after="120" w:line="360" w:lineRule="auto"/>
        <w:ind w:firstLine="0" w:left="0"/>
        <w:jc w:val="left"/>
      </w:pPr>
      <w:r>
        <w:rPr>
          <w:rFonts w:ascii="Times New Roman" w:hAnsi="Times New Roman" w:cs="Times New Roman" w:eastAsia="Times New Roman"/>
          <w:b/>
          <w:sz w:val="24"/>
        </w:rPr>
        <w:t xml:space="preserve">8.5 The anti-domination residue</w:t>
      </w:r>
    </w:p>
    <w:p>
      <w:pPr>
        <w:pStyle w:val="FirstParagraph"/>
        <w:spacing w:line="360" w:lineRule="auto" w:after="120"/>
        <w:ind w:firstLine="720"/>
        <w:jc w:val="both"/>
      </w:pPr>
      <w:r>
        <w:rPr>
          <w:rFonts w:ascii="Times New Roman" w:hAnsi="Times New Roman" w:cs="Times New Roman" w:eastAsia="Times New Roman"/>
          <w:sz w:val="24"/>
        </w:rPr>
        <w:t xml:space="preserve">What the instruments cannot capture is stated as a boundary and left open: who pays for persistence, who may use remaining variety, whose knowledge counts, and future persons — the part every income-and-amenities box misses. The residue is not filled with a 0–1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agency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score; the limits that preserve it are part of the record: no household vector is constructed, no far-from-equilibrium thermodynamics is computed, non-Western obligation systems are not consulted, and future persons are not assigned a fictitious income. The responsible-engagement obligation is retained: the cited engagement surface marks where consultation is owed, not its discharge. The tagged normative premises behind this layer and the unoperationalized proposed floors belong to the architecture companion, stated here only as cross-references.</w:t>
      </w:r>
    </w:p>
    <w:bookmarkEnd w:id="69"/>
    <w:bookmarkEnd w:id="70"/>
    <w:bookmarkStart w:id="71" w:name="the-falsification-standard"/>
    <w:p>
      <w:pPr>
        <w:pStyle w:val="Heading1"/>
        <w:spacing w:before="360" w:after="120" w:line="360" w:lineRule="auto"/>
        <w:ind w:firstLine="0" w:left="0"/>
        <w:jc w:val="left"/>
      </w:pPr>
      <w:r>
        <w:rPr>
          <w:rFonts w:ascii="Times New Roman" w:hAnsi="Times New Roman" w:cs="Times New Roman" w:eastAsia="Times New Roman"/>
          <w:b/>
          <w:sz w:val="28"/>
        </w:rPr>
        <w:t xml:space="preserve">9. The falsification standard</w:t>
      </w:r>
    </w:p>
    <w:p>
      <w:pPr>
        <w:pStyle w:val="FirstParagraph"/>
        <w:spacing w:line="360" w:lineRule="auto" w:after="120"/>
        <w:ind w:firstLine="720"/>
        <w:jc w:val="both"/>
      </w:pPr>
      <w:r>
        <w:rPr>
          <w:rFonts w:ascii="Times New Roman" w:hAnsi="Times New Roman" w:cs="Times New Roman" w:eastAsia="Times New Roman"/>
          <w:sz w:val="24"/>
        </w:rPr>
        <w:t xml:space="preserve">The model family gains empirical content by specifying the outcomes that count against its mechanism and parameterisation. Five declared outcomes:</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If independently measured implementation and deployment lags do not covary with the instability bands predicted under fitted resource parameters, the quantitative delay claim is weakened.</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If an observed oscillation remains after climate, cohort, and regime forcing are modelled, but its phase relation between decline signal, effort, and biomass contradicts the controller’s causal ordering, the mechanism is rejected for that case.</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If sampled-data analysis removes a continuous-delay band under realistic review rules, the continuous model cannot be used for that institution.</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If a protective controller dominates the extractive controller across uncertainty without inducing the claimed volatility, no anti-regulation conclusion may be retained.</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If realistic record lengths have low power for the predicted signal, field spectral nulls cannot adjudicate the mechanism; prospective or experimental evidence is required.</w:t>
      </w:r>
    </w:p>
    <w:p>
      <w:pPr>
        <w:pStyle w:val="FirstParagraph"/>
        <w:spacing w:line="360" w:lineRule="auto" w:after="120"/>
        <w:ind w:firstLine="720"/>
        <w:jc w:val="both"/>
      </w:pPr>
      <w:r>
        <w:rPr>
          <w:rFonts w:ascii="Times New Roman" w:hAnsi="Times New Roman" w:cs="Times New Roman" w:eastAsia="Times New Roman"/>
          <w:sz w:val="24"/>
        </w:rPr>
        <w:t xml:space="preserve">Three disciplines frame the list. First, the diagnostic no-transfer rule: a diagnostic is not a causal claim — the spectral null, the response regions, the power values, the case calculations, and the cod split carry their declared types and no more, and no accumulation of diagnostics converts to causal evidence. Second, the admission standard: this research programme’s scored-forecast methodology — preregistered scoring against declared baselines, with a negative certificate published when a benchmark is not defeated — is the rule the prospective programme inherits, and the research programme’s four scored empirical manuscripts (two forecast ladders and two intervention-selection legs on the cod and Edwards Aquifer systems) are separate studies whose results are not transferred here. Third, the designs of §7 do not convert the retrospective findings into causal evidence; they replace them, and until they are executed the summary of the empirical layer is the one stated in this article: a well-posed mechanism, an exploratory computational record, a selected-cohort spectral null with limited power, a zero-count case search that is not disconfirmation, and one case whose positive result is a descriptive split.</w:t>
      </w:r>
    </w:p>
    <w:bookmarkEnd w:id="71"/>
    <w:bookmarkStart w:id="72" w:name="provenance-reproducibility-and-limits"/>
    <w:p>
      <w:pPr>
        <w:pStyle w:val="Heading1"/>
        <w:spacing w:before="360" w:after="120" w:line="360" w:lineRule="auto"/>
        <w:ind w:firstLine="0" w:left="0"/>
        <w:jc w:val="left"/>
      </w:pPr>
      <w:r>
        <w:rPr>
          <w:rFonts w:ascii="Times New Roman" w:hAnsi="Times New Roman" w:cs="Times New Roman" w:eastAsia="Times New Roman"/>
          <w:b/>
          <w:sz w:val="28"/>
        </w:rPr>
        <w:t xml:space="preserve">10. Provenance, reproducibility, and limits</w:t>
      </w:r>
    </w:p>
    <w:p>
      <w:pPr>
        <w:pStyle w:val="FirstParagraph"/>
        <w:spacing w:line="360" w:lineRule="auto" w:after="120"/>
        <w:ind w:firstLine="720"/>
        <w:jc w:val="both"/>
      </w:pPr>
      <w:r>
        <w:rPr>
          <w:rFonts w:ascii="Times New Roman" w:hAnsi="Times New Roman" w:cs="Times New Roman" w:eastAsia="Times New Roman"/>
          <w:b/>
          <w:bCs/>
          <w:sz w:val="24"/>
        </w:rPr>
        <w:t xml:space="preserve">Provenance.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inventory-sourced statement carries its provenance key in Appendix A; the key links the statement to its source location, canonical module, mapping type, evidence status, and destination. The ten source manuscripts behind the retained set were each read in full by the dated scientific passes recorded in the statement inventory. The manuscript-native entries (Appendix A) carry their declaration on the line: the governance-time ontology and the four designs are source-declared objects, the forward-invariance proposition is the periodic-review source’s complete formal result with its proof reproduced in full, the consistency instance rides a conditional theorem of the atlas companion (a cross-reference to that companion’s entry, not a retained row of this article), and the falsification criteria are the source’s declared outcomes. The shared bibliography of the periodic-review source is a declared but uncommitted file dependency, so the bibliography is reconstructed from the cited works at camera-ready. Four manuscript-native entries restate source content that carries no inventory row, at its source-declared status: the architecture-level empirical hypotheses, declared with their tests and not executed (§5.2); the assessment-table values for the non-recovery and recovery windows, source-reported estimates of DFO CSAS SAR 2016/026 Table A2 with an</w:t>
      </w:r>
      <w:r>
        <w:rPr>
          <w:rFonts w:ascii="Times New Roman" w:hAnsi="Times New Roman" w:cs="Times New Roman" w:eastAsia="Times New Roman"/>
          <w:sz w:val="24"/>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survival column (§6.3); the alternative-mechanism enumeration as the non-identification rule behind the case-search criteria (§6.1); and the observation that the fixed-</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is a modelling idealisation, an interpretive caveat (§7.1).</w:t>
      </w:r>
    </w:p>
    <w:p>
      <w:pPr>
        <w:pStyle w:val="BodyText"/>
        <w:spacing w:line="360" w:lineRule="auto" w:after="120"/>
        <w:ind w:firstLine="720"/>
        <w:jc w:val="both"/>
      </w:pPr>
      <w:r>
        <w:rPr>
          <w:rFonts w:ascii="Times New Roman" w:hAnsi="Times New Roman" w:cs="Times New Roman" w:eastAsia="Times New Roman"/>
          <w:b/>
          <w:bCs/>
          <w:sz w:val="24"/>
        </w:rPr>
        <w:t xml:space="preserve">Reproducibility.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empirical and computational records are stated at their source-declared statuses and no higher. The computational record of the periodic-review source is incomplete: until it is complete, the stage-output values have exploratory status rather than the status of reproducible numerical propositions; the code and machine outputs are not committed, and the retrospective computational and data results remain unreproduced. The registration requirements not discharged are: the initial histories and solver configuration; the RAM stock identifiers and eligibility table; the processed series and spectral routines; the power simulation code and seeds; and the case-screening table and query log. On the open-problem docket: the constrained-M reproduction package, the community-level social-data pipelines with their locked query, extract, filters, crosswalk, and reproduction code, the poverty-line vintage correction before any income-axis use, and the archived table query and population mapping of the social-ecological bridge. Computational claims in this research programme carry a certification hierarchy — nominal result, re-execution-verified, independently re-executed, certified (interval or rigorous arithmetic) — stated per claim and never implied; nothing in this article reaches beyond the nominal tier, and the statuses above say so.</w:t>
      </w:r>
    </w:p>
    <w:p>
      <w:pPr>
        <w:pStyle w:val="BodyText"/>
        <w:spacing w:line="360" w:lineRule="auto" w:after="120"/>
        <w:ind w:firstLine="720"/>
        <w:jc w:val="both"/>
      </w:pPr>
      <w:r>
        <w:rPr>
          <w:rFonts w:ascii="Times New Roman" w:hAnsi="Times New Roman" w:cs="Times New Roman" w:eastAsia="Times New Roman"/>
          <w:b/>
          <w:bCs/>
          <w:sz w:val="24"/>
        </w:rPr>
        <w:t xml:space="preserve">Limits.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Diagnostics are not causal claims: the spectral null, the response regions, the power values, the case calculations, and the cod split carry their declared types and no more. (ii) The response regions are exploratory finite-grid, trajectory-classified records pending complete stage registration and multiplier analysis; no Poincaré-map multiplier classification is claimed, and the values are not reproducible numerical propositions until the computational record is complete. (iii) The two review-map operators are distinct: statements computed on the hold map, on the stage-structured map, and on the continuous-delay equation do not transfer to one another, and every review-window statement names its operator. (iv) The screen is a selected-cohort consistency check whose power is high only in favourable noise and record-length regimes; the null is not proof of absence and adjudicates nothing about controller sign. (v) The zero-count case search is not independent disconfirmation under its own eligibility criteria. (vi) The cod case establishes a descriptive partition — the crash interpretation is formulation-dependent, the non-recovery is unexplained in both formulations, and no mechanism is identified; the constrained-M quantities are reproduction targets, and the arithmetic record of the case remains subject to archived recalculation. (vii) The obstruction mathematics concerns exact trajectories of the fixed-parameter, fixed-removals autonomous class and is not a rejection under measurement error, process noise, age structure, migration, time-varying mortality, or state-space observation models. (viii) The social object is not operationalized: the human series is not assembled, the normative floors are unoperationalized, and the gap is the result. (ix) The prospective designs are preregistration targets, not executed studies, and they convert nothing retroactively. (x) The three conditional sources are outside this article’s retained set, and no claim here depends on them.</w:t>
      </w:r>
    </w:p>
    <w:bookmarkEnd w:id="72"/>
    <w:bookmarkStart w:id="73" w:name="appendix-a.-statement-inventory"/>
    <w:p>
      <w:pPr>
        <w:pStyle w:val="Heading1"/>
        <w:spacing w:before="360" w:after="120" w:line="360" w:lineRule="auto"/>
        <w:ind w:firstLine="0" w:left="0"/>
        <w:jc w:val="left"/>
      </w:pPr>
      <w:r>
        <w:rPr>
          <w:rFonts w:ascii="Times New Roman" w:hAnsi="Times New Roman" w:cs="Times New Roman" w:eastAsia="Times New Roman"/>
          <w:b/>
          <w:sz w:val="28"/>
        </w:rPr>
        <w:t xml:space="preserve">Appendix A. Statement inventory</w:t>
      </w:r>
    </w:p>
    <w:p>
      <w:pPr>
        <w:pStyle w:val="FirstParagraph"/>
        <w:spacing w:line="360" w:lineRule="auto" w:after="120"/>
        <w:ind w:firstLine="720"/>
        <w:jc w:val="both"/>
      </w:pPr>
      <w:r>
        <w:rPr>
          <w:rFonts w:ascii="Times New Roman" w:hAnsi="Times New Roman" w:cs="Times New Roman" w:eastAsia="Times New Roman"/>
          <w:sz w:val="24"/>
        </w:rPr>
        <w:t xml:space="preserve">This appendix inventories the formal and empirical statements of the article in two tables.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identifier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 carries the research programme’s inventory row codes (</w:t>
      </w:r>
      <w:r>
        <w:rPr>
          <w:rStyle w:val="VerbatimChar"/>
          <w:rFonts w:ascii="Times New Roman" w:hAnsi="Times New Roman" w:cs="Times New Roman" w:eastAsia="Times New Roman"/>
          <w:sz w:val="24"/>
        </w:rPr>
        <w:t xml:space="preserve">CC-A0dd-ddd</w:t>
      </w:r>
      <w:r>
        <w:rPr>
          <w:rFonts w:ascii="Times New Roman" w:hAnsi="Times New Roman" w:cs="Times New Roman" w:eastAsia="Times New Roman"/>
          <w:sz w:val="24"/>
        </w:rPr>
        <w:t xml:space="preserve">) or manuscript-native keys (</w:t>
      </w:r>
      <w:r>
        <w:rPr>
          <w:rStyle w:val="VerbatimChar"/>
          <w:rFonts w:ascii="Times New Roman" w:hAnsi="Times New Roman" w:cs="Times New Roman" w:eastAsia="Times New Roman"/>
          <w:sz w:val="24"/>
        </w:rPr>
        <w:t xml:space="preserve">MS-Native-n</w:t>
      </w:r>
      <w:r>
        <w:rPr>
          <w:rFonts w:ascii="Times New Roman" w:hAnsi="Times New Roman" w:cs="Times New Roman" w:eastAsia="Times New Roman"/>
          <w:sz w:val="24"/>
        </w:rPr>
        <w:t xml:space="preserve">); the codes key each statement to the source-to-canonical statement inventory maintained in the research programme’s repository and are provenance keys, not citations. Every inventory-sourced entry was verified against its source manuscript in the dated full-read campaign of 2026-08-27/28 (full-source reads with per-statement confirmation of existence, kind, proof presence, module, and mapping type); this is content-level verification of provenance, not a promotion of any entry’s status.</w:t>
      </w:r>
    </w:p>
    <w:p>
      <w:pPr>
        <w:pStyle w:val="BodyText"/>
        <w:spacing w:line="360" w:lineRule="auto" w:after="120"/>
        <w:ind w:firstLine="720"/>
        <w:jc w:val="both"/>
      </w:pPr>
      <w:r>
        <w:rPr>
          <w:rFonts w:ascii="Times New Roman" w:hAnsi="Times New Roman" w:cs="Times New Roman" w:eastAsia="Times New Roman"/>
          <w:b/>
          <w:bCs/>
          <w:sz w:val="24"/>
        </w:rPr>
        <w:t xml:space="preserve">Legend and disclaimer.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Registry entry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Registration requirement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 record</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Interpretive caveat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stipulated or declared — they carry no empirical truth-value and need no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Proposition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Lemma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Example</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established under the assumptions stated where they appear (proved or reproduced in this article, or verified present in the identified source).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 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Conditional/open</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retain their hypotheses and restrictions as mathematical content. Empirical records (screen results, response regions, power values, case calculations, case syntheses) carry their source-specific evidentiary level in the status column,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row-verified</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evidence column means verified against the source in the dated full-read campaign described above. The formal validity of any entry within the declared framework does not by itself imply applicability to an empirical system (§10, Limits). No status is promoted anywhere in this inventory; the manuscript-native entries MS-Native-1 through MS-Native-6 are this article’s own statements of source-declared objects, results, and designs, and MS-Native-7 through MS-Native-10 restate source-declared content that carries no inventory row, all at the statuses declared above.</w:t>
      </w:r>
    </w:p>
    <w:p>
      <w:pPr>
        <w:pStyle w:val="BodyText"/>
        <w:spacing w:line="360" w:lineRule="auto" w:after="120"/>
        <w:ind w:firstLine="720"/>
        <w:jc w:val="both"/>
      </w:pPr>
      <w:r>
        <w:rPr>
          <w:rFonts w:ascii="Times New Roman" w:hAnsi="Times New Roman" w:cs="Times New Roman" w:eastAsia="Times New Roman"/>
          <w:b/>
          <w:bCs/>
          <w:sz w:val="24"/>
        </w:rPr>
        <w:t xml:space="preserve">Table A1. Stipulated definitions, model objects, declared registrations, obligations, hypotheses, and designs.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584"/>
        <w:gridCol w:w="1584"/>
        <w:gridCol w:w="1584"/>
        <w:gridCol w:w="1584"/>
        <w:gridCol w:w="1584"/>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Evidence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Section</w:t>
            </w:r>
          </w:p>
        </w:tc>
      </w:tr>
      <w:tr>
        <w:tc>
          <w:tcPr/>
          <w:p>
            <w:pPr>
              <w:pStyle w:val="Compact"/>
              <w:spacing w:line="240" w:lineRule="auto" w:after="40" w:before="40"/>
              <w:jc w:val="left"/>
            </w:pPr>
            <w:r>
              <w:rPr>
                <w:rFonts w:ascii="Times New Roman" w:hAnsi="Times New Roman" w:cs="Times New Roman" w:eastAsia="Times New Roman"/>
                <w:sz w:val="19"/>
              </w:rPr>
              <w:t xml:space="preserve">CC-A002-045</w:t>
            </w:r>
          </w:p>
        </w:tc>
        <w:tc>
          <w:tcPr/>
          <w:p>
            <w:pPr>
              <w:pStyle w:val="Compact"/>
              <w:spacing w:line="240" w:lineRule="auto" w:after="40" w:before="40"/>
              <w:jc w:val="left"/>
            </w:pPr>
            <w:r>
              <w:rPr>
                <w:rFonts w:ascii="Times New Roman" w:hAnsi="Times New Roman" w:cs="Times New Roman" w:eastAsia="Times New Roman"/>
                <w:sz w:val="19"/>
              </w:rPr>
              <w:t xml:space="preserve">Observation aggregation</w:t>
            </w:r>
          </w:p>
        </w:tc>
        <w:tc>
          <w:tcPr/>
          <w:p>
            <w:pPr>
              <w:pStyle w:val="Compact"/>
              <w:spacing w:line="240" w:lineRule="auto" w:after="40" w:before="40"/>
              <w:jc w:val="left"/>
            </w:pPr>
            <w:r>
              <w:rPr>
                <w:rFonts w:ascii="Times New Roman" w:hAnsi="Times New Roman" w:cs="Times New Roman" w:eastAsia="Times New Roman"/>
                <w:sz w:val="19"/>
              </w:rPr>
              <w:t xml:space="preserve">empirical hypothesis (test requirements declared)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conditional/open</w:t>
            </w:r>
          </w:p>
        </w:tc>
        <w:tc>
          <w:tcPr/>
          <w:p>
            <w:pPr>
              <w:pStyle w:val="Compact"/>
              <w:spacing w:line="240" w:lineRule="auto" w:after="40" w:before="40"/>
              <w:jc w:val="left"/>
            </w:pPr>
            <w:r>
              <w:rPr>
                <w:rFonts w:ascii="Times New Roman" w:hAnsi="Times New Roman" w:cs="Times New Roman" w:eastAsia="Times New Roman"/>
                <w:sz w:val="19"/>
              </w:rPr>
              <w:t xml:space="preserve">§5.2</w:t>
            </w:r>
          </w:p>
        </w:tc>
      </w:tr>
      <w:tr>
        <w:tc>
          <w:tcPr/>
          <w:p>
            <w:pPr>
              <w:pStyle w:val="Compact"/>
              <w:spacing w:line="240" w:lineRule="auto" w:after="40" w:before="40"/>
              <w:jc w:val="left"/>
            </w:pPr>
            <w:r>
              <w:rPr>
                <w:rFonts w:ascii="Times New Roman" w:hAnsi="Times New Roman" w:cs="Times New Roman" w:eastAsia="Times New Roman"/>
                <w:sz w:val="19"/>
              </w:rPr>
              <w:t xml:space="preserve">CC-A002-046</w:t>
            </w:r>
          </w:p>
        </w:tc>
        <w:tc>
          <w:tcPr/>
          <w:p>
            <w:pPr>
              <w:pStyle w:val="Compact"/>
              <w:spacing w:line="240" w:lineRule="auto" w:after="40" w:before="40"/>
              <w:jc w:val="left"/>
            </w:pPr>
            <w:r>
              <w:rPr>
                <w:rFonts w:ascii="Times New Roman" w:hAnsi="Times New Roman" w:cs="Times New Roman" w:eastAsia="Times New Roman"/>
                <w:sz w:val="19"/>
              </w:rPr>
              <w:t xml:space="preserve">Governance phase ordering (frequency-domain caveat)</w:t>
            </w:r>
          </w:p>
        </w:tc>
        <w:tc>
          <w:tcPr/>
          <w:p>
            <w:pPr>
              <w:pStyle w:val="Compact"/>
              <w:spacing w:line="240" w:lineRule="auto" w:after="40" w:before="40"/>
              <w:jc w:val="left"/>
            </w:pPr>
            <w:r>
              <w:rPr>
                <w:rFonts w:ascii="Times New Roman" w:hAnsi="Times New Roman" w:cs="Times New Roman" w:eastAsia="Times New Roman"/>
                <w:sz w:val="19"/>
              </w:rPr>
              <w:t xml:space="preserve">empirical hypothesis (test requirements declared)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conditional/open</w:t>
            </w:r>
          </w:p>
        </w:tc>
        <w:tc>
          <w:tcPr/>
          <w:p>
            <w:pPr>
              <w:pStyle w:val="Compact"/>
              <w:spacing w:line="240" w:lineRule="auto" w:after="40" w:before="40"/>
              <w:jc w:val="left"/>
            </w:pPr>
            <w:r>
              <w:rPr>
                <w:rFonts w:ascii="Times New Roman" w:hAnsi="Times New Roman" w:cs="Times New Roman" w:eastAsia="Times New Roman"/>
                <w:sz w:val="19"/>
              </w:rPr>
              <w:t xml:space="preserve">§5.2</w:t>
            </w:r>
          </w:p>
        </w:tc>
      </w:tr>
      <w:tr>
        <w:tc>
          <w:tcPr/>
          <w:p>
            <w:pPr>
              <w:pStyle w:val="Compact"/>
              <w:spacing w:line="240" w:lineRule="auto" w:after="40" w:before="40"/>
              <w:jc w:val="left"/>
            </w:pPr>
            <w:r>
              <w:rPr>
                <w:rFonts w:ascii="Times New Roman" w:hAnsi="Times New Roman" w:cs="Times New Roman" w:eastAsia="Times New Roman"/>
                <w:sz w:val="19"/>
              </w:rPr>
              <w:t xml:space="preserve">CC-A002-047</w:t>
            </w:r>
          </w:p>
        </w:tc>
        <w:tc>
          <w:tcPr/>
          <w:p>
            <w:pPr>
              <w:pStyle w:val="Compact"/>
              <w:spacing w:line="240" w:lineRule="auto" w:after="40" w:before="40"/>
              <w:jc w:val="left"/>
            </w:pPr>
            <w:r>
              <w:rPr>
                <w:rFonts w:ascii="Times New Roman" w:hAnsi="Times New Roman" w:cs="Times New Roman" w:eastAsia="Times New Roman"/>
                <w:sz w:val="19"/>
              </w:rPr>
              <w:t xml:space="preserve">Substitution certificate</w:t>
            </w:r>
          </w:p>
        </w:tc>
        <w:tc>
          <w:tcPr/>
          <w:p>
            <w:pPr>
              <w:pStyle w:val="Compact"/>
              <w:spacing w:line="240" w:lineRule="auto" w:after="40" w:before="40"/>
              <w:jc w:val="left"/>
            </w:pPr>
            <w:r>
              <w:rPr>
                <w:rFonts w:ascii="Times New Roman" w:hAnsi="Times New Roman" w:cs="Times New Roman" w:eastAsia="Times New Roman"/>
                <w:sz w:val="19"/>
              </w:rPr>
              <w:t xml:space="preserve">empirical hypothesis (test requirements declared)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conditional/open</w:t>
            </w:r>
          </w:p>
        </w:tc>
        <w:tc>
          <w:tcPr/>
          <w:p>
            <w:pPr>
              <w:pStyle w:val="Compact"/>
              <w:spacing w:line="240" w:lineRule="auto" w:after="40" w:before="40"/>
              <w:jc w:val="left"/>
            </w:pPr>
            <w:r>
              <w:rPr>
                <w:rFonts w:ascii="Times New Roman" w:hAnsi="Times New Roman" w:cs="Times New Roman" w:eastAsia="Times New Roman"/>
                <w:sz w:val="19"/>
              </w:rPr>
              <w:t xml:space="preserve">§5.2</w:t>
            </w:r>
          </w:p>
        </w:tc>
      </w:tr>
      <w:tr>
        <w:tc>
          <w:tcPr/>
          <w:p>
            <w:pPr>
              <w:pStyle w:val="Compact"/>
              <w:spacing w:line="240" w:lineRule="auto" w:after="40" w:before="40"/>
              <w:jc w:val="left"/>
            </w:pPr>
            <w:r>
              <w:rPr>
                <w:rFonts w:ascii="Times New Roman" w:hAnsi="Times New Roman" w:cs="Times New Roman" w:eastAsia="Times New Roman"/>
                <w:sz w:val="19"/>
              </w:rPr>
              <w:t xml:space="preserve">CC-A003-013</w:t>
            </w:r>
          </w:p>
        </w:tc>
        <w:tc>
          <w:tcPr/>
          <w:p>
            <w:pPr>
              <w:pStyle w:val="Compact"/>
              <w:spacing w:line="240" w:lineRule="auto" w:after="40" w:before="40"/>
              <w:jc w:val="left"/>
            </w:pPr>
            <w:r>
              <w:rPr>
                <w:rFonts w:ascii="Times New Roman" w:hAnsi="Times New Roman" w:cs="Times New Roman" w:eastAsia="Times New Roman"/>
                <w:sz w:val="19"/>
              </w:rPr>
              <w:t xml:space="preserve">Sampled-review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 (no artifact)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§2.4</w:t>
            </w:r>
          </w:p>
        </w:tc>
      </w:tr>
      <w:tr>
        <w:tc>
          <w:tcPr/>
          <w:p>
            <w:pPr>
              <w:pStyle w:val="Compact"/>
              <w:spacing w:line="240" w:lineRule="auto" w:after="40" w:before="40"/>
              <w:jc w:val="left"/>
            </w:pPr>
            <w:r>
              <w:rPr>
                <w:rFonts w:ascii="Times New Roman" w:hAnsi="Times New Roman" w:cs="Times New Roman" w:eastAsia="Times New Roman"/>
                <w:sz w:val="19"/>
              </w:rPr>
              <w:t xml:space="preserve">CC-A011-001</w:t>
            </w:r>
          </w:p>
        </w:tc>
        <w:tc>
          <w:tcPr/>
          <w:p>
            <w:pPr>
              <w:pStyle w:val="Compact"/>
              <w:spacing w:line="240" w:lineRule="auto" w:after="40" w:before="40"/>
              <w:jc w:val="left"/>
            </w:pPr>
            <w:r>
              <w:rPr>
                <w:rFonts w:ascii="Times New Roman" w:hAnsi="Times New Roman" w:cs="Times New Roman" w:eastAsia="Times New Roman"/>
                <w:sz w:val="19"/>
              </w:rPr>
              <w:t xml:space="preserve">Between-review logistic process with held effort</w:t>
            </w:r>
          </w:p>
        </w:tc>
        <w:tc>
          <w:tcPr/>
          <w:p>
            <w:pPr>
              <w:pStyle w:val="Compact"/>
              <w:spacing w:line="240" w:lineRule="auto" w:after="40" w:before="40"/>
              <w:jc w:val="left"/>
            </w:pPr>
            <w:r>
              <w:rPr>
                <w:rFonts w:ascii="Times New Roman" w:hAnsi="Times New Roman" w:cs="Times New Roman" w:eastAsia="Times New Roman"/>
                <w:sz w:val="19"/>
              </w:rPr>
              <w:t xml:space="preserve">definition (model object)</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CC-A011-002</w:t>
            </w:r>
          </w:p>
        </w:tc>
        <w:tc>
          <w:tcPr/>
          <w:p>
            <w:pPr>
              <w:pStyle w:val="Compact"/>
              <w:spacing w:line="240" w:lineRule="auto" w:after="40" w:before="40"/>
              <w:jc w:val="left"/>
            </w:pPr>
            <w:r>
              <w:rPr>
                <w:rFonts w:ascii="Times New Roman" w:hAnsi="Times New Roman" w:cs="Times New Roman" w:eastAsia="Times New Roman"/>
                <w:sz w:val="19"/>
              </w:rPr>
              <w:t xml:space="preserve">Filtered nonnegative deficit signal (</w:t>
            </w:r>
            <m:oMath>
              <m:sSub>
                <m:e>
                  <m:r>
                    <m:t>τ</m:t>
                  </m:r>
                </m:e>
                <m:sub>
                  <m:r>
                    <m:t>m</m:t>
                  </m:r>
                </m:sub>
              </m:sSub>
              <m:r>
                <m:rPr>
                  <m:sty m:val="p"/>
                </m:rPr>
                <m:t>&gt;</m:t>
              </m:r>
              <m:r>
                <m:t>0</m:t>
              </m:r>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definition (model object)</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CC-A011-003</w:t>
            </w:r>
          </w:p>
        </w:tc>
        <w:tc>
          <w:tcPr/>
          <w:p>
            <w:pPr>
              <w:pStyle w:val="Compact"/>
              <w:spacing w:line="240" w:lineRule="auto" w:after="40" w:before="40"/>
              <w:jc w:val="left"/>
            </w:pPr>
            <w:r>
              <w:rPr>
                <w:rFonts w:ascii="Times New Roman" w:hAnsi="Times New Roman" w:cs="Times New Roman" w:eastAsia="Times New Roman"/>
                <w:sz w:val="19"/>
              </w:rPr>
              <w:t xml:space="preserve">Projected explicit effort update</w:t>
            </w:r>
          </w:p>
        </w:tc>
        <w:tc>
          <w:tcPr/>
          <w:p>
            <w:pPr>
              <w:pStyle w:val="Compact"/>
              <w:spacing w:line="240" w:lineRule="auto" w:after="40" w:before="40"/>
              <w:jc w:val="left"/>
            </w:pPr>
            <w:r>
              <w:rPr>
                <w:rFonts w:ascii="Times New Roman" w:hAnsi="Times New Roman" w:cs="Times New Roman" w:eastAsia="Times New Roman"/>
                <w:sz w:val="19"/>
              </w:rPr>
              <w:t xml:space="preserve">definition (model object)</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§2.3</w:t>
            </w:r>
          </w:p>
        </w:tc>
      </w:tr>
      <w:tr>
        <w:tc>
          <w:tcPr/>
          <w:p>
            <w:pPr>
              <w:pStyle w:val="Compact"/>
              <w:spacing w:line="240" w:lineRule="auto" w:after="40" w:before="40"/>
              <w:jc w:val="left"/>
            </w:pPr>
            <w:r>
              <w:rPr>
                <w:rFonts w:ascii="Times New Roman" w:hAnsi="Times New Roman" w:cs="Times New Roman" w:eastAsia="Times New Roman"/>
                <w:sz w:val="19"/>
              </w:rPr>
              <w:t xml:space="preserve">CC-A011-004</w:t>
            </w:r>
          </w:p>
        </w:tc>
        <w:tc>
          <w:tcPr/>
          <w:p>
            <w:pPr>
              <w:pStyle w:val="Compact"/>
              <w:spacing w:line="240" w:lineRule="auto" w:after="40" w:before="40"/>
              <w:jc w:val="left"/>
            </w:pPr>
            <w:r>
              <w:rPr>
                <w:rFonts w:ascii="Times New Roman" w:hAnsi="Times New Roman" w:cs="Times New Roman" w:eastAsia="Times New Roman"/>
                <w:sz w:val="19"/>
              </w:rPr>
              <w:t xml:space="preserve">Extractive controller SD-E-B3</w:t>
            </w:r>
          </w:p>
        </w:tc>
        <w:tc>
          <w:tcPr/>
          <w:p>
            <w:pPr>
              <w:pStyle w:val="Compact"/>
              <w:spacing w:line="240" w:lineRule="auto" w:after="40" w:before="40"/>
              <w:jc w:val="left"/>
            </w:pPr>
            <w:r>
              <w:rPr>
                <w:rFonts w:ascii="Times New Roman" w:hAnsi="Times New Roman" w:cs="Times New Roman" w:eastAsia="Times New Roman"/>
                <w:sz w:val="19"/>
              </w:rPr>
              <w:t xml:space="preserve">definition (named controller; discretisation, not a rule)</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§2.3</w:t>
            </w:r>
          </w:p>
        </w:tc>
      </w:tr>
      <w:tr>
        <w:tc>
          <w:tcPr/>
          <w:p>
            <w:pPr>
              <w:pStyle w:val="Compact"/>
              <w:spacing w:line="240" w:lineRule="auto" w:after="40" w:before="40"/>
              <w:jc w:val="left"/>
            </w:pPr>
            <w:r>
              <w:rPr>
                <w:rFonts w:ascii="Times New Roman" w:hAnsi="Times New Roman" w:cs="Times New Roman" w:eastAsia="Times New Roman"/>
                <w:sz w:val="19"/>
              </w:rPr>
              <w:t xml:space="preserve">CC-A011-005</w:t>
            </w:r>
          </w:p>
        </w:tc>
        <w:tc>
          <w:tcPr/>
          <w:p>
            <w:pPr>
              <w:pStyle w:val="Compact"/>
              <w:spacing w:line="240" w:lineRule="auto" w:after="40" w:before="40"/>
              <w:jc w:val="left"/>
            </w:pPr>
            <w:r>
              <w:rPr>
                <w:rFonts w:ascii="Times New Roman" w:hAnsi="Times New Roman" w:cs="Times New Roman" w:eastAsia="Times New Roman"/>
                <w:sz w:val="19"/>
              </w:rPr>
              <w:t xml:space="preserve">Comparator classes SD-P, SD-F, SD-H</w:t>
            </w:r>
          </w:p>
        </w:tc>
        <w:tc>
          <w:tcPr/>
          <w:p>
            <w:pPr>
              <w:pStyle w:val="Compact"/>
              <w:spacing w:line="240" w:lineRule="auto" w:after="40" w:before="40"/>
              <w:jc w:val="left"/>
            </w:pPr>
            <w:r>
              <w:rPr>
                <w:rFonts w:ascii="Times New Roman" w:hAnsi="Times New Roman" w:cs="Times New Roman" w:eastAsia="Times New Roman"/>
                <w:sz w:val="19"/>
              </w:rPr>
              <w:t xml:space="preserve">definition (declared comparators, not experiments)</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§2.3</w:t>
            </w:r>
          </w:p>
        </w:tc>
      </w:tr>
      <w:tr>
        <w:tc>
          <w:tcPr/>
          <w:p>
            <w:pPr>
              <w:pStyle w:val="Compact"/>
              <w:spacing w:line="240" w:lineRule="auto" w:after="40" w:before="40"/>
              <w:jc w:val="left"/>
            </w:pPr>
            <w:r>
              <w:rPr>
                <w:rFonts w:ascii="Times New Roman" w:hAnsi="Times New Roman" w:cs="Times New Roman" w:eastAsia="Times New Roman"/>
                <w:sz w:val="19"/>
              </w:rPr>
              <w:t xml:space="preserve">CC-A011-012</w:t>
            </w:r>
          </w:p>
        </w:tc>
        <w:tc>
          <w:tcPr/>
          <w:p>
            <w:pPr>
              <w:pStyle w:val="Compact"/>
              <w:spacing w:line="240" w:lineRule="auto" w:after="40" w:before="40"/>
              <w:jc w:val="left"/>
            </w:pPr>
            <w:r>
              <w:rPr>
                <w:rFonts w:ascii="Times New Roman" w:hAnsi="Times New Roman" w:cs="Times New Roman" w:eastAsia="Times New Roman"/>
                <w:sz w:val="19"/>
              </w:rPr>
              <w:t xml:space="preserve">42-stock RAM annual-review cohort</w:t>
            </w:r>
          </w:p>
        </w:tc>
        <w:tc>
          <w:tcPr/>
          <w:p>
            <w:pPr>
              <w:pStyle w:val="Compact"/>
              <w:spacing w:line="240" w:lineRule="auto" w:after="40" w:before="40"/>
              <w:jc w:val="left"/>
            </w:pPr>
            <w:r>
              <w:rPr>
                <w:rFonts w:ascii="Times New Roman" w:hAnsi="Times New Roman" w:cs="Times New Roman" w:eastAsia="Times New Roman"/>
                <w:sz w:val="19"/>
              </w:rPr>
              <w:t xml:space="preserve">empirical cohort definition (screen input layer)</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§5.3</w:t>
            </w:r>
          </w:p>
        </w:tc>
      </w:tr>
      <w:tr>
        <w:tc>
          <w:tcPr/>
          <w:p>
            <w:pPr>
              <w:pStyle w:val="Compact"/>
              <w:spacing w:line="240" w:lineRule="auto" w:after="40" w:before="40"/>
              <w:jc w:val="left"/>
            </w:pPr>
            <w:r>
              <w:rPr>
                <w:rFonts w:ascii="Times New Roman" w:hAnsi="Times New Roman" w:cs="Times New Roman" w:eastAsia="Times New Roman"/>
                <w:sz w:val="19"/>
              </w:rPr>
              <w:t xml:space="preserve">CC-A011-018</w:t>
            </w:r>
          </w:p>
        </w:tc>
        <w:tc>
          <w:tcPr/>
          <w:p>
            <w:pPr>
              <w:pStyle w:val="Compact"/>
              <w:spacing w:line="240" w:lineRule="auto" w:after="40" w:before="40"/>
              <w:jc w:val="left"/>
            </w:pPr>
            <w:r>
              <w:rPr>
                <w:rFonts w:ascii="Times New Roman" w:hAnsi="Times New Roman" w:cs="Times New Roman" w:eastAsia="Times New Roman"/>
                <w:sz w:val="19"/>
              </w:rPr>
              <w:t xml:space="preserve">Initial histories and solver configuration</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 (not discharged)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§2.4</w:t>
            </w:r>
          </w:p>
        </w:tc>
      </w:tr>
      <w:tr>
        <w:tc>
          <w:tcPr/>
          <w:p>
            <w:pPr>
              <w:pStyle w:val="Compact"/>
              <w:spacing w:line="240" w:lineRule="auto" w:after="40" w:before="40"/>
              <w:jc w:val="left"/>
            </w:pPr>
            <w:r>
              <w:rPr>
                <w:rFonts w:ascii="Times New Roman" w:hAnsi="Times New Roman" w:cs="Times New Roman" w:eastAsia="Times New Roman"/>
                <w:sz w:val="19"/>
              </w:rPr>
              <w:t xml:space="preserve">CC-A011-019</w:t>
            </w:r>
          </w:p>
        </w:tc>
        <w:tc>
          <w:tcPr/>
          <w:p>
            <w:pPr>
              <w:pStyle w:val="Compact"/>
              <w:spacing w:line="240" w:lineRule="auto" w:after="40" w:before="40"/>
              <w:jc w:val="left"/>
            </w:pPr>
            <w:r>
              <w:rPr>
                <w:rFonts w:ascii="Times New Roman" w:hAnsi="Times New Roman" w:cs="Times New Roman" w:eastAsia="Times New Roman"/>
                <w:sz w:val="19"/>
              </w:rPr>
              <w:t xml:space="preserve">Code and machine outputs</w:t>
            </w:r>
          </w:p>
        </w:tc>
        <w:tc>
          <w:tcPr/>
          <w:p>
            <w:pPr>
              <w:pStyle w:val="Compact"/>
              <w:spacing w:line="240" w:lineRule="auto" w:after="40" w:before="40"/>
              <w:jc w:val="left"/>
            </w:pPr>
            <w:r>
              <w:rPr>
                <w:rFonts w:ascii="Times New Roman" w:hAnsi="Times New Roman" w:cs="Times New Roman" w:eastAsia="Times New Roman"/>
                <w:sz w:val="19"/>
              </w:rPr>
              <w:t xml:space="preserve">reproducibility obligation (not discharged)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§10</w:t>
            </w:r>
          </w:p>
        </w:tc>
      </w:tr>
      <w:tr>
        <w:tc>
          <w:tcPr/>
          <w:p>
            <w:pPr>
              <w:pStyle w:val="Compact"/>
              <w:spacing w:line="240" w:lineRule="auto" w:after="40" w:before="40"/>
              <w:jc w:val="left"/>
            </w:pPr>
            <w:r>
              <w:rPr>
                <w:rFonts w:ascii="Times New Roman" w:hAnsi="Times New Roman" w:cs="Times New Roman" w:eastAsia="Times New Roman"/>
                <w:sz w:val="19"/>
              </w:rPr>
              <w:t xml:space="preserve">CC-A011-020</w:t>
            </w:r>
          </w:p>
        </w:tc>
        <w:tc>
          <w:tcPr/>
          <w:p>
            <w:pPr>
              <w:pStyle w:val="Compact"/>
              <w:spacing w:line="240" w:lineRule="auto" w:after="40" w:before="40"/>
              <w:jc w:val="left"/>
            </w:pPr>
            <w:r>
              <w:rPr>
                <w:rFonts w:ascii="Times New Roman" w:hAnsi="Times New Roman" w:cs="Times New Roman" w:eastAsia="Times New Roman"/>
                <w:sz w:val="19"/>
              </w:rPr>
              <w:t xml:space="preserve">RAM stock IDs and eligibility table</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 (screen selection layer)</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§5.3</w:t>
            </w:r>
          </w:p>
        </w:tc>
      </w:tr>
      <w:tr>
        <w:tc>
          <w:tcPr/>
          <w:p>
            <w:pPr>
              <w:pStyle w:val="Compact"/>
              <w:spacing w:line="240" w:lineRule="auto" w:after="40" w:before="40"/>
              <w:jc w:val="left"/>
            </w:pPr>
            <w:r>
              <w:rPr>
                <w:rFonts w:ascii="Times New Roman" w:hAnsi="Times New Roman" w:cs="Times New Roman" w:eastAsia="Times New Roman"/>
                <w:sz w:val="19"/>
              </w:rPr>
              <w:t xml:space="preserve">CC-A011-021</w:t>
            </w:r>
          </w:p>
        </w:tc>
        <w:tc>
          <w:tcPr/>
          <w:p>
            <w:pPr>
              <w:pStyle w:val="Compact"/>
              <w:spacing w:line="240" w:lineRule="auto" w:after="40" w:before="40"/>
              <w:jc w:val="left"/>
            </w:pPr>
            <w:r>
              <w:rPr>
                <w:rFonts w:ascii="Times New Roman" w:hAnsi="Times New Roman" w:cs="Times New Roman" w:eastAsia="Times New Roman"/>
                <w:sz w:val="19"/>
              </w:rPr>
              <w:t xml:space="preserve">Processed series and spectral routines</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 (not discharged)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§5.3</w:t>
            </w:r>
          </w:p>
        </w:tc>
      </w:tr>
      <w:tr>
        <w:tc>
          <w:tcPr/>
          <w:p>
            <w:pPr>
              <w:pStyle w:val="Compact"/>
              <w:spacing w:line="240" w:lineRule="auto" w:after="40" w:before="40"/>
              <w:jc w:val="left"/>
            </w:pPr>
            <w:r>
              <w:rPr>
                <w:rFonts w:ascii="Times New Roman" w:hAnsi="Times New Roman" w:cs="Times New Roman" w:eastAsia="Times New Roman"/>
                <w:sz w:val="19"/>
              </w:rPr>
              <w:t xml:space="preserve">CC-A011-022</w:t>
            </w:r>
          </w:p>
        </w:tc>
        <w:tc>
          <w:tcPr/>
          <w:p>
            <w:pPr>
              <w:pStyle w:val="Compact"/>
              <w:spacing w:line="240" w:lineRule="auto" w:after="40" w:before="40"/>
              <w:jc w:val="left"/>
            </w:pPr>
            <w:r>
              <w:rPr>
                <w:rFonts w:ascii="Times New Roman" w:hAnsi="Times New Roman" w:cs="Times New Roman" w:eastAsia="Times New Roman"/>
                <w:sz w:val="19"/>
              </w:rPr>
              <w:t xml:space="preserve">Power simulation code and seeds</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 (not discharged)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§5.4</w:t>
            </w:r>
          </w:p>
        </w:tc>
      </w:tr>
      <w:tr>
        <w:tc>
          <w:tcPr/>
          <w:p>
            <w:pPr>
              <w:pStyle w:val="Compact"/>
              <w:spacing w:line="240" w:lineRule="auto" w:after="40" w:before="40"/>
              <w:jc w:val="left"/>
            </w:pPr>
            <w:r>
              <w:rPr>
                <w:rFonts w:ascii="Times New Roman" w:hAnsi="Times New Roman" w:cs="Times New Roman" w:eastAsia="Times New Roman"/>
                <w:sz w:val="19"/>
              </w:rPr>
              <w:t xml:space="preserve">CC-A011-023</w:t>
            </w:r>
          </w:p>
        </w:tc>
        <w:tc>
          <w:tcPr/>
          <w:p>
            <w:pPr>
              <w:pStyle w:val="Compact"/>
              <w:spacing w:line="240" w:lineRule="auto" w:after="40" w:before="40"/>
              <w:jc w:val="left"/>
            </w:pPr>
            <w:r>
              <w:rPr>
                <w:rFonts w:ascii="Times New Roman" w:hAnsi="Times New Roman" w:cs="Times New Roman" w:eastAsia="Times New Roman"/>
                <w:sz w:val="19"/>
              </w:rPr>
              <w:t xml:space="preserve">Case-screening table and query log</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 (not discharged)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§6.1</w:t>
            </w:r>
          </w:p>
        </w:tc>
      </w:tr>
      <w:tr>
        <w:tc>
          <w:tcPr/>
          <w:p>
            <w:pPr>
              <w:pStyle w:val="Compact"/>
              <w:spacing w:line="240" w:lineRule="auto" w:after="40" w:before="40"/>
              <w:jc w:val="left"/>
            </w:pPr>
            <w:r>
              <w:rPr>
                <w:rFonts w:ascii="Times New Roman" w:hAnsi="Times New Roman" w:cs="Times New Roman" w:eastAsia="Times New Roman"/>
                <w:sz w:val="19"/>
              </w:rPr>
              <w:t xml:space="preserve">CC-A011-024</w:t>
            </w:r>
          </w:p>
        </w:tc>
        <w:tc>
          <w:tcPr/>
          <w:p>
            <w:pPr>
              <w:pStyle w:val="Compact"/>
              <w:spacing w:line="240" w:lineRule="auto" w:after="40" w:before="40"/>
              <w:jc w:val="left"/>
            </w:pPr>
            <w:r>
              <w:rPr>
                <w:rFonts w:ascii="Times New Roman" w:hAnsi="Times New Roman" w:cs="Times New Roman" w:eastAsia="Times New Roman"/>
                <w:sz w:val="19"/>
              </w:rPr>
              <w:t xml:space="preserve">Shared bibliography file</w:t>
            </w:r>
          </w:p>
        </w:tc>
        <w:tc>
          <w:tcPr/>
          <w:p>
            <w:pPr>
              <w:pStyle w:val="Compact"/>
              <w:spacing w:line="240" w:lineRule="auto" w:after="40" w:before="40"/>
              <w:jc w:val="left"/>
            </w:pPr>
            <w:r>
              <w:rPr>
                <w:rFonts w:ascii="Times New Roman" w:hAnsi="Times New Roman" w:cs="Times New Roman" w:eastAsia="Times New Roman"/>
                <w:sz w:val="19"/>
              </w:rPr>
              <w:t xml:space="preserve">declared file dependency (not committed)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§10</w:t>
            </w:r>
          </w:p>
        </w:tc>
      </w:tr>
      <w:tr>
        <w:tc>
          <w:tcPr/>
          <w:p>
            <w:pPr>
              <w:pStyle w:val="Compact"/>
              <w:spacing w:line="240" w:lineRule="auto" w:after="40" w:before="40"/>
              <w:jc w:val="left"/>
            </w:pPr>
            <w:r>
              <w:rPr>
                <w:rFonts w:ascii="Times New Roman" w:hAnsi="Times New Roman" w:cs="Times New Roman" w:eastAsia="Times New Roman"/>
                <w:sz w:val="19"/>
              </w:rPr>
              <w:t xml:space="preserve">CC-A014-001</w:t>
            </w:r>
          </w:p>
        </w:tc>
        <w:tc>
          <w:tcPr/>
          <w:p>
            <w:pPr>
              <w:pStyle w:val="Compact"/>
              <w:spacing w:line="240" w:lineRule="auto" w:after="40" w:before="40"/>
              <w:jc w:val="left"/>
            </w:pPr>
            <w:r>
              <w:rPr>
                <w:rFonts w:ascii="Times New Roman" w:hAnsi="Times New Roman" w:cs="Times New Roman" w:eastAsia="Times New Roman"/>
                <w:sz w:val="19"/>
              </w:rPr>
              <w:t xml:space="preserve">Strong-Allee constitutive model</w:t>
            </w:r>
          </w:p>
        </w:tc>
        <w:tc>
          <w:tcPr/>
          <w:p>
            <w:pPr>
              <w:pStyle w:val="Compact"/>
              <w:spacing w:line="240" w:lineRule="auto" w:after="40" w:before="40"/>
              <w:jc w:val="left"/>
            </w:pPr>
            <w:r>
              <w:rPr>
                <w:rFonts w:ascii="Times New Roman" w:hAnsi="Times New Roman" w:cs="Times New Roman" w:eastAsia="Times New Roman"/>
                <w:sz w:val="19"/>
              </w:rPr>
              <w:t xml:space="preserve">illustrative constitutive model (not a fit)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CC-A014-014</w:t>
            </w:r>
          </w:p>
        </w:tc>
        <w:tc>
          <w:tcPr/>
          <w:p>
            <w:pPr>
              <w:pStyle w:val="Compact"/>
              <w:spacing w:line="240" w:lineRule="auto" w:after="40" w:before="40"/>
              <w:jc w:val="left"/>
            </w:pPr>
            <w:r>
              <w:rPr>
                <w:rFonts w:ascii="Times New Roman" w:hAnsi="Times New Roman" w:cs="Times New Roman" w:eastAsia="Times New Roman"/>
                <w:sz w:val="19"/>
              </w:rPr>
              <w:t xml:space="preserve">B6 data-collection bridge</w:t>
            </w:r>
          </w:p>
        </w:tc>
        <w:tc>
          <w:tcPr/>
          <w:p>
            <w:pPr>
              <w:pStyle w:val="Compact"/>
              <w:spacing w:line="240" w:lineRule="auto" w:after="40" w:before="40"/>
              <w:jc w:val="left"/>
            </w:pPr>
            <w:r>
              <w:rPr>
                <w:rFonts w:ascii="Times New Roman" w:hAnsi="Times New Roman" w:cs="Times New Roman" w:eastAsia="Times New Roman"/>
                <w:sz w:val="19"/>
              </w:rPr>
              <w:t xml:space="preserve">registered bridge obligation</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§6.5</w:t>
            </w:r>
          </w:p>
        </w:tc>
      </w:tr>
      <w:tr>
        <w:tc>
          <w:tcPr/>
          <w:p>
            <w:pPr>
              <w:pStyle w:val="Compact"/>
              <w:spacing w:line="240" w:lineRule="auto" w:after="40" w:before="40"/>
              <w:jc w:val="left"/>
            </w:pPr>
            <w:r>
              <w:rPr>
                <w:rFonts w:ascii="Times New Roman" w:hAnsi="Times New Roman" w:cs="Times New Roman" w:eastAsia="Times New Roman"/>
                <w:sz w:val="19"/>
              </w:rPr>
              <w:t xml:space="preserve">CC-A016-002</w:t>
            </w:r>
          </w:p>
        </w:tc>
        <w:tc>
          <w:tcPr/>
          <w:p>
            <w:pPr>
              <w:pStyle w:val="Compact"/>
              <w:spacing w:line="240" w:lineRule="auto" w:after="40" w:before="40"/>
              <w:jc w:val="left"/>
            </w:pPr>
            <w:r>
              <w:rPr>
                <w:rFonts w:ascii="Times New Roman" w:hAnsi="Times New Roman" w:cs="Times New Roman" w:eastAsia="Times New Roman"/>
                <w:sz w:val="19"/>
              </w:rPr>
              <w:t xml:space="preserve">Worst-off constituency (D1)</w:t>
            </w:r>
          </w:p>
        </w:tc>
        <w:tc>
          <w:tcPr/>
          <w:p>
            <w:pPr>
              <w:pStyle w:val="Compact"/>
              <w:spacing w:line="240" w:lineRule="auto" w:after="40" w:before="40"/>
              <w:jc w:val="left"/>
            </w:pPr>
            <w:r>
              <w:rPr>
                <w:rFonts w:ascii="Times New Roman" w:hAnsi="Times New Roman" w:cs="Times New Roman" w:eastAsia="Times New Roman"/>
                <w:sz w:val="19"/>
              </w:rPr>
              <w:t xml:space="preserve">definition (population/geography requirements)</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§8.1</w:t>
            </w:r>
          </w:p>
        </w:tc>
      </w:tr>
      <w:tr>
        <w:tc>
          <w:tcPr/>
          <w:p>
            <w:pPr>
              <w:pStyle w:val="Compact"/>
              <w:spacing w:line="240" w:lineRule="auto" w:after="40" w:before="40"/>
              <w:jc w:val="left"/>
            </w:pPr>
            <w:r>
              <w:rPr>
                <w:rFonts w:ascii="Times New Roman" w:hAnsi="Times New Roman" w:cs="Times New Roman" w:eastAsia="Times New Roman"/>
                <w:sz w:val="19"/>
              </w:rPr>
              <w:t xml:space="preserve">CC-A016-003</w:t>
            </w:r>
          </w:p>
        </w:tc>
        <w:tc>
          <w:tcPr/>
          <w:p>
            <w:pPr>
              <w:pStyle w:val="Compact"/>
              <w:spacing w:line="240" w:lineRule="auto" w:after="40" w:before="40"/>
              <w:jc w:val="left"/>
            </w:pPr>
            <w:r>
              <w:rPr>
                <w:rFonts w:ascii="Times New Roman" w:hAnsi="Times New Roman" w:cs="Times New Roman" w:eastAsia="Times New Roman"/>
                <w:sz w:val="19"/>
              </w:rPr>
              <w:t xml:space="preserve">Measured floor (D2)</w:t>
            </w:r>
          </w:p>
        </w:tc>
        <w:tc>
          <w:tcPr/>
          <w:p>
            <w:pPr>
              <w:pStyle w:val="Compact"/>
              <w:spacing w:line="240" w:lineRule="auto" w:after="40" w:before="40"/>
              <w:jc w:val="left"/>
            </w:pPr>
            <w:r>
              <w:rPr>
                <w:rFonts w:ascii="Times New Roman" w:hAnsi="Times New Roman" w:cs="Times New Roman" w:eastAsia="Times New Roman"/>
                <w:sz w:val="19"/>
              </w:rPr>
              <w:t xml:space="preserve">definition (measurement object)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§8.1</w:t>
            </w:r>
          </w:p>
        </w:tc>
      </w:tr>
      <w:tr>
        <w:tc>
          <w:tcPr/>
          <w:p>
            <w:pPr>
              <w:pStyle w:val="Compact"/>
              <w:spacing w:line="240" w:lineRule="auto" w:after="40" w:before="40"/>
              <w:jc w:val="left"/>
            </w:pPr>
            <w:r>
              <w:rPr>
                <w:rFonts w:ascii="Times New Roman" w:hAnsi="Times New Roman" w:cs="Times New Roman" w:eastAsia="Times New Roman"/>
                <w:sz w:val="19"/>
              </w:rPr>
              <w:t xml:space="preserve">CC-A016-004</w:t>
            </w:r>
          </w:p>
        </w:tc>
        <w:tc>
          <w:tcPr/>
          <w:p>
            <w:pPr>
              <w:pStyle w:val="Compact"/>
              <w:spacing w:line="240" w:lineRule="auto" w:after="40" w:before="40"/>
              <w:jc w:val="left"/>
            </w:pPr>
            <w:r>
              <w:rPr>
                <w:rFonts w:ascii="Times New Roman" w:hAnsi="Times New Roman" w:cs="Times New Roman" w:eastAsia="Times New Roman"/>
                <w:sz w:val="19"/>
              </w:rPr>
              <w:t xml:space="preserve">Componentwise-margin rule (M1)</w:t>
            </w:r>
          </w:p>
        </w:tc>
        <w:tc>
          <w:tcPr/>
          <w:p>
            <w:pPr>
              <w:pStyle w:val="Compact"/>
              <w:spacing w:line="240" w:lineRule="auto" w:after="40" w:before="40"/>
              <w:jc w:val="left"/>
            </w:pPr>
            <w:r>
              <w:rPr>
                <w:rFonts w:ascii="Times New Roman" w:hAnsi="Times New Roman" w:cs="Times New Roman" w:eastAsia="Times New Roman"/>
                <w:sz w:val="19"/>
              </w:rPr>
              <w:t xml:space="preserve">methodological rule (exact conjunction)</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§8.2</w:t>
            </w:r>
          </w:p>
        </w:tc>
      </w:tr>
      <w:tr>
        <w:tc>
          <w:tcPr/>
          <w:p>
            <w:pPr>
              <w:pStyle w:val="Compact"/>
              <w:spacing w:line="240" w:lineRule="auto" w:after="40" w:before="40"/>
              <w:jc w:val="left"/>
            </w:pPr>
            <w:r>
              <w:rPr>
                <w:rFonts w:ascii="Times New Roman" w:hAnsi="Times New Roman" w:cs="Times New Roman" w:eastAsia="Times New Roman"/>
                <w:sz w:val="19"/>
              </w:rPr>
              <w:t xml:space="preserve">CC-A016-007</w:t>
            </w:r>
          </w:p>
        </w:tc>
        <w:tc>
          <w:tcPr/>
          <w:p>
            <w:pPr>
              <w:pStyle w:val="Compact"/>
              <w:spacing w:line="240" w:lineRule="auto" w:after="40" w:before="40"/>
              <w:jc w:val="left"/>
            </w:pPr>
            <w:r>
              <w:rPr>
                <w:rFonts w:ascii="Times New Roman" w:hAnsi="Times New Roman" w:cs="Times New Roman" w:eastAsia="Times New Roman"/>
                <w:sz w:val="19"/>
              </w:rPr>
              <w:t xml:space="preserve">Global MPI measurement bridge</w:t>
            </w:r>
          </w:p>
        </w:tc>
        <w:tc>
          <w:tcPr/>
          <w:p>
            <w:pPr>
              <w:pStyle w:val="Compact"/>
              <w:spacing w:line="240" w:lineRule="auto" w:after="40" w:before="40"/>
              <w:jc w:val="left"/>
            </w:pPr>
            <w:r>
              <w:rPr>
                <w:rFonts w:ascii="Times New Roman" w:hAnsi="Times New Roman" w:cs="Times New Roman" w:eastAsia="Times New Roman"/>
                <w:sz w:val="19"/>
              </w:rPr>
              <w:t xml:space="preserve">measurement bridge (release/vintage locks)</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CC-A016-011</w:t>
            </w:r>
          </w:p>
        </w:tc>
        <w:tc>
          <w:tcPr/>
          <w:p>
            <w:pPr>
              <w:pStyle w:val="Compact"/>
              <w:spacing w:line="240" w:lineRule="auto" w:after="40" w:before="40"/>
              <w:jc w:val="left"/>
            </w:pPr>
            <w:r>
              <w:rPr>
                <w:rFonts w:ascii="Times New Roman" w:hAnsi="Times New Roman" w:cs="Times New Roman" w:eastAsia="Times New Roman"/>
                <w:sz w:val="19"/>
              </w:rPr>
              <w:t xml:space="preserve">Social-ecological conjecture (C1)</w:t>
            </w:r>
          </w:p>
        </w:tc>
        <w:tc>
          <w:tcPr/>
          <w:p>
            <w:pPr>
              <w:pStyle w:val="Compact"/>
              <w:spacing w:line="240" w:lineRule="auto" w:after="40" w:before="40"/>
              <w:jc w:val="left"/>
            </w:pPr>
            <w:r>
              <w:rPr>
                <w:rFonts w:ascii="Times New Roman" w:hAnsi="Times New Roman" w:cs="Times New Roman" w:eastAsia="Times New Roman"/>
                <w:sz w:val="19"/>
              </w:rPr>
              <w:t xml:space="preserve">conjecture (open; coincidence is not causal)</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conditional/open</w:t>
            </w:r>
          </w:p>
        </w:tc>
        <w:tc>
          <w:tcPr/>
          <w:p>
            <w:pPr>
              <w:pStyle w:val="Compact"/>
              <w:spacing w:line="240" w:lineRule="auto" w:after="40" w:before="40"/>
              <w:jc w:val="left"/>
            </w:pPr>
            <w:r>
              <w:rPr>
                <w:rFonts w:ascii="Times New Roman" w:hAnsi="Times New Roman" w:cs="Times New Roman" w:eastAsia="Times New Roman"/>
                <w:sz w:val="19"/>
              </w:rPr>
              <w:t xml:space="preserve">§6.5</w:t>
            </w:r>
          </w:p>
        </w:tc>
      </w:tr>
      <w:tr>
        <w:tc>
          <w:tcPr/>
          <w:p>
            <w:pPr>
              <w:pStyle w:val="Compact"/>
              <w:spacing w:line="240" w:lineRule="auto" w:after="40" w:before="40"/>
              <w:jc w:val="left"/>
            </w:pPr>
            <w:r>
              <w:rPr>
                <w:rFonts w:ascii="Times New Roman" w:hAnsi="Times New Roman" w:cs="Times New Roman" w:eastAsia="Times New Roman"/>
                <w:sz w:val="19"/>
              </w:rPr>
              <w:t xml:space="preserve">CC-A016-012</w:t>
            </w:r>
          </w:p>
        </w:tc>
        <w:tc>
          <w:tcPr/>
          <w:p>
            <w:pPr>
              <w:pStyle w:val="Compact"/>
              <w:spacing w:line="240" w:lineRule="auto" w:after="40" w:before="40"/>
              <w:jc w:val="left"/>
            </w:pPr>
            <w:r>
              <w:rPr>
                <w:rFonts w:ascii="Times New Roman" w:hAnsi="Times New Roman" w:cs="Times New Roman" w:eastAsia="Times New Roman"/>
                <w:sz w:val="19"/>
              </w:rPr>
              <w:t xml:space="preserve">Anti-domination residue</w:t>
            </w:r>
          </w:p>
        </w:tc>
        <w:tc>
          <w:tcPr/>
          <w:p>
            <w:pPr>
              <w:pStyle w:val="Compact"/>
              <w:spacing w:line="240" w:lineRule="auto" w:after="40" w:before="40"/>
              <w:jc w:val="left"/>
            </w:pPr>
            <w:r>
              <w:rPr>
                <w:rFonts w:ascii="Times New Roman" w:hAnsi="Times New Roman" w:cs="Times New Roman" w:eastAsia="Times New Roman"/>
                <w:sz w:val="19"/>
              </w:rPr>
              <w:t xml:space="preserve">normative limitation record (boundary; must not be filled)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§8.5</w:t>
            </w:r>
          </w:p>
        </w:tc>
      </w:tr>
      <w:tr>
        <w:tc>
          <w:tcPr/>
          <w:p>
            <w:pPr>
              <w:pStyle w:val="Compact"/>
              <w:spacing w:line="240" w:lineRule="auto" w:after="40" w:before="40"/>
              <w:jc w:val="left"/>
            </w:pPr>
            <w:r>
              <w:rPr>
                <w:rFonts w:ascii="Times New Roman" w:hAnsi="Times New Roman" w:cs="Times New Roman" w:eastAsia="Times New Roman"/>
                <w:sz w:val="19"/>
              </w:rPr>
              <w:t xml:space="preserve">CC-A024-001</w:t>
            </w:r>
          </w:p>
        </w:tc>
        <w:tc>
          <w:tcPr/>
          <w:p>
            <w:pPr>
              <w:pStyle w:val="Compact"/>
              <w:spacing w:line="240" w:lineRule="auto" w:after="40" w:before="40"/>
              <w:jc w:val="left"/>
            </w:pPr>
            <w:r>
              <w:rPr>
                <w:rFonts w:ascii="Times New Roman" w:hAnsi="Times New Roman" w:cs="Times New Roman" w:eastAsia="Times New Roman"/>
                <w:sz w:val="19"/>
              </w:rPr>
              <w:t xml:space="preserve">Model hitting time vs empirical proxy</w:t>
            </w:r>
          </w:p>
        </w:tc>
        <w:tc>
          <w:tcPr/>
          <w:p>
            <w:pPr>
              <w:pStyle w:val="Compact"/>
              <w:spacing w:line="240" w:lineRule="auto" w:after="40" w:before="40"/>
              <w:jc w:val="left"/>
            </w:pPr>
            <w:r>
              <w:rPr>
                <w:rFonts w:ascii="Times New Roman" w:hAnsi="Times New Roman" w:cs="Times New Roman" w:eastAsia="Times New Roman"/>
                <w:sz w:val="19"/>
              </w:rPr>
              <w:t xml:space="preserve">scoping distinction</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§4.6</w:t>
            </w:r>
          </w:p>
        </w:tc>
      </w:tr>
      <w:tr>
        <w:tc>
          <w:tcPr/>
          <w:p>
            <w:pPr>
              <w:pStyle w:val="Compact"/>
              <w:spacing w:line="240" w:lineRule="auto" w:after="40" w:before="40"/>
              <w:jc w:val="left"/>
            </w:pPr>
            <w:r>
              <w:rPr>
                <w:rFonts w:ascii="Times New Roman" w:hAnsi="Times New Roman" w:cs="Times New Roman" w:eastAsia="Times New Roman"/>
                <w:sz w:val="19"/>
              </w:rPr>
              <w:t xml:space="preserve">CC-A024-008</w:t>
            </w:r>
          </w:p>
        </w:tc>
        <w:tc>
          <w:tcPr/>
          <w:p>
            <w:pPr>
              <w:pStyle w:val="Compact"/>
              <w:spacing w:line="240" w:lineRule="auto" w:after="40" w:before="40"/>
              <w:jc w:val="left"/>
            </w:pPr>
            <w:r>
              <w:rPr>
                <w:rFonts w:ascii="Times New Roman" w:hAnsi="Times New Roman" w:cs="Times New Roman" w:eastAsia="Times New Roman"/>
                <w:sz w:val="19"/>
              </w:rPr>
              <w:t xml:space="preserve">Parameter/barrier/observation uncertainty cautions</w:t>
            </w:r>
          </w:p>
        </w:tc>
        <w:tc>
          <w:tcPr/>
          <w:p>
            <w:pPr>
              <w:pStyle w:val="Compact"/>
              <w:spacing w:line="240" w:lineRule="auto" w:after="40" w:before="40"/>
              <w:jc w:val="left"/>
            </w:pPr>
            <w:r>
              <w:rPr>
                <w:rFonts w:ascii="Times New Roman" w:hAnsi="Times New Roman" w:cs="Times New Roman" w:eastAsia="Times New Roman"/>
                <w:sz w:val="19"/>
              </w:rPr>
              <w:t xml:space="preserve">boundary record (what is not provided)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conditional/open</w:t>
            </w:r>
          </w:p>
        </w:tc>
        <w:tc>
          <w:tcPr/>
          <w:p>
            <w:pPr>
              <w:pStyle w:val="Compact"/>
              <w:spacing w:line="240" w:lineRule="auto" w:after="40" w:before="40"/>
              <w:jc w:val="left"/>
            </w:pPr>
            <w:r>
              <w:rPr>
                <w:rFonts w:ascii="Times New Roman" w:hAnsi="Times New Roman" w:cs="Times New Roman" w:eastAsia="Times New Roman"/>
                <w:sz w:val="19"/>
              </w:rPr>
              <w:t xml:space="preserve">§4.6</w:t>
            </w:r>
          </w:p>
        </w:tc>
      </w:tr>
      <w:tr>
        <w:tc>
          <w:tcPr/>
          <w:p>
            <w:pPr>
              <w:pStyle w:val="Compact"/>
              <w:spacing w:line="240" w:lineRule="auto" w:after="40" w:before="40"/>
              <w:jc w:val="left"/>
            </w:pPr>
            <w:r>
              <w:rPr>
                <w:rFonts w:ascii="Times New Roman" w:hAnsi="Times New Roman" w:cs="Times New Roman" w:eastAsia="Times New Roman"/>
                <w:sz w:val="19"/>
              </w:rPr>
              <w:t xml:space="preserve">MS-Native-1</w:t>
            </w:r>
          </w:p>
        </w:tc>
        <w:tc>
          <w:tcPr/>
          <w:p>
            <w:pPr>
              <w:pStyle w:val="Compact"/>
              <w:spacing w:line="240" w:lineRule="auto" w:after="40" w:before="40"/>
              <w:jc w:val="left"/>
            </w:pPr>
            <w:r>
              <w:rPr>
                <w:rFonts w:ascii="Times New Roman" w:hAnsi="Times New Roman" w:cs="Times New Roman" w:eastAsia="Times New Roman"/>
                <w:sz w:val="19"/>
              </w:rPr>
              <w:t xml:space="preserve">Governance-time ontology (seven objects, no-collapse rule)</w:t>
            </w:r>
          </w:p>
        </w:tc>
        <w:tc>
          <w:tcPr/>
          <w:p>
            <w:pPr>
              <w:pStyle w:val="Compact"/>
              <w:spacing w:line="240" w:lineRule="auto" w:after="40" w:before="40"/>
              <w:jc w:val="left"/>
            </w:pPr>
            <w:r>
              <w:rPr>
                <w:rFonts w:ascii="Times New Roman" w:hAnsi="Times New Roman" w:cs="Times New Roman" w:eastAsia="Times New Roman"/>
                <w:sz w:val="19"/>
              </w:rPr>
              <w:t xml:space="preserve">definition (source-declared)</w:t>
            </w:r>
          </w:p>
        </w:tc>
        <w:tc>
          <w:tcPr/>
          <w:p>
            <w:pPr>
              <w:pStyle w:val="Compact"/>
              <w:spacing w:line="240" w:lineRule="auto" w:after="40" w:before="40"/>
              <w:jc w:val="left"/>
            </w:pPr>
            <w:r>
              <w:rPr>
                <w:rFonts w:ascii="Times New Roman" w:hAnsi="Times New Roman" w:cs="Times New Roman" w:eastAsia="Times New Roman"/>
                <w:sz w:val="19"/>
              </w:rPr>
              <w:t xml:space="preserve">stated in full, §2.1</w:t>
            </w:r>
          </w:p>
        </w:tc>
        <w:tc>
          <w:tcPr/>
          <w:p>
            <w:pPr>
              <w:pStyle w:val="Compact"/>
              <w:spacing w:line="240" w:lineRule="auto" w:after="40" w:before="40"/>
              <w:jc w:val="left"/>
            </w:pPr>
            <w:r>
              <w:rPr>
                <w:rFonts w:ascii="Times New Roman" w:hAnsi="Times New Roman" w:cs="Times New Roman" w:eastAsia="Times New Roman"/>
                <w:sz w:val="19"/>
              </w:rPr>
              <w:t xml:space="preserve">§2.1</w:t>
            </w:r>
          </w:p>
        </w:tc>
      </w:tr>
      <w:tr>
        <w:tc>
          <w:tcPr/>
          <w:p>
            <w:pPr>
              <w:pStyle w:val="Compact"/>
              <w:spacing w:line="240" w:lineRule="auto" w:after="40" w:before="40"/>
              <w:jc w:val="left"/>
            </w:pPr>
            <w:r>
              <w:rPr>
                <w:rFonts w:ascii="Times New Roman" w:hAnsi="Times New Roman" w:cs="Times New Roman" w:eastAsia="Times New Roman"/>
                <w:sz w:val="19"/>
              </w:rPr>
              <w:t xml:space="preserve">MS-Native-4</w:t>
            </w:r>
          </w:p>
        </w:tc>
        <w:tc>
          <w:tcPr/>
          <w:p>
            <w:pPr>
              <w:pStyle w:val="Compact"/>
              <w:spacing w:line="240" w:lineRule="auto" w:after="40" w:before="40"/>
              <w:jc w:val="left"/>
            </w:pPr>
            <w:r>
              <w:rPr>
                <w:rFonts w:ascii="Times New Roman" w:hAnsi="Times New Roman" w:cs="Times New Roman" w:eastAsia="Times New Roman"/>
                <w:sz w:val="19"/>
              </w:rPr>
              <w:t xml:space="preserve">Four prospective identification designs</w:t>
            </w:r>
          </w:p>
        </w:tc>
        <w:tc>
          <w:tcPr/>
          <w:p>
            <w:pPr>
              <w:pStyle w:val="Compact"/>
              <w:spacing w:line="240" w:lineRule="auto" w:after="40" w:before="40"/>
              <w:jc w:val="left"/>
            </w:pPr>
            <w:r>
              <w:rPr>
                <w:rFonts w:ascii="Times New Roman" w:hAnsi="Times New Roman" w:cs="Times New Roman" w:eastAsia="Times New Roman"/>
                <w:sz w:val="19"/>
              </w:rPr>
              <w:t xml:space="preserve">preregistration targets (not executed)</w:t>
            </w:r>
          </w:p>
        </w:tc>
        <w:tc>
          <w:tcPr/>
          <w:p>
            <w:pPr>
              <w:pStyle w:val="Compact"/>
              <w:spacing w:line="240" w:lineRule="auto" w:after="40" w:before="40"/>
              <w:jc w:val="left"/>
            </w:pPr>
            <w:r>
              <w:rPr>
                <w:rFonts w:ascii="Times New Roman" w:hAnsi="Times New Roman" w:cs="Times New Roman" w:eastAsia="Times New Roman"/>
                <w:sz w:val="19"/>
              </w:rPr>
              <w:t xml:space="preserve">source designs, stated in full</w:t>
            </w:r>
          </w:p>
        </w:tc>
        <w:tc>
          <w:tcPr/>
          <w:p>
            <w:pPr>
              <w:pStyle w:val="Compact"/>
              <w:spacing w:line="240" w:lineRule="auto" w:after="40" w:before="40"/>
              <w:jc w:val="left"/>
            </w:pPr>
            <w:r>
              <w:rPr>
                <w:rFonts w:ascii="Times New Roman" w:hAnsi="Times New Roman" w:cs="Times New Roman" w:eastAsia="Times New Roman"/>
                <w:sz w:val="19"/>
              </w:rPr>
              <w:t xml:space="preserve">§7</w:t>
            </w:r>
          </w:p>
        </w:tc>
      </w:tr>
      <w:tr>
        <w:tc>
          <w:tcPr/>
          <w:p>
            <w:pPr>
              <w:pStyle w:val="Compact"/>
              <w:spacing w:line="240" w:lineRule="auto" w:after="40" w:before="40"/>
              <w:jc w:val="left"/>
            </w:pPr>
            <w:r>
              <w:rPr>
                <w:rFonts w:ascii="Times New Roman" w:hAnsi="Times New Roman" w:cs="Times New Roman" w:eastAsia="Times New Roman"/>
                <w:sz w:val="19"/>
              </w:rPr>
              <w:t xml:space="preserve">MS-Native-5</w:t>
            </w:r>
          </w:p>
        </w:tc>
        <w:tc>
          <w:tcPr/>
          <w:p>
            <w:pPr>
              <w:pStyle w:val="Compact"/>
              <w:spacing w:line="240" w:lineRule="auto" w:after="40" w:before="40"/>
              <w:jc w:val="left"/>
            </w:pPr>
            <w:r>
              <w:rPr>
                <w:rFonts w:ascii="Times New Roman" w:hAnsi="Times New Roman" w:cs="Times New Roman" w:eastAsia="Times New Roman"/>
                <w:sz w:val="19"/>
              </w:rPr>
              <w:t xml:space="preserve">Closed-loop MSE crossing design</w:t>
            </w:r>
          </w:p>
        </w:tc>
        <w:tc>
          <w:tcPr/>
          <w:p>
            <w:pPr>
              <w:pStyle w:val="Compact"/>
              <w:spacing w:line="240" w:lineRule="auto" w:after="40" w:before="40"/>
              <w:jc w:val="left"/>
            </w:pPr>
            <w:r>
              <w:rPr>
                <w:rFonts w:ascii="Times New Roman" w:hAnsi="Times New Roman" w:cs="Times New Roman" w:eastAsia="Times New Roman"/>
                <w:sz w:val="19"/>
              </w:rPr>
              <w:t xml:space="preserve">design (six components; crossing)</w:t>
            </w:r>
          </w:p>
        </w:tc>
        <w:tc>
          <w:tcPr/>
          <w:p>
            <w:pPr>
              <w:pStyle w:val="Compact"/>
              <w:spacing w:line="240" w:lineRule="auto" w:after="40" w:before="40"/>
              <w:jc w:val="left"/>
            </w:pPr>
            <w:r>
              <w:rPr>
                <w:rFonts w:ascii="Times New Roman" w:hAnsi="Times New Roman" w:cs="Times New Roman" w:eastAsia="Times New Roman"/>
                <w:sz w:val="19"/>
              </w:rPr>
              <w:t xml:space="preserve">source design, stated in full</w:t>
            </w:r>
          </w:p>
        </w:tc>
        <w:tc>
          <w:tcPr/>
          <w:p>
            <w:pPr>
              <w:pStyle w:val="Compact"/>
              <w:spacing w:line="240" w:lineRule="auto" w:after="40" w:before="40"/>
              <w:jc w:val="left"/>
            </w:pPr>
            <w:r>
              <w:rPr>
                <w:rFonts w:ascii="Times New Roman" w:hAnsi="Times New Roman" w:cs="Times New Roman" w:eastAsia="Times New Roman"/>
                <w:sz w:val="19"/>
              </w:rPr>
              <w:t xml:space="preserve">§7.5</w:t>
            </w:r>
          </w:p>
        </w:tc>
      </w:tr>
      <w:tr>
        <w:tc>
          <w:tcPr/>
          <w:p>
            <w:pPr>
              <w:pStyle w:val="Compact"/>
              <w:spacing w:line="240" w:lineRule="auto" w:after="40" w:before="40"/>
              <w:jc w:val="left"/>
            </w:pPr>
            <w:r>
              <w:rPr>
                <w:rFonts w:ascii="Times New Roman" w:hAnsi="Times New Roman" w:cs="Times New Roman" w:eastAsia="Times New Roman"/>
                <w:sz w:val="19"/>
              </w:rPr>
              <w:t xml:space="preserve">MS-Native-6</w:t>
            </w:r>
          </w:p>
        </w:tc>
        <w:tc>
          <w:tcPr/>
          <w:p>
            <w:pPr>
              <w:pStyle w:val="Compact"/>
              <w:spacing w:line="240" w:lineRule="auto" w:after="40" w:before="40"/>
              <w:jc w:val="left"/>
            </w:pPr>
            <w:r>
              <w:rPr>
                <w:rFonts w:ascii="Times New Roman" w:hAnsi="Times New Roman" w:cs="Times New Roman" w:eastAsia="Times New Roman"/>
                <w:sz w:val="19"/>
              </w:rPr>
              <w:t xml:space="preserve">Five falsification criteria</w:t>
            </w:r>
          </w:p>
        </w:tc>
        <w:tc>
          <w:tcPr/>
          <w:p>
            <w:pPr>
              <w:pStyle w:val="Compact"/>
              <w:spacing w:line="240" w:lineRule="auto" w:after="40" w:before="40"/>
              <w:jc w:val="left"/>
            </w:pPr>
            <w:r>
              <w:rPr>
                <w:rFonts w:ascii="Times New Roman" w:hAnsi="Times New Roman" w:cs="Times New Roman" w:eastAsia="Times New Roman"/>
                <w:sz w:val="19"/>
              </w:rPr>
              <w:t xml:space="preserve">declared outcomes counting against the mechanism</w:t>
            </w:r>
          </w:p>
        </w:tc>
        <w:tc>
          <w:tcPr/>
          <w:p>
            <w:pPr>
              <w:pStyle w:val="Compact"/>
              <w:spacing w:line="240" w:lineRule="auto" w:after="40" w:before="40"/>
              <w:jc w:val="left"/>
            </w:pPr>
            <w:r>
              <w:rPr>
                <w:rFonts w:ascii="Times New Roman" w:hAnsi="Times New Roman" w:cs="Times New Roman" w:eastAsia="Times New Roman"/>
                <w:sz w:val="19"/>
              </w:rPr>
              <w:t xml:space="preserve">source criteria, stated in full</w:t>
            </w:r>
          </w:p>
        </w:tc>
        <w:tc>
          <w:tcPr/>
          <w:p>
            <w:pPr>
              <w:pStyle w:val="Compact"/>
              <w:spacing w:line="240" w:lineRule="auto" w:after="40" w:before="40"/>
              <w:jc w:val="left"/>
            </w:pPr>
            <w:r>
              <w:rPr>
                <w:rFonts w:ascii="Times New Roman" w:hAnsi="Times New Roman" w:cs="Times New Roman" w:eastAsia="Times New Roman"/>
                <w:sz w:val="19"/>
              </w:rPr>
              <w:t xml:space="preserve">§9</w:t>
            </w:r>
          </w:p>
        </w:tc>
      </w:tr>
      <w:tr>
        <w:tc>
          <w:tcPr/>
          <w:p>
            <w:pPr>
              <w:pStyle w:val="Compact"/>
              <w:spacing w:line="240" w:lineRule="auto" w:after="40" w:before="40"/>
              <w:jc w:val="left"/>
            </w:pPr>
            <w:r>
              <w:rPr>
                <w:rFonts w:ascii="Times New Roman" w:hAnsi="Times New Roman" w:cs="Times New Roman" w:eastAsia="Times New Roman"/>
                <w:sz w:val="19"/>
              </w:rPr>
              <w:t xml:space="preserve">MS-Native-7</w:t>
            </w:r>
          </w:p>
        </w:tc>
        <w:tc>
          <w:tcPr/>
          <w:p>
            <w:pPr>
              <w:pStyle w:val="Compact"/>
              <w:spacing w:line="240" w:lineRule="auto" w:after="40" w:before="40"/>
              <w:jc w:val="left"/>
            </w:pPr>
            <w:r>
              <w:rPr>
                <w:rFonts w:ascii="Times New Roman" w:hAnsi="Times New Roman" w:cs="Times New Roman" w:eastAsia="Times New Roman"/>
                <w:sz w:val="19"/>
              </w:rPr>
              <w:t xml:space="preserve">Architecture-level empirical hypotheses: juvenile-compartment models outperform adult-only models when recruitment suppression is the dominant pressure; spatially aggregated predictions fail systematically where measured variance places the nonlinear moment correction outside its uncertainty bound; exergy/capacity constraints alter deployment and threshold risk in directions predicted before fitting the outcome</w:t>
            </w:r>
          </w:p>
        </w:tc>
        <w:tc>
          <w:tcPr/>
          <w:p>
            <w:pPr>
              <w:pStyle w:val="Compact"/>
              <w:spacing w:line="240" w:lineRule="auto" w:after="40" w:before="40"/>
              <w:jc w:val="left"/>
            </w:pPr>
            <w:r>
              <w:rPr>
                <w:rFonts w:ascii="Times New Roman" w:hAnsi="Times New Roman" w:cs="Times New Roman" w:eastAsia="Times New Roman"/>
                <w:sz w:val="19"/>
              </w:rPr>
              <w:t xml:space="preserve">declared empirical hypotheses (tests declared; not executed)</w:t>
            </w:r>
          </w:p>
        </w:tc>
        <w:tc>
          <w:tcPr/>
          <w:p>
            <w:pPr>
              <w:pStyle w:val="Compact"/>
              <w:spacing w:line="240" w:lineRule="auto" w:after="40" w:before="40"/>
              <w:jc w:val="left"/>
            </w:pPr>
            <w:r>
              <w:rPr>
                <w:rFonts w:ascii="Times New Roman" w:hAnsi="Times New Roman" w:cs="Times New Roman" w:eastAsia="Times New Roman"/>
                <w:sz w:val="19"/>
              </w:rPr>
              <w:t xml:space="preserve">source’s declared hypothesis list with the registered-minimal-model/estimator/falsification-rule requirement (A010, §12)</w:t>
            </w:r>
          </w:p>
        </w:tc>
        <w:tc>
          <w:tcPr/>
          <w:p>
            <w:pPr>
              <w:pStyle w:val="Compact"/>
              <w:spacing w:line="240" w:lineRule="auto" w:after="40" w:before="40"/>
              <w:jc w:val="left"/>
            </w:pPr>
            <w:r>
              <w:rPr>
                <w:rFonts w:ascii="Times New Roman" w:hAnsi="Times New Roman" w:cs="Times New Roman" w:eastAsia="Times New Roman"/>
                <w:sz w:val="19"/>
              </w:rPr>
              <w:t xml:space="preserve">§5.2</w:t>
            </w:r>
          </w:p>
        </w:tc>
      </w:tr>
      <w:tr>
        <w:tc>
          <w:tcPr/>
          <w:p>
            <w:pPr>
              <w:pStyle w:val="Compact"/>
              <w:spacing w:line="240" w:lineRule="auto" w:after="40" w:before="40"/>
              <w:jc w:val="left"/>
            </w:pPr>
            <w:r>
              <w:rPr>
                <w:rFonts w:ascii="Times New Roman" w:hAnsi="Times New Roman" w:cs="Times New Roman" w:eastAsia="Times New Roman"/>
                <w:sz w:val="19"/>
              </w:rPr>
              <w:t xml:space="preserve">MS-Native-9</w:t>
            </w:r>
          </w:p>
        </w:tc>
        <w:tc>
          <w:tcPr/>
          <w:p>
            <w:pPr>
              <w:pStyle w:val="Compact"/>
              <w:spacing w:line="240" w:lineRule="auto" w:after="40" w:before="40"/>
              <w:jc w:val="left"/>
            </w:pPr>
            <w:r>
              <w:rPr>
                <w:rFonts w:ascii="Times New Roman" w:hAnsi="Times New Roman" w:cs="Times New Roman" w:eastAsia="Times New Roman"/>
                <w:sz w:val="19"/>
              </w:rPr>
              <w:t xml:space="preserve">Six alternative-mechanism families (stage/maturation delays and cohort resonance; recruitment suppression versus stock culling; support-pool/nutrient limitation; pollution/waste feedback; predator–prey or climatic forcing; direct abiotic mining and slow-store exhaustion)</w:t>
            </w:r>
          </w:p>
        </w:tc>
        <w:tc>
          <w:tcPr/>
          <w:p>
            <w:pPr>
              <w:pStyle w:val="Compact"/>
              <w:spacing w:line="240" w:lineRule="auto" w:after="40" w:before="40"/>
              <w:jc w:val="left"/>
            </w:pPr>
            <w:r>
              <w:rPr>
                <w:rFonts w:ascii="Times New Roman" w:hAnsi="Times New Roman" w:cs="Times New Roman" w:eastAsia="Times New Roman"/>
                <w:sz w:val="19"/>
              </w:rPr>
              <w:t xml:space="preserve">methodological rule (a candidate institutional mechanism is compared with these alternatives, not identified from periodicity alone)</w:t>
            </w:r>
          </w:p>
        </w:tc>
        <w:tc>
          <w:tcPr/>
          <w:p>
            <w:pPr>
              <w:pStyle w:val="Compact"/>
              <w:spacing w:line="240" w:lineRule="auto" w:after="40" w:before="40"/>
              <w:jc w:val="left"/>
            </w:pPr>
            <w:r>
              <w:rPr>
                <w:rFonts w:ascii="Times New Roman" w:hAnsi="Times New Roman" w:cs="Times New Roman" w:eastAsia="Times New Roman"/>
                <w:sz w:val="19"/>
              </w:rPr>
              <w:t xml:space="preserve">source’s alternative-mechanism enumeration and comparison rule (A003, §5)</w:t>
            </w:r>
          </w:p>
        </w:tc>
        <w:tc>
          <w:tcPr/>
          <w:p>
            <w:pPr>
              <w:pStyle w:val="Compact"/>
              <w:spacing w:line="240" w:lineRule="auto" w:after="40" w:before="40"/>
              <w:jc w:val="left"/>
            </w:pPr>
            <w:r>
              <w:rPr>
                <w:rFonts w:ascii="Times New Roman" w:hAnsi="Times New Roman" w:cs="Times New Roman" w:eastAsia="Times New Roman"/>
                <w:sz w:val="19"/>
              </w:rPr>
              <w:t xml:space="preserve">§6.1</w:t>
            </w:r>
          </w:p>
        </w:tc>
      </w:tr>
      <w:tr>
        <w:tc>
          <w:tcPr/>
          <w:p>
            <w:pPr>
              <w:pStyle w:val="Compact"/>
              <w:spacing w:line="240" w:lineRule="auto" w:after="40" w:before="40"/>
              <w:jc w:val="left"/>
            </w:pPr>
            <w:r>
              <w:rPr>
                <w:rFonts w:ascii="Times New Roman" w:hAnsi="Times New Roman" w:cs="Times New Roman" w:eastAsia="Times New Roman"/>
                <w:sz w:val="19"/>
              </w:rPr>
              <w:t xml:space="preserve">MS-Native-10</w:t>
            </w:r>
          </w:p>
        </w:tc>
        <w:tc>
          <w:tcPr/>
          <w:p>
            <w:pPr>
              <w:pStyle w:val="Compact"/>
              <w:spacing w:line="240" w:lineRule="auto" w:after="40" w:before="40"/>
              <w:jc w:val="left"/>
            </w:pPr>
            <w:r>
              <w:rPr>
                <w:rFonts w:ascii="Times New Roman" w:hAnsi="Times New Roman" w:cs="Times New Roman" w:eastAsia="Times New Roman"/>
                <w:sz w:val="19"/>
              </w:rPr>
              <w:t xml:space="preserve">Fixed-</w:t>
            </w:r>
            <m:oMath>
              <m:r>
                <m:t>τ</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form as a modelling idealisation (institutions change instrument sets rather than hold a response law fixed; an estimated</w:t>
            </w:r>
            <w:r>
              <w:rPr>
                <w:rFonts w:ascii="Times New Roman" w:hAnsi="Times New Roman" w:cs="Times New Roman" w:eastAsia="Times New Roman"/>
                <w:sz w:val="19"/>
              </w:rPr>
              <w:t xml:space="preserve"> </w:t>
            </w:r>
            <m:oMath>
              <m:r>
                <m:t>τ</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is a summary of a changing control architecture, not a structural constant)</w:t>
            </w:r>
          </w:p>
        </w:tc>
        <w:tc>
          <w:tcPr/>
          <w:p>
            <w:pPr>
              <w:pStyle w:val="Compact"/>
              <w:spacing w:line="240" w:lineRule="auto" w:after="40" w:before="40"/>
              <w:jc w:val="left"/>
            </w:pPr>
            <w:r>
              <w:rPr>
                <w:rFonts w:ascii="Times New Roman" w:hAnsi="Times New Roman" w:cs="Times New Roman" w:eastAsia="Times New Roman"/>
                <w:sz w:val="19"/>
              </w:rPr>
              <w:t xml:space="preserve">interpretive caveat</w:t>
            </w:r>
          </w:p>
        </w:tc>
        <w:tc>
          <w:tcPr/>
          <w:p>
            <w:pPr>
              <w:pStyle w:val="Compact"/>
              <w:spacing w:line="240" w:lineRule="auto" w:after="40" w:before="40"/>
              <w:jc w:val="left"/>
            </w:pPr>
            <w:r>
              <w:rPr>
                <w:rFonts w:ascii="Times New Roman" w:hAnsi="Times New Roman" w:cs="Times New Roman" w:eastAsia="Times New Roman"/>
                <w:sz w:val="19"/>
              </w:rPr>
              <w:t xml:space="preserve">source observation (A018, §7)</w:t>
            </w:r>
          </w:p>
        </w:tc>
        <w:tc>
          <w:tcPr/>
          <w:p>
            <w:pPr>
              <w:pStyle w:val="Compact"/>
              <w:spacing w:line="240" w:lineRule="auto" w:after="40" w:before="40"/>
              <w:jc w:val="left"/>
            </w:pPr>
            <w:r>
              <w:rPr>
                <w:rFonts w:ascii="Times New Roman" w:hAnsi="Times New Roman" w:cs="Times New Roman" w:eastAsia="Times New Roman"/>
                <w:sz w:val="19"/>
              </w:rPr>
              <w:t xml:space="preserve">§7.1</w:t>
            </w:r>
          </w:p>
        </w:tc>
      </w:tr>
    </w:tbl>
    <w:p>
      <w:pPr>
        <w:pStyle w:val="BodyText"/>
        <w:spacing w:line="360" w:lineRule="auto" w:after="120"/>
        <w:ind w:firstLine="720"/>
        <w:jc w:val="both"/>
      </w:pPr>
      <w:r>
        <w:rPr>
          <w:rFonts w:ascii="Times New Roman" w:hAnsi="Times New Roman" w:cs="Times New Roman" w:eastAsia="Times New Roman"/>
          <w:b/>
          <w:bCs/>
          <w:sz w:val="24"/>
        </w:rPr>
        <w:t xml:space="preserve">Table A2. Theorems, propositions, examples, empirical records, and case results.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584"/>
        <w:gridCol w:w="1584"/>
        <w:gridCol w:w="1584"/>
        <w:gridCol w:w="1584"/>
        <w:gridCol w:w="1584"/>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Evidence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Section</w:t>
            </w:r>
          </w:p>
        </w:tc>
      </w:tr>
      <w:tr>
        <w:tc>
          <w:tcPr/>
          <w:p>
            <w:pPr>
              <w:pStyle w:val="Compact"/>
              <w:spacing w:line="240" w:lineRule="auto" w:after="40" w:before="40"/>
              <w:jc w:val="left"/>
            </w:pPr>
            <w:r>
              <w:rPr>
                <w:rFonts w:ascii="Times New Roman" w:hAnsi="Times New Roman" w:cs="Times New Roman" w:eastAsia="Times New Roman"/>
                <w:sz w:val="19"/>
              </w:rPr>
              <w:t xml:space="preserve">CC-A001-013</w:t>
            </w:r>
          </w:p>
        </w:tc>
        <w:tc>
          <w:tcPr/>
          <w:p>
            <w:pPr>
              <w:pStyle w:val="Compact"/>
              <w:spacing w:line="240" w:lineRule="auto" w:after="40" w:before="40"/>
              <w:jc w:val="left"/>
            </w:pPr>
            <w:r>
              <w:rPr>
                <w:rFonts w:ascii="Times New Roman" w:hAnsi="Times New Roman" w:cs="Times New Roman" w:eastAsia="Times New Roman"/>
                <w:sz w:val="19"/>
              </w:rPr>
              <w:t xml:space="preserve">Information monotonicity of recovery time</w:t>
            </w:r>
          </w:p>
        </w:tc>
        <w:tc>
          <w:tcPr/>
          <w:p>
            <w:pPr>
              <w:pStyle w:val="Compact"/>
              <w:spacing w:line="240" w:lineRule="auto" w:after="40" w:before="40"/>
              <w:jc w:val="left"/>
            </w:pPr>
            <w:r>
              <w:rPr>
                <w:rFonts w:ascii="Times New Roman" w:hAnsi="Times New Roman" w:cs="Times New Roman" w:eastAsia="Times New Roman"/>
                <w:sz w:val="19"/>
              </w:rPr>
              <w:t xml:space="preserve">theorem (proof verified present)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§4.2 (atlas Prop 7.7)</w:t>
            </w:r>
          </w:p>
        </w:tc>
      </w:tr>
      <w:tr>
        <w:tc>
          <w:tcPr/>
          <w:p>
            <w:pPr>
              <w:pStyle w:val="Compact"/>
              <w:spacing w:line="240" w:lineRule="auto" w:after="40" w:before="40"/>
              <w:jc w:val="left"/>
            </w:pPr>
            <w:r>
              <w:rPr>
                <w:rFonts w:ascii="Times New Roman" w:hAnsi="Times New Roman" w:cs="Times New Roman" w:eastAsia="Times New Roman"/>
                <w:sz w:val="19"/>
              </w:rPr>
              <w:t xml:space="preserve">CC-A001-027</w:t>
            </w:r>
          </w:p>
        </w:tc>
        <w:tc>
          <w:tcPr/>
          <w:p>
            <w:pPr>
              <w:pStyle w:val="Compact"/>
              <w:spacing w:line="240" w:lineRule="auto" w:after="40" w:before="40"/>
              <w:jc w:val="left"/>
            </w:pPr>
            <w:r>
              <w:rPr>
                <w:rFonts w:ascii="Times New Roman" w:hAnsi="Times New Roman" w:cs="Times New Roman" w:eastAsia="Times New Roman"/>
                <w:sz w:val="19"/>
              </w:rPr>
              <w:t xml:space="preserve">Hidden-mode conflict (no common safe action)</w:t>
            </w:r>
          </w:p>
        </w:tc>
        <w:tc>
          <w:tcPr/>
          <w:p>
            <w:pPr>
              <w:pStyle w:val="Compact"/>
              <w:spacing w:line="240" w:lineRule="auto" w:after="40" w:before="40"/>
              <w:jc w:val="left"/>
            </w:pPr>
            <w:r>
              <w:rPr>
                <w:rFonts w:ascii="Times New Roman" w:hAnsi="Times New Roman" w:cs="Times New Roman" w:eastAsia="Times New Roman"/>
                <w:sz w:val="19"/>
              </w:rPr>
              <w:t xml:space="preserve">example — impossibility witness</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status crosswalk</w:t>
            </w:r>
          </w:p>
        </w:tc>
        <w:tc>
          <w:tcPr/>
          <w:p>
            <w:pPr>
              <w:pStyle w:val="Compact"/>
              <w:spacing w:line="240" w:lineRule="auto" w:after="40" w:before="40"/>
              <w:jc w:val="left"/>
            </w:pPr>
            <w:r>
              <w:rPr>
                <w:rFonts w:ascii="Times New Roman" w:hAnsi="Times New Roman" w:cs="Times New Roman" w:eastAsia="Times New Roman"/>
                <w:sz w:val="19"/>
              </w:rPr>
              <w:t xml:space="preserve">§4.3 (atlas Ex 6.5)</w:t>
            </w:r>
          </w:p>
        </w:tc>
      </w:tr>
      <w:tr>
        <w:tc>
          <w:tcPr/>
          <w:p>
            <w:pPr>
              <w:pStyle w:val="Compact"/>
              <w:spacing w:line="240" w:lineRule="auto" w:after="40" w:before="40"/>
              <w:jc w:val="left"/>
            </w:pPr>
            <w:r>
              <w:rPr>
                <w:rFonts w:ascii="Times New Roman" w:hAnsi="Times New Roman" w:cs="Times New Roman" w:eastAsia="Times New Roman"/>
                <w:sz w:val="19"/>
              </w:rPr>
              <w:t xml:space="preserve">CC-A001-028</w:t>
            </w:r>
          </w:p>
        </w:tc>
        <w:tc>
          <w:tcPr/>
          <w:p>
            <w:pPr>
              <w:pStyle w:val="Compact"/>
              <w:spacing w:line="240" w:lineRule="auto" w:after="40" w:before="40"/>
              <w:jc w:val="left"/>
            </w:pPr>
            <w:r>
              <w:rPr>
                <w:rFonts w:ascii="Times New Roman" w:hAnsi="Times New Roman" w:cs="Times New Roman" w:eastAsia="Times New Roman"/>
                <w:sz w:val="19"/>
              </w:rPr>
              <w:t xml:space="preserve">Delayed-information obstruction (</w:t>
            </w:r>
            <m:oMath>
              <m:sSub>
                <m:e>
                  <m:r>
                    <m:t>T</m:t>
                  </m:r>
                </m:e>
                <m:sub>
                  <m:r>
                    <m:rPr>
                      <m:sty m:val="p"/>
                    </m:rPr>
                    <m:t>o</m:t>
                  </m:r>
                  <m:r>
                    <m:rPr>
                      <m:sty m:val="p"/>
                    </m:rPr>
                    <m:t>b</m:t>
                  </m:r>
                  <m:r>
                    <m:rPr>
                      <m:sty m:val="p"/>
                    </m:rPr>
                    <m:t>s</m:t>
                  </m:r>
                </m:sub>
              </m:sSub>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theorem — failure boundary</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§4.3 (atlas Thm 6.6)</w:t>
            </w:r>
          </w:p>
        </w:tc>
      </w:tr>
      <w:tr>
        <w:tc>
          <w:tcPr/>
          <w:p>
            <w:pPr>
              <w:pStyle w:val="Compact"/>
              <w:spacing w:line="240" w:lineRule="auto" w:after="40" w:before="40"/>
              <w:jc w:val="left"/>
            </w:pPr>
            <w:r>
              <w:rPr>
                <w:rFonts w:ascii="Times New Roman" w:hAnsi="Times New Roman" w:cs="Times New Roman" w:eastAsia="Times New Roman"/>
                <w:sz w:val="19"/>
              </w:rPr>
              <w:t xml:space="preserve">CC-A001-096</w:t>
            </w:r>
          </w:p>
        </w:tc>
        <w:tc>
          <w:tcPr/>
          <w:p>
            <w:pPr>
              <w:pStyle w:val="Compact"/>
              <w:spacing w:line="240" w:lineRule="auto" w:after="40" w:before="40"/>
              <w:jc w:val="left"/>
            </w:pPr>
            <w:r>
              <w:rPr>
                <w:rFonts w:ascii="Times New Roman" w:hAnsi="Times New Roman" w:cs="Times New Roman" w:eastAsia="Times New Roman"/>
                <w:sz w:val="19"/>
              </w:rPr>
              <w:t xml:space="preserve">Binary-sensor threshold discretization</w:t>
            </w:r>
          </w:p>
        </w:tc>
        <w:tc>
          <w:tcPr/>
          <w:p>
            <w:pPr>
              <w:pStyle w:val="Compact"/>
              <w:spacing w:line="240" w:lineRule="auto" w:after="40" w:before="40"/>
              <w:jc w:val="left"/>
            </w:pPr>
            <w:r>
              <w:rPr>
                <w:rFonts w:ascii="Times New Roman" w:hAnsi="Times New Roman" w:cs="Times New Roman" w:eastAsia="Times New Roman"/>
                <w:sz w:val="19"/>
              </w:rPr>
              <w:t xml:space="preserve">open problem</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conditional/open</w:t>
            </w:r>
          </w:p>
        </w:tc>
        <w:tc>
          <w:tcPr/>
          <w:p>
            <w:pPr>
              <w:pStyle w:val="Compact"/>
              <w:spacing w:line="240" w:lineRule="auto" w:after="40" w:before="40"/>
              <w:jc w:val="left"/>
            </w:pPr>
            <w:r>
              <w:rPr>
                <w:rFonts w:ascii="Times New Roman" w:hAnsi="Times New Roman" w:cs="Times New Roman" w:eastAsia="Times New Roman"/>
                <w:sz w:val="19"/>
              </w:rPr>
              <w:t xml:space="preserve">§4.7</w:t>
            </w:r>
          </w:p>
        </w:tc>
      </w:tr>
      <w:tr>
        <w:tc>
          <w:tcPr/>
          <w:p>
            <w:pPr>
              <w:pStyle w:val="Compact"/>
              <w:spacing w:line="240" w:lineRule="auto" w:after="40" w:before="40"/>
              <w:jc w:val="left"/>
            </w:pPr>
            <w:r>
              <w:rPr>
                <w:rFonts w:ascii="Times New Roman" w:hAnsi="Times New Roman" w:cs="Times New Roman" w:eastAsia="Times New Roman"/>
                <w:sz w:val="19"/>
              </w:rPr>
              <w:t xml:space="preserve">CC-A006-003</w:t>
            </w:r>
          </w:p>
        </w:tc>
        <w:tc>
          <w:tcPr/>
          <w:p>
            <w:pPr>
              <w:pStyle w:val="Compact"/>
              <w:spacing w:line="240" w:lineRule="auto" w:after="40" w:before="40"/>
              <w:jc w:val="left"/>
            </w:pPr>
            <w:r>
              <w:rPr>
                <w:rFonts w:ascii="Times New Roman" w:hAnsi="Times New Roman" w:cs="Times New Roman" w:eastAsia="Times New Roman"/>
                <w:sz w:val="19"/>
              </w:rPr>
              <w:t xml:space="preserve">Conditional full-information viability benchmark</w:t>
            </w:r>
          </w:p>
        </w:tc>
        <w:tc>
          <w:tcPr/>
          <w:p>
            <w:pPr>
              <w:pStyle w:val="Compact"/>
              <w:spacing w:line="240" w:lineRule="auto" w:after="40" w:before="40"/>
              <w:jc w:val="left"/>
            </w:pPr>
            <w:r>
              <w:rPr>
                <w:rFonts w:ascii="Times New Roman" w:hAnsi="Times New Roman" w:cs="Times New Roman" w:eastAsia="Times New Roman"/>
                <w:sz w:val="19"/>
              </w:rPr>
              <w:t xml:space="preserve">conditional benchmark (ideal ODE limit)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conditional/open</w:t>
            </w:r>
          </w:p>
        </w:tc>
        <w:tc>
          <w:tcPr/>
          <w:p>
            <w:pPr>
              <w:pStyle w:val="Compact"/>
              <w:spacing w:line="240" w:lineRule="auto" w:after="40" w:before="40"/>
              <w:jc w:val="left"/>
            </w:pPr>
            <w:r>
              <w:rPr>
                <w:rFonts w:ascii="Times New Roman" w:hAnsi="Times New Roman" w:cs="Times New Roman" w:eastAsia="Times New Roman"/>
                <w:sz w:val="19"/>
              </w:rPr>
              <w:t xml:space="preserve">§4.4</w:t>
            </w:r>
          </w:p>
        </w:tc>
      </w:tr>
      <w:tr>
        <w:tc>
          <w:tcPr/>
          <w:p>
            <w:pPr>
              <w:pStyle w:val="Compact"/>
              <w:spacing w:line="240" w:lineRule="auto" w:after="40" w:before="40"/>
              <w:jc w:val="left"/>
            </w:pPr>
            <w:r>
              <w:rPr>
                <w:rFonts w:ascii="Times New Roman" w:hAnsi="Times New Roman" w:cs="Times New Roman" w:eastAsia="Times New Roman"/>
                <w:sz w:val="19"/>
              </w:rPr>
              <w:t xml:space="preserve">CC-A006-007</w:t>
            </w:r>
          </w:p>
        </w:tc>
        <w:tc>
          <w:tcPr/>
          <w:p>
            <w:pPr>
              <w:pStyle w:val="Compact"/>
              <w:spacing w:line="240" w:lineRule="auto" w:after="40" w:before="40"/>
              <w:jc w:val="left"/>
            </w:pPr>
            <w:r>
              <w:rPr>
                <w:rFonts w:ascii="Times New Roman" w:hAnsi="Times New Roman" w:cs="Times New Roman" w:eastAsia="Times New Roman"/>
                <w:sz w:val="19"/>
              </w:rPr>
              <w:t xml:space="preserve">Information-refinement monotonicity</w:t>
            </w:r>
          </w:p>
        </w:tc>
        <w:tc>
          <w:tcPr/>
          <w:p>
            <w:pPr>
              <w:pStyle w:val="Compact"/>
              <w:spacing w:line="240" w:lineRule="auto" w:after="40" w:before="40"/>
              <w:jc w:val="left"/>
            </w:pPr>
            <w:r>
              <w:rPr>
                <w:rFonts w:ascii="Times New Roman" w:hAnsi="Times New Roman" w:cs="Times New Roman" w:eastAsia="Times New Roman"/>
                <w:sz w:val="19"/>
              </w:rPr>
              <w:t xml:space="preserve">theorem (common-space requirement)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§4.2</w:t>
            </w:r>
          </w:p>
        </w:tc>
      </w:tr>
      <w:tr>
        <w:tc>
          <w:tcPr/>
          <w:p>
            <w:pPr>
              <w:pStyle w:val="Compact"/>
              <w:spacing w:line="240" w:lineRule="auto" w:after="40" w:before="40"/>
              <w:jc w:val="left"/>
            </w:pPr>
            <w:r>
              <w:rPr>
                <w:rFonts w:ascii="Times New Roman" w:hAnsi="Times New Roman" w:cs="Times New Roman" w:eastAsia="Times New Roman"/>
                <w:sz w:val="19"/>
              </w:rPr>
              <w:t xml:space="preserve">CC-A006-012</w:t>
            </w:r>
          </w:p>
        </w:tc>
        <w:tc>
          <w:tcPr/>
          <w:p>
            <w:pPr>
              <w:pStyle w:val="Compact"/>
              <w:spacing w:line="240" w:lineRule="auto" w:after="40" w:before="40"/>
              <w:jc w:val="left"/>
            </w:pPr>
            <w:r>
              <w:rPr>
                <w:rFonts w:ascii="Times New Roman" w:hAnsi="Times New Roman" w:cs="Times New Roman" w:eastAsia="Times New Roman"/>
                <w:sz w:val="19"/>
              </w:rPr>
              <w:t xml:space="preserve">Robust information value</w:t>
            </w:r>
          </w:p>
        </w:tc>
        <w:tc>
          <w:tcPr/>
          <w:p>
            <w:pPr>
              <w:pStyle w:val="Compact"/>
              <w:spacing w:line="240" w:lineRule="auto" w:after="40" w:before="40"/>
              <w:jc w:val="left"/>
            </w:pPr>
            <w:r>
              <w:rPr>
                <w:rFonts w:ascii="Times New Roman" w:hAnsi="Times New Roman" w:cs="Times New Roman" w:eastAsia="Times New Roman"/>
                <w:sz w:val="19"/>
              </w:rPr>
              <w:t xml:space="preserve">remark/template (attainment caveat)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§4.5</w:t>
            </w:r>
          </w:p>
        </w:tc>
      </w:tr>
      <w:tr>
        <w:tc>
          <w:tcPr/>
          <w:p>
            <w:pPr>
              <w:pStyle w:val="Compact"/>
              <w:spacing w:line="240" w:lineRule="auto" w:after="40" w:before="40"/>
              <w:jc w:val="left"/>
            </w:pPr>
            <w:r>
              <w:rPr>
                <w:rFonts w:ascii="Times New Roman" w:hAnsi="Times New Roman" w:cs="Times New Roman" w:eastAsia="Times New Roman"/>
                <w:sz w:val="19"/>
              </w:rPr>
              <w:t xml:space="preserve">CC-A006-013</w:t>
            </w:r>
          </w:p>
        </w:tc>
        <w:tc>
          <w:tcPr/>
          <w:p>
            <w:pPr>
              <w:pStyle w:val="Compact"/>
              <w:spacing w:line="240" w:lineRule="auto" w:after="40" w:before="40"/>
              <w:jc w:val="left"/>
            </w:pPr>
            <w:r>
              <w:rPr>
                <w:rFonts w:ascii="Times New Roman" w:hAnsi="Times New Roman" w:cs="Times New Roman" w:eastAsia="Times New Roman"/>
                <w:sz w:val="19"/>
              </w:rPr>
              <w:t xml:space="preserve">Informational recovery</w:t>
            </w:r>
          </w:p>
        </w:tc>
        <w:tc>
          <w:tcPr/>
          <w:p>
            <w:pPr>
              <w:pStyle w:val="Compact"/>
              <w:spacing w:line="240" w:lineRule="auto" w:after="40" w:before="40"/>
              <w:jc w:val="left"/>
            </w:pPr>
            <w:r>
              <w:rPr>
                <w:rFonts w:ascii="Times New Roman" w:hAnsi="Times New Roman" w:cs="Times New Roman" w:eastAsia="Times New Roman"/>
                <w:sz w:val="19"/>
              </w:rPr>
              <w:t xml:space="preserve">remark/template (viable-information-state requirement)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§4.5</w:t>
            </w:r>
          </w:p>
        </w:tc>
      </w:tr>
      <w:tr>
        <w:tc>
          <w:tcPr/>
          <w:p>
            <w:pPr>
              <w:pStyle w:val="Compact"/>
              <w:spacing w:line="240" w:lineRule="auto" w:after="40" w:before="40"/>
              <w:jc w:val="left"/>
            </w:pPr>
            <w:r>
              <w:rPr>
                <w:rFonts w:ascii="Times New Roman" w:hAnsi="Times New Roman" w:cs="Times New Roman" w:eastAsia="Times New Roman"/>
                <w:sz w:val="19"/>
              </w:rPr>
              <w:t xml:space="preserve">CC-A006-015</w:t>
            </w:r>
          </w:p>
        </w:tc>
        <w:tc>
          <w:tcPr/>
          <w:p>
            <w:pPr>
              <w:pStyle w:val="Compact"/>
              <w:spacing w:line="240" w:lineRule="auto" w:after="40" w:before="40"/>
              <w:jc w:val="left"/>
            </w:pPr>
            <w:r>
              <w:rPr>
                <w:rFonts w:ascii="Times New Roman" w:hAnsi="Times New Roman" w:cs="Times New Roman" w:eastAsia="Times New Roman"/>
                <w:sz w:val="19"/>
              </w:rPr>
              <w:t xml:space="preserve">Normative monotonicity</w:t>
            </w:r>
          </w:p>
        </w:tc>
        <w:tc>
          <w:tcPr/>
          <w:p>
            <w:pPr>
              <w:pStyle w:val="Compact"/>
              <w:spacing w:line="240" w:lineRule="auto" w:after="40" w:before="40"/>
              <w:jc w:val="left"/>
            </w:pPr>
            <w:r>
              <w:rPr>
                <w:rFonts w:ascii="Times New Roman" w:hAnsi="Times New Roman" w:cs="Times New Roman" w:eastAsia="Times New Roman"/>
                <w:sz w:val="19"/>
              </w:rPr>
              <w:t xml:space="preserve">remark (aligned-class nesting)</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§4.5</w:t>
            </w:r>
          </w:p>
        </w:tc>
      </w:tr>
      <w:tr>
        <w:tc>
          <w:tcPr/>
          <w:p>
            <w:pPr>
              <w:pStyle w:val="Compact"/>
              <w:spacing w:line="240" w:lineRule="auto" w:after="40" w:before="40"/>
              <w:jc w:val="left"/>
            </w:pPr>
            <w:r>
              <w:rPr>
                <w:rFonts w:ascii="Times New Roman" w:hAnsi="Times New Roman" w:cs="Times New Roman" w:eastAsia="Times New Roman"/>
                <w:sz w:val="19"/>
              </w:rPr>
              <w:t xml:space="preserve">CC-A010-001</w:t>
            </w:r>
          </w:p>
        </w:tc>
        <w:tc>
          <w:tcPr/>
          <w:p>
            <w:pPr>
              <w:pStyle w:val="Compact"/>
              <w:spacing w:line="240" w:lineRule="auto" w:after="40" w:before="40"/>
              <w:jc w:val="left"/>
            </w:pPr>
            <w:r>
              <w:rPr>
                <w:rFonts w:ascii="Times New Roman" w:hAnsi="Times New Roman" w:cs="Times New Roman" w:eastAsia="Times New Roman"/>
                <w:sz w:val="19"/>
              </w:rPr>
              <w:t xml:space="preserve">Observation-fibre certification criterion</w:t>
            </w:r>
          </w:p>
        </w:tc>
        <w:tc>
          <w:tcPr/>
          <w:p>
            <w:pPr>
              <w:pStyle w:val="Compact"/>
              <w:spacing w:line="240" w:lineRule="auto" w:after="40" w:before="40"/>
              <w:jc w:val="left"/>
            </w:pPr>
            <w:r>
              <w:rPr>
                <w:rFonts w:ascii="Times New Roman" w:hAnsi="Times New Roman" w:cs="Times New Roman" w:eastAsia="Times New Roman"/>
                <w:sz w:val="19"/>
              </w:rPr>
              <w:t xml:space="preserve">theorem (scope note preserved)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§4.1</w:t>
            </w:r>
          </w:p>
        </w:tc>
      </w:tr>
      <w:tr>
        <w:tc>
          <w:tcPr/>
          <w:p>
            <w:pPr>
              <w:pStyle w:val="Compact"/>
              <w:spacing w:line="240" w:lineRule="auto" w:after="40" w:before="40"/>
              <w:jc w:val="left"/>
            </w:pPr>
            <w:r>
              <w:rPr>
                <w:rFonts w:ascii="Times New Roman" w:hAnsi="Times New Roman" w:cs="Times New Roman" w:eastAsia="Times New Roman"/>
                <w:sz w:val="19"/>
              </w:rPr>
              <w:t xml:space="preserve">CC-A011-006</w:t>
            </w:r>
          </w:p>
        </w:tc>
        <w:tc>
          <w:tcPr/>
          <w:p>
            <w:pPr>
              <w:pStyle w:val="Compact"/>
              <w:spacing w:line="240" w:lineRule="auto" w:after="40" w:before="40"/>
              <w:jc w:val="left"/>
            </w:pPr>
            <w:r>
              <w:rPr>
                <w:rFonts w:ascii="Times New Roman" w:hAnsi="Times New Roman" w:cs="Times New Roman" w:eastAsia="Times New Roman"/>
                <w:sz w:val="19"/>
              </w:rPr>
              <w:t xml:space="preserve">SD-E-DR-AN response near 3–4 yr</w:t>
            </w:r>
          </w:p>
        </w:tc>
        <w:tc>
          <w:tcPr/>
          <w:p>
            <w:pPr>
              <w:pStyle w:val="Compact"/>
              <w:spacing w:line="240" w:lineRule="auto" w:after="40" w:before="40"/>
              <w:jc w:val="left"/>
            </w:pPr>
            <w:r>
              <w:rPr>
                <w:rFonts w:ascii="Times New Roman" w:hAnsi="Times New Roman" w:cs="Times New Roman" w:eastAsia="Times New Roman"/>
                <w:sz w:val="19"/>
              </w:rPr>
              <w:t xml:space="preserve">exploratory response region (finite grid)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CC-A011-007</w:t>
            </w:r>
          </w:p>
        </w:tc>
        <w:tc>
          <w:tcPr/>
          <w:p>
            <w:pPr>
              <w:pStyle w:val="Compact"/>
              <w:spacing w:line="240" w:lineRule="auto" w:after="40" w:before="40"/>
              <w:jc w:val="left"/>
            </w:pPr>
            <w:r>
              <w:rPr>
                <w:rFonts w:ascii="Times New Roman" w:hAnsi="Times New Roman" w:cs="Times New Roman" w:eastAsia="Times New Roman"/>
                <w:sz w:val="19"/>
              </w:rPr>
              <w:t xml:space="preserve">SD-E-DR-SP response near 6–12 yr</w:t>
            </w:r>
          </w:p>
        </w:tc>
        <w:tc>
          <w:tcPr/>
          <w:p>
            <w:pPr>
              <w:pStyle w:val="Compact"/>
              <w:spacing w:line="240" w:lineRule="auto" w:after="40" w:before="40"/>
              <w:jc w:val="left"/>
            </w:pPr>
            <w:r>
              <w:rPr>
                <w:rFonts w:ascii="Times New Roman" w:hAnsi="Times New Roman" w:cs="Times New Roman" w:eastAsia="Times New Roman"/>
                <w:sz w:val="19"/>
              </w:rPr>
              <w:t xml:space="preserve">exploratory response region (finite grid)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CC-A011-008</w:t>
            </w:r>
          </w:p>
        </w:tc>
        <w:tc>
          <w:tcPr/>
          <w:p>
            <w:pPr>
              <w:pStyle w:val="Compact"/>
              <w:spacing w:line="240" w:lineRule="auto" w:after="40" w:before="40"/>
              <w:jc w:val="left"/>
            </w:pPr>
            <w:r>
              <w:rPr>
                <w:rFonts w:ascii="Times New Roman" w:hAnsi="Times New Roman" w:cs="Times New Roman" w:eastAsia="Times New Roman"/>
                <w:sz w:val="19"/>
              </w:rPr>
              <w:t xml:space="preserve">SD-E-DR-CO convergence over 1–20 yr</w:t>
            </w:r>
          </w:p>
        </w:tc>
        <w:tc>
          <w:tcPr/>
          <w:p>
            <w:pPr>
              <w:pStyle w:val="Compact"/>
              <w:spacing w:line="240" w:lineRule="auto" w:after="40" w:before="40"/>
              <w:jc w:val="left"/>
            </w:pPr>
            <w:r>
              <w:rPr>
                <w:rFonts w:ascii="Times New Roman" w:hAnsi="Times New Roman" w:cs="Times New Roman" w:eastAsia="Times New Roman"/>
                <w:sz w:val="19"/>
              </w:rPr>
              <w:t xml:space="preserve">convergence-over-tested-grid record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CC-A011-009</w:t>
            </w:r>
          </w:p>
        </w:tc>
        <w:tc>
          <w:tcPr/>
          <w:p>
            <w:pPr>
              <w:pStyle w:val="Compact"/>
              <w:spacing w:line="240" w:lineRule="auto" w:after="40" w:before="40"/>
              <w:jc w:val="left"/>
            </w:pPr>
            <w:r>
              <w:rPr>
                <w:rFonts w:ascii="Times New Roman" w:hAnsi="Times New Roman" w:cs="Times New Roman" w:eastAsia="Times New Roman"/>
                <w:sz w:val="19"/>
              </w:rPr>
              <w:t xml:space="preserve">SD-E-DR-SL transition brackets 30–50 yr</w:t>
            </w:r>
          </w:p>
        </w:tc>
        <w:tc>
          <w:tcPr/>
          <w:p>
            <w:pPr>
              <w:pStyle w:val="Compact"/>
              <w:spacing w:line="240" w:lineRule="auto" w:after="40" w:before="40"/>
              <w:jc w:val="left"/>
            </w:pPr>
            <w:r>
              <w:rPr>
                <w:rFonts w:ascii="Times New Roman" w:hAnsi="Times New Roman" w:cs="Times New Roman" w:eastAsia="Times New Roman"/>
                <w:sz w:val="19"/>
              </w:rPr>
              <w:t xml:space="preserve">exploratory response region (one-sided slow-</w:t>
            </w:r>
            <m:oMath>
              <m:r>
                <m:t>r</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pattern)</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CC-A011-010</w:t>
            </w:r>
          </w:p>
        </w:tc>
        <w:tc>
          <w:tcPr/>
          <w:p>
            <w:pPr>
              <w:pStyle w:val="Compact"/>
              <w:spacing w:line="240" w:lineRule="auto" w:after="40" w:before="40"/>
              <w:jc w:val="left"/>
            </w:pPr>
            <w:r>
              <w:rPr>
                <w:rFonts w:ascii="Times New Roman" w:hAnsi="Times New Roman" w:cs="Times New Roman" w:eastAsia="Times New Roman"/>
                <w:sz w:val="19"/>
              </w:rPr>
              <w:t xml:space="preserve">30% assessment-error robustness</w:t>
            </w:r>
          </w:p>
        </w:tc>
        <w:tc>
          <w:tcPr/>
          <w:p>
            <w:pPr>
              <w:pStyle w:val="Compact"/>
              <w:spacing w:line="240" w:lineRule="auto" w:after="40" w:before="40"/>
              <w:jc w:val="left"/>
            </w:pPr>
            <w:r>
              <w:rPr>
                <w:rFonts w:ascii="Times New Roman" w:hAnsi="Times New Roman" w:cs="Times New Roman" w:eastAsia="Times New Roman"/>
                <w:sz w:val="19"/>
              </w:rPr>
              <w:t xml:space="preserve">robustness summary (declared perturbation only)</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§3.5</w:t>
            </w:r>
          </w:p>
        </w:tc>
      </w:tr>
      <w:tr>
        <w:tc>
          <w:tcPr/>
          <w:p>
            <w:pPr>
              <w:pStyle w:val="Compact"/>
              <w:spacing w:line="240" w:lineRule="auto" w:after="40" w:before="40"/>
              <w:jc w:val="left"/>
            </w:pPr>
            <w:r>
              <w:rPr>
                <w:rFonts w:ascii="Times New Roman" w:hAnsi="Times New Roman" w:cs="Times New Roman" w:eastAsia="Times New Roman"/>
                <w:sz w:val="19"/>
              </w:rPr>
              <w:t xml:space="preserve">CC-A011-011</w:t>
            </w:r>
          </w:p>
        </w:tc>
        <w:tc>
          <w:tcPr/>
          <w:p>
            <w:pPr>
              <w:pStyle w:val="Compact"/>
              <w:spacing w:line="240" w:lineRule="auto" w:after="40" w:before="40"/>
              <w:jc w:val="left"/>
            </w:pPr>
            <w:r>
              <w:rPr>
                <w:rFonts w:ascii="Times New Roman" w:hAnsi="Times New Roman" w:cs="Times New Roman" w:eastAsia="Times New Roman"/>
                <w:sz w:val="19"/>
              </w:rPr>
              <w:t xml:space="preserve">Observable-specific spectral peaks</w:t>
            </w:r>
          </w:p>
        </w:tc>
        <w:tc>
          <w:tcPr/>
          <w:p>
            <w:pPr>
              <w:pStyle w:val="Compact"/>
              <w:spacing w:line="240" w:lineRule="auto" w:after="40" w:before="40"/>
              <w:jc w:val="left"/>
            </w:pPr>
            <w:r>
              <w:rPr>
                <w:rFonts w:ascii="Times New Roman" w:hAnsi="Times New Roman" w:cs="Times New Roman" w:eastAsia="Times New Roman"/>
                <w:sz w:val="19"/>
              </w:rPr>
              <w:t xml:space="preserve">diagnostic spectral record (period caveat preserved)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 status accepted, artifact pending</w:t>
            </w:r>
          </w:p>
        </w:tc>
        <w:tc>
          <w:tcPr/>
          <w:p>
            <w:pPr>
              <w:pStyle w:val="Compact"/>
              <w:spacing w:line="240" w:lineRule="auto" w:after="40" w:before="40"/>
              <w:jc w:val="left"/>
            </w:pPr>
            <w:r>
              <w:rPr>
                <w:rFonts w:ascii="Times New Roman" w:hAnsi="Times New Roman" w:cs="Times New Roman" w:eastAsia="Times New Roman"/>
                <w:sz w:val="19"/>
              </w:rPr>
              <w:t xml:space="preserve">§3.5</w:t>
            </w:r>
          </w:p>
        </w:tc>
      </w:tr>
      <w:tr>
        <w:tc>
          <w:tcPr/>
          <w:p>
            <w:pPr>
              <w:pStyle w:val="Compact"/>
              <w:spacing w:line="240" w:lineRule="auto" w:after="40" w:before="40"/>
              <w:jc w:val="left"/>
            </w:pPr>
            <w:r>
              <w:rPr>
                <w:rFonts w:ascii="Times New Roman" w:hAnsi="Times New Roman" w:cs="Times New Roman" w:eastAsia="Times New Roman"/>
                <w:sz w:val="19"/>
              </w:rPr>
              <w:t xml:space="preserve">CC-A011-013</w:t>
            </w:r>
          </w:p>
        </w:tc>
        <w:tc>
          <w:tcPr/>
          <w:p>
            <w:pPr>
              <w:pStyle w:val="Compact"/>
              <w:spacing w:line="240" w:lineRule="auto" w:after="40" w:before="40"/>
              <w:jc w:val="left"/>
            </w:pPr>
            <w:r>
              <w:rPr>
                <w:rFonts w:ascii="Times New Roman" w:hAnsi="Times New Roman" w:cs="Times New Roman" w:eastAsia="Times New Roman"/>
                <w:sz w:val="19"/>
              </w:rPr>
              <w:t xml:space="preserve">Multiplicity-controlled spectral null (three-way restriction)</w:t>
            </w:r>
          </w:p>
        </w:tc>
        <w:tc>
          <w:tcPr/>
          <w:p>
            <w:pPr>
              <w:pStyle w:val="Compact"/>
              <w:spacing w:line="240" w:lineRule="auto" w:after="40" w:before="40"/>
              <w:jc w:val="left"/>
            </w:pPr>
            <w:r>
              <w:rPr>
                <w:rFonts w:ascii="Times New Roman" w:hAnsi="Times New Roman" w:cs="Times New Roman" w:eastAsia="Times New Roman"/>
                <w:sz w:val="19"/>
              </w:rPr>
              <w:t xml:space="preserve">empirical screen result</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§5.3</w:t>
            </w:r>
          </w:p>
        </w:tc>
      </w:tr>
      <w:tr>
        <w:tc>
          <w:tcPr/>
          <w:p>
            <w:pPr>
              <w:pStyle w:val="Compact"/>
              <w:spacing w:line="240" w:lineRule="auto" w:after="40" w:before="40"/>
              <w:jc w:val="left"/>
            </w:pPr>
            <w:r>
              <w:rPr>
                <w:rFonts w:ascii="Times New Roman" w:hAnsi="Times New Roman" w:cs="Times New Roman" w:eastAsia="Times New Roman"/>
                <w:sz w:val="19"/>
              </w:rPr>
              <w:t xml:space="preserve">CC-A011-014</w:t>
            </w:r>
          </w:p>
        </w:tc>
        <w:tc>
          <w:tcPr/>
          <w:p>
            <w:pPr>
              <w:pStyle w:val="Compact"/>
              <w:spacing w:line="240" w:lineRule="auto" w:after="40" w:before="40"/>
              <w:jc w:val="left"/>
            </w:pPr>
            <w:r>
              <w:rPr>
                <w:rFonts w:ascii="Times New Roman" w:hAnsi="Times New Roman" w:cs="Times New Roman" w:eastAsia="Times New Roman"/>
                <w:sz w:val="19"/>
              </w:rPr>
              <w:t xml:space="preserve">Injected-signal power values</w:t>
            </w:r>
          </w:p>
        </w:tc>
        <w:tc>
          <w:tcPr/>
          <w:p>
            <w:pPr>
              <w:pStyle w:val="Compact"/>
              <w:spacing w:line="240" w:lineRule="auto" w:after="40" w:before="40"/>
              <w:jc w:val="left"/>
            </w:pPr>
            <w:r>
              <w:rPr>
                <w:rFonts w:ascii="Times New Roman" w:hAnsi="Times New Roman" w:cs="Times New Roman" w:eastAsia="Times New Roman"/>
                <w:sz w:val="19"/>
              </w:rPr>
              <w:t xml:space="preserve">power analysis (conditional simulations)</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§5.4</w:t>
            </w:r>
          </w:p>
        </w:tc>
      </w:tr>
      <w:tr>
        <w:tc>
          <w:tcPr/>
          <w:p>
            <w:pPr>
              <w:pStyle w:val="Compact"/>
              <w:spacing w:line="240" w:lineRule="auto" w:after="40" w:before="40"/>
              <w:jc w:val="left"/>
            </w:pPr>
            <w:r>
              <w:rPr>
                <w:rFonts w:ascii="Times New Roman" w:hAnsi="Times New Roman" w:cs="Times New Roman" w:eastAsia="Times New Roman"/>
                <w:sz w:val="19"/>
              </w:rPr>
              <w:t xml:space="preserve">CC-A011-015</w:t>
            </w:r>
          </w:p>
        </w:tc>
        <w:tc>
          <w:tcPr/>
          <w:p>
            <w:pPr>
              <w:pStyle w:val="Compact"/>
              <w:spacing w:line="240" w:lineRule="auto" w:after="40" w:before="40"/>
              <w:jc w:val="left"/>
            </w:pPr>
            <w:r>
              <w:rPr>
                <w:rFonts w:ascii="Times New Roman" w:hAnsi="Times New Roman" w:cs="Times New Roman" w:eastAsia="Times New Roman"/>
                <w:sz w:val="19"/>
              </w:rPr>
              <w:t xml:space="preserve">More-than-30-system search, zero eligible</w:t>
            </w:r>
          </w:p>
        </w:tc>
        <w:tc>
          <w:tcPr/>
          <w:p>
            <w:pPr>
              <w:pStyle w:val="Compact"/>
              <w:spacing w:line="240" w:lineRule="auto" w:after="40" w:before="40"/>
              <w:jc w:val="left"/>
            </w:pPr>
            <w:r>
              <w:rPr>
                <w:rFonts w:ascii="Times New Roman" w:hAnsi="Times New Roman" w:cs="Times New Roman" w:eastAsia="Times New Roman"/>
                <w:sz w:val="19"/>
              </w:rPr>
              <w:t xml:space="preserve">case-search record (not disconfirmation)</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§6.1</w:t>
            </w:r>
          </w:p>
        </w:tc>
      </w:tr>
      <w:tr>
        <w:tc>
          <w:tcPr/>
          <w:p>
            <w:pPr>
              <w:pStyle w:val="Compact"/>
              <w:spacing w:line="240" w:lineRule="auto" w:after="40" w:before="40"/>
              <w:jc w:val="left"/>
            </w:pPr>
            <w:r>
              <w:rPr>
                <w:rFonts w:ascii="Times New Roman" w:hAnsi="Times New Roman" w:cs="Times New Roman" w:eastAsia="Times New Roman"/>
                <w:sz w:val="19"/>
              </w:rPr>
              <w:t xml:space="preserve">CC-A011-016</w:t>
            </w:r>
          </w:p>
        </w:tc>
        <w:tc>
          <w:tcPr/>
          <w:p>
            <w:pPr>
              <w:pStyle w:val="Compact"/>
              <w:spacing w:line="240" w:lineRule="auto" w:after="40" w:before="40"/>
              <w:jc w:val="left"/>
            </w:pPr>
            <w:r>
              <w:rPr>
                <w:rFonts w:ascii="Times New Roman" w:hAnsi="Times New Roman" w:cs="Times New Roman" w:eastAsia="Times New Roman"/>
                <w:sz w:val="19"/>
              </w:rPr>
              <w:t xml:space="preserve">Case-specific calculations (</w:t>
            </w:r>
            <m:oMath>
              <m:sSup>
                <m:e>
                  <m:r>
                    <m:t>R</m:t>
                  </m:r>
                </m:e>
                <m:sup>
                  <m:r>
                    <m:t>2</m:t>
                  </m:r>
                </m:sup>
              </m:sSup>
            </m:oMath>
            <w:r>
              <w:rPr>
                <w:rFonts w:ascii="Times New Roman" w:hAnsi="Times New Roman" w:cs="Times New Roman" w:eastAsia="Times New Roman"/>
                <w:sz w:val="19"/>
              </w:rPr>
              <w:t xml:space="preserve">, CV, periods, lags)</w:t>
            </w:r>
          </w:p>
        </w:tc>
        <w:tc>
          <w:tcPr/>
          <w:p>
            <w:pPr>
              <w:pStyle w:val="Compact"/>
              <w:spacing w:line="240" w:lineRule="auto" w:after="40" w:before="40"/>
              <w:jc w:val="left"/>
            </w:pPr>
            <w:r>
              <w:rPr>
                <w:rFonts w:ascii="Times New Roman" w:hAnsi="Times New Roman" w:cs="Times New Roman" w:eastAsia="Times New Roman"/>
                <w:sz w:val="19"/>
              </w:rPr>
              <w:t xml:space="preserve">case calculations (author calculations)</w:t>
            </w:r>
          </w:p>
        </w:tc>
        <w:tc>
          <w:tcPr/>
          <w:p>
            <w:pPr>
              <w:pStyle w:val="Compact"/>
              <w:spacing w:line="240" w:lineRule="auto" w:after="40" w:before="40"/>
              <w:jc w:val="left"/>
            </w:pPr>
            <w:r>
              <w:rPr>
                <w:rFonts w:ascii="Times New Roman" w:hAnsi="Times New Roman" w:cs="Times New Roman" w:eastAsia="Times New Roman"/>
                <w:sz w:val="19"/>
              </w:rPr>
              <w:t xml:space="preserve">row-verified 2026-08-27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§6.1</w:t>
            </w:r>
          </w:p>
        </w:tc>
      </w:tr>
      <w:tr>
        <w:tc>
          <w:tcPr/>
          <w:p>
            <w:pPr>
              <w:pStyle w:val="Compact"/>
              <w:spacing w:line="240" w:lineRule="auto" w:after="40" w:before="40"/>
              <w:jc w:val="left"/>
            </w:pPr>
            <w:r>
              <w:rPr>
                <w:rFonts w:ascii="Times New Roman" w:hAnsi="Times New Roman" w:cs="Times New Roman" w:eastAsia="Times New Roman"/>
                <w:sz w:val="19"/>
              </w:rPr>
              <w:t xml:space="preserve">CC-A014-002</w:t>
            </w:r>
          </w:p>
        </w:tc>
        <w:tc>
          <w:tcPr/>
          <w:p>
            <w:pPr>
              <w:pStyle w:val="Compact"/>
              <w:spacing w:line="240" w:lineRule="auto" w:after="40" w:before="40"/>
              <w:jc w:val="left"/>
            </w:pPr>
            <w:r>
              <w:rPr>
                <w:rFonts w:ascii="Times New Roman" w:hAnsi="Times New Roman" w:cs="Times New Roman" w:eastAsia="Times New Roman"/>
                <w:sz w:val="19"/>
              </w:rPr>
              <w:t xml:space="preserve">Extra-loss threshold-shift lemma</w:t>
            </w:r>
          </w:p>
        </w:tc>
        <w:tc>
          <w:tcPr/>
          <w:p>
            <w:pPr>
              <w:pStyle w:val="Compact"/>
              <w:spacing w:line="240" w:lineRule="auto" w:after="40" w:before="40"/>
              <w:jc w:val="left"/>
            </w:pPr>
            <w:r>
              <w:rPr>
                <w:rFonts w:ascii="Times New Roman" w:hAnsi="Times New Roman" w:cs="Times New Roman" w:eastAsia="Times New Roman"/>
                <w:sz w:val="19"/>
              </w:rPr>
              <w:t xml:space="preserve">conditional proposition (existence/production-maximum conditions)</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conditional/open</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CC-A014-003</w:t>
            </w:r>
          </w:p>
        </w:tc>
        <w:tc>
          <w:tcPr/>
          <w:p>
            <w:pPr>
              <w:pStyle w:val="Compact"/>
              <w:spacing w:line="240" w:lineRule="auto" w:after="40" w:before="40"/>
              <w:jc w:val="left"/>
            </w:pPr>
            <w:r>
              <w:rPr>
                <w:rFonts w:ascii="Times New Roman" w:hAnsi="Times New Roman" w:cs="Times New Roman" w:eastAsia="Times New Roman"/>
                <w:sz w:val="19"/>
              </w:rPr>
              <w:t xml:space="preserve">Fixed-autonomous-scalar incompatibility</w:t>
            </w:r>
          </w:p>
        </w:tc>
        <w:tc>
          <w:tcPr/>
          <w:p>
            <w:pPr>
              <w:pStyle w:val="Compact"/>
              <w:spacing w:line="240" w:lineRule="auto" w:after="40" w:before="40"/>
              <w:jc w:val="left"/>
            </w:pPr>
            <w:r>
              <w:rPr>
                <w:rFonts w:ascii="Times New Roman" w:hAnsi="Times New Roman" w:cs="Times New Roman" w:eastAsia="Times New Roman"/>
                <w:sz w:val="19"/>
              </w:rPr>
              <w:t xml:space="preserve">incompatibility result (failure boundary)</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CC-A014-004</w:t>
            </w:r>
          </w:p>
        </w:tc>
        <w:tc>
          <w:tcPr/>
          <w:p>
            <w:pPr>
              <w:pStyle w:val="Compact"/>
              <w:spacing w:line="240" w:lineRule="auto" w:after="40" w:before="40"/>
              <w:jc w:val="left"/>
            </w:pPr>
            <w:r>
              <w:rPr>
                <w:rFonts w:ascii="Times New Roman" w:hAnsi="Times New Roman" w:cs="Times New Roman" w:eastAsia="Times New Roman"/>
                <w:sz w:val="19"/>
              </w:rPr>
              <w:t xml:space="preserve">Scalar-autonomous phase-line obstruction</w:t>
            </w:r>
          </w:p>
        </w:tc>
        <w:tc>
          <w:tcPr/>
          <w:p>
            <w:pPr>
              <w:pStyle w:val="Compact"/>
              <w:spacing w:line="240" w:lineRule="auto" w:after="40" w:before="40"/>
              <w:jc w:val="left"/>
            </w:pPr>
            <w:r>
              <w:rPr>
                <w:rFonts w:ascii="Times New Roman" w:hAnsi="Times New Roman" w:cs="Times New Roman" w:eastAsia="Times New Roman"/>
                <w:sz w:val="19"/>
              </w:rPr>
              <w:t xml:space="preserve">theorem (proof verified present)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CC-A014-006</w:t>
            </w:r>
          </w:p>
        </w:tc>
        <w:tc>
          <w:tcPr/>
          <w:p>
            <w:pPr>
              <w:pStyle w:val="Compact"/>
              <w:spacing w:line="240" w:lineRule="auto" w:after="40" w:before="40"/>
              <w:jc w:val="left"/>
            </w:pPr>
            <w:r>
              <w:rPr>
                <w:rFonts w:ascii="Times New Roman" w:hAnsi="Times New Roman" w:cs="Times New Roman" w:eastAsia="Times New Roman"/>
                <w:sz w:val="19"/>
              </w:rPr>
              <w:t xml:space="preserve">SAR 2016/026 Table A2 crash-window series</w:t>
            </w:r>
          </w:p>
        </w:tc>
        <w:tc>
          <w:tcPr/>
          <w:p>
            <w:pPr>
              <w:pStyle w:val="Compact"/>
              <w:spacing w:line="240" w:lineRule="auto" w:after="40" w:before="40"/>
              <w:jc w:val="left"/>
            </w:pPr>
            <w:r>
              <w:rPr>
                <w:rFonts w:ascii="Times New Roman" w:hAnsi="Times New Roman" w:cs="Times New Roman" w:eastAsia="Times New Roman"/>
                <w:sz w:val="19"/>
              </w:rPr>
              <w:t xml:space="preserve">empirical table (rounded source values;</w:t>
            </w:r>
            <w:r>
              <w:rPr>
                <w:rFonts w:ascii="Times New Roman" w:hAnsi="Times New Roman" w:cs="Times New Roman" w:eastAsia="Times New Roman"/>
                <w:sz w:val="19"/>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column)</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§6.3</w:t>
            </w:r>
          </w:p>
        </w:tc>
      </w:tr>
      <w:tr>
        <w:tc>
          <w:tcPr/>
          <w:p>
            <w:pPr>
              <w:pStyle w:val="Compact"/>
              <w:spacing w:line="240" w:lineRule="auto" w:after="40" w:before="40"/>
              <w:jc w:val="left"/>
            </w:pPr>
            <w:r>
              <w:rPr>
                <w:rFonts w:ascii="Times New Roman" w:hAnsi="Times New Roman" w:cs="Times New Roman" w:eastAsia="Times New Roman"/>
                <w:sz w:val="19"/>
              </w:rPr>
              <w:t xml:space="preserve">CC-A014-007</w:t>
            </w:r>
          </w:p>
        </w:tc>
        <w:tc>
          <w:tcPr/>
          <w:p>
            <w:pPr>
              <w:pStyle w:val="Compact"/>
              <w:spacing w:line="240" w:lineRule="auto" w:after="40" w:before="40"/>
              <w:jc w:val="left"/>
            </w:pPr>
            <w:r>
              <w:rPr>
                <w:rFonts w:ascii="Times New Roman" w:hAnsi="Times New Roman" w:cs="Times New Roman" w:eastAsia="Times New Roman"/>
                <w:sz w:val="19"/>
              </w:rPr>
              <w:t xml:space="preserve">M-pulse vs constrained-M comparison</w:t>
            </w:r>
          </w:p>
        </w:tc>
        <w:tc>
          <w:tcPr/>
          <w:p>
            <w:pPr>
              <w:pStyle w:val="Compact"/>
              <w:spacing w:line="240" w:lineRule="auto" w:after="40" w:before="40"/>
              <w:jc w:val="left"/>
            </w:pPr>
            <w:r>
              <w:rPr>
                <w:rFonts w:ascii="Times New Roman" w:hAnsi="Times New Roman" w:cs="Times New Roman" w:eastAsia="Times New Roman"/>
                <w:sz w:val="19"/>
              </w:rPr>
              <w:t xml:space="preserve">NCAM-formulation attribution (formulation-dependent)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§6.3</w:t>
            </w:r>
          </w:p>
        </w:tc>
      </w:tr>
      <w:tr>
        <w:tc>
          <w:tcPr/>
          <w:p>
            <w:pPr>
              <w:pStyle w:val="Compact"/>
              <w:spacing w:line="240" w:lineRule="auto" w:after="40" w:before="40"/>
              <w:jc w:val="left"/>
            </w:pPr>
            <w:r>
              <w:rPr>
                <w:rFonts w:ascii="Times New Roman" w:hAnsi="Times New Roman" w:cs="Times New Roman" w:eastAsia="Times New Roman"/>
                <w:sz w:val="19"/>
              </w:rPr>
              <w:t xml:space="preserve">CC-A014-008</w:t>
            </w:r>
          </w:p>
        </w:tc>
        <w:tc>
          <w:tcPr/>
          <w:p>
            <w:pPr>
              <w:pStyle w:val="Compact"/>
              <w:spacing w:line="240" w:lineRule="auto" w:after="40" w:before="40"/>
              <w:jc w:val="left"/>
            </w:pPr>
            <w:r>
              <w:rPr>
                <w:rFonts w:ascii="Times New Roman" w:hAnsi="Times New Roman" w:cs="Times New Roman" w:eastAsia="Times New Roman"/>
                <w:sz w:val="19"/>
              </w:rPr>
              <w:t xml:space="preserve">Two-window split</w:t>
            </w:r>
          </w:p>
        </w:tc>
        <w:tc>
          <w:tcPr/>
          <w:p>
            <w:pPr>
              <w:pStyle w:val="Compact"/>
              <w:spacing w:line="240" w:lineRule="auto" w:after="40" w:before="40"/>
              <w:jc w:val="left"/>
            </w:pPr>
            <w:r>
              <w:rPr>
                <w:rFonts w:ascii="Times New Roman" w:hAnsi="Times New Roman" w:cs="Times New Roman" w:eastAsia="Times New Roman"/>
                <w:sz w:val="19"/>
              </w:rPr>
              <w:t xml:space="preserve">case synthesis (the positive result is the split)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§6.3</w:t>
            </w:r>
          </w:p>
        </w:tc>
      </w:tr>
      <w:tr>
        <w:tc>
          <w:tcPr/>
          <w:p>
            <w:pPr>
              <w:pStyle w:val="Compact"/>
              <w:spacing w:line="240" w:lineRule="auto" w:after="40" w:before="40"/>
              <w:jc w:val="left"/>
            </w:pPr>
            <w:r>
              <w:rPr>
                <w:rFonts w:ascii="Times New Roman" w:hAnsi="Times New Roman" w:cs="Times New Roman" w:eastAsia="Times New Roman"/>
                <w:sz w:val="19"/>
              </w:rPr>
              <w:t xml:space="preserve">CC-A014-010</w:t>
            </w:r>
          </w:p>
        </w:tc>
        <w:tc>
          <w:tcPr/>
          <w:p>
            <w:pPr>
              <w:pStyle w:val="Compact"/>
              <w:spacing w:line="240" w:lineRule="auto" w:after="40" w:before="40"/>
              <w:jc w:val="left"/>
            </w:pPr>
            <w:r>
              <w:rPr>
                <w:rFonts w:ascii="Times New Roman" w:hAnsi="Times New Roman" w:cs="Times New Roman" w:eastAsia="Times New Roman"/>
                <w:sz w:val="19"/>
              </w:rPr>
              <w:t xml:space="preserve">Ecosystem context (harp seal, capelin)</w:t>
            </w:r>
          </w:p>
        </w:tc>
        <w:tc>
          <w:tcPr/>
          <w:p>
            <w:pPr>
              <w:pStyle w:val="Compact"/>
              <w:spacing w:line="240" w:lineRule="auto" w:after="40" w:before="40"/>
              <w:jc w:val="left"/>
            </w:pPr>
            <w:r>
              <w:rPr>
                <w:rFonts w:ascii="Times New Roman" w:hAnsi="Times New Roman" w:cs="Times New Roman" w:eastAsia="Times New Roman"/>
                <w:sz w:val="19"/>
              </w:rPr>
              <w:t xml:space="preserve">background only (causal use unverified)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status crosswalk</w:t>
            </w:r>
          </w:p>
        </w:tc>
        <w:tc>
          <w:tcPr/>
          <w:p>
            <w:pPr>
              <w:pStyle w:val="Compact"/>
              <w:spacing w:line="240" w:lineRule="auto" w:after="40" w:before="40"/>
              <w:jc w:val="left"/>
            </w:pPr>
            <w:r>
              <w:rPr>
                <w:rFonts w:ascii="Times New Roman" w:hAnsi="Times New Roman" w:cs="Times New Roman" w:eastAsia="Times New Roman"/>
                <w:sz w:val="19"/>
              </w:rPr>
              <w:t xml:space="preserve">§6.4</w:t>
            </w:r>
          </w:p>
        </w:tc>
      </w:tr>
      <w:tr>
        <w:tc>
          <w:tcPr/>
          <w:p>
            <w:pPr>
              <w:pStyle w:val="Compact"/>
              <w:spacing w:line="240" w:lineRule="auto" w:after="40" w:before="40"/>
              <w:jc w:val="left"/>
            </w:pPr>
            <w:r>
              <w:rPr>
                <w:rFonts w:ascii="Times New Roman" w:hAnsi="Times New Roman" w:cs="Times New Roman" w:eastAsia="Times New Roman"/>
                <w:sz w:val="19"/>
              </w:rPr>
              <w:t xml:space="preserve">CC-A014-015</w:t>
            </w:r>
          </w:p>
        </w:tc>
        <w:tc>
          <w:tcPr/>
          <w:p>
            <w:pPr>
              <w:pStyle w:val="Compact"/>
              <w:spacing w:line="240" w:lineRule="auto" w:after="40" w:before="40"/>
              <w:jc w:val="left"/>
            </w:pPr>
            <w:r>
              <w:rPr>
                <w:rFonts w:ascii="Times New Roman" w:hAnsi="Times New Roman" w:cs="Times New Roman" w:eastAsia="Times New Roman"/>
                <w:sz w:val="19"/>
              </w:rPr>
              <w:t xml:space="preserve">Minimal-embarrassment toy test</w:t>
            </w:r>
          </w:p>
        </w:tc>
        <w:tc>
          <w:tcPr/>
          <w:p>
            <w:pPr>
              <w:pStyle w:val="Compact"/>
              <w:spacing w:line="240" w:lineRule="auto" w:after="40" w:before="40"/>
              <w:jc w:val="left"/>
            </w:pPr>
            <w:r>
              <w:rPr>
                <w:rFonts w:ascii="Times New Roman" w:hAnsi="Times New Roman" w:cs="Times New Roman" w:eastAsia="Times New Roman"/>
                <w:sz w:val="19"/>
              </w:rPr>
              <w:t xml:space="preserve">supplement (executed; scope limited)</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§6.4</w:t>
            </w:r>
          </w:p>
        </w:tc>
      </w:tr>
      <w:tr>
        <w:tc>
          <w:tcPr/>
          <w:p>
            <w:pPr>
              <w:pStyle w:val="Compact"/>
              <w:spacing w:line="240" w:lineRule="auto" w:after="40" w:before="40"/>
              <w:jc w:val="left"/>
            </w:pPr>
            <w:r>
              <w:rPr>
                <w:rFonts w:ascii="Times New Roman" w:hAnsi="Times New Roman" w:cs="Times New Roman" w:eastAsia="Times New Roman"/>
                <w:sz w:val="19"/>
              </w:rPr>
              <w:t xml:space="preserve">CC-A018-012</w:t>
            </w:r>
          </w:p>
        </w:tc>
        <w:tc>
          <w:tcPr/>
          <w:p>
            <w:pPr>
              <w:pStyle w:val="Compact"/>
              <w:spacing w:line="240" w:lineRule="auto" w:after="40" w:before="40"/>
              <w:jc w:val="left"/>
            </w:pPr>
            <w:r>
              <w:rPr>
                <w:rFonts w:ascii="Times New Roman" w:hAnsi="Times New Roman" w:cs="Times New Roman" w:eastAsia="Times New Roman"/>
                <w:sz w:val="19"/>
              </w:rPr>
              <w:t xml:space="preserve">Dimensionless identifiability groups</w:t>
            </w:r>
          </w:p>
        </w:tc>
        <w:tc>
          <w:tcPr/>
          <w:p>
            <w:pPr>
              <w:pStyle w:val="Compact"/>
              <w:spacing w:line="240" w:lineRule="auto" w:after="40" w:before="40"/>
              <w:jc w:val="left"/>
            </w:pPr>
            <w:r>
              <w:rPr>
                <w:rFonts w:ascii="Times New Roman" w:hAnsi="Times New Roman" w:cs="Times New Roman" w:eastAsia="Times New Roman"/>
                <w:sz w:val="19"/>
              </w:rPr>
              <w:t xml:space="preserve">theorem (proof verified present)</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proof present, line check</w:t>
            </w:r>
          </w:p>
        </w:tc>
        <w:tc>
          <w:tcPr/>
          <w:p>
            <w:pPr>
              <w:pStyle w:val="Compact"/>
              <w:spacing w:line="240" w:lineRule="auto" w:after="40" w:before="40"/>
              <w:jc w:val="left"/>
            </w:pPr>
            <w:r>
              <w:rPr>
                <w:rFonts w:ascii="Times New Roman" w:hAnsi="Times New Roman" w:cs="Times New Roman" w:eastAsia="Times New Roman"/>
                <w:sz w:val="19"/>
              </w:rPr>
              <w:t xml:space="preserve">§5.1</w:t>
            </w:r>
          </w:p>
        </w:tc>
      </w:tr>
      <w:tr>
        <w:tc>
          <w:tcPr/>
          <w:p>
            <w:pPr>
              <w:pStyle w:val="Compact"/>
              <w:spacing w:line="240" w:lineRule="auto" w:after="40" w:before="40"/>
              <w:jc w:val="left"/>
            </w:pPr>
            <w:r>
              <w:rPr>
                <w:rFonts w:ascii="Times New Roman" w:hAnsi="Times New Roman" w:cs="Times New Roman" w:eastAsia="Times New Roman"/>
                <w:sz w:val="19"/>
              </w:rPr>
              <w:t xml:space="preserve">CC-A018-018</w:t>
            </w:r>
          </w:p>
        </w:tc>
        <w:tc>
          <w:tcPr/>
          <w:p>
            <w:pPr>
              <w:pStyle w:val="Compact"/>
              <w:spacing w:line="240" w:lineRule="auto" w:after="40" w:before="40"/>
              <w:jc w:val="left"/>
            </w:pPr>
            <w:r>
              <w:rPr>
                <w:rFonts w:ascii="Times New Roman" w:hAnsi="Times New Roman" w:cs="Times New Roman" w:eastAsia="Times New Roman"/>
                <w:sz w:val="19"/>
              </w:rPr>
              <w:t xml:space="preserve">Empirical screen and prospective review-interval hypotheses</w:t>
            </w:r>
          </w:p>
        </w:tc>
        <w:tc>
          <w:tcPr/>
          <w:p>
            <w:pPr>
              <w:pStyle w:val="Compact"/>
              <w:spacing w:line="240" w:lineRule="auto" w:after="40" w:before="40"/>
              <w:jc w:val="left"/>
            </w:pPr>
            <w:r>
              <w:rPr>
                <w:rFonts w:ascii="Times New Roman" w:hAnsi="Times New Roman" w:cs="Times New Roman" w:eastAsia="Times New Roman"/>
                <w:sz w:val="19"/>
              </w:rPr>
              <w:t xml:space="preserve">empirical screen + prospective hypotheses (two-operator discipline)</w:t>
            </w:r>
          </w:p>
        </w:tc>
        <w:tc>
          <w:tcPr/>
          <w:p>
            <w:pPr>
              <w:pStyle w:val="Compact"/>
              <w:spacing w:line="240" w:lineRule="auto" w:after="40" w:before="40"/>
              <w:jc w:val="left"/>
            </w:pPr>
            <w:r>
              <w:rPr>
                <w:rFonts w:ascii="Times New Roman" w:hAnsi="Times New Roman" w:cs="Times New Roman" w:eastAsia="Times New Roman"/>
                <w:sz w:val="19"/>
              </w:rPr>
              <w:t xml:space="preserve">row-verified 2026-08-28 · source-specific empirical status</w:t>
            </w:r>
          </w:p>
        </w:tc>
        <w:tc>
          <w:tcPr/>
          <w:p>
            <w:pPr>
              <w:pStyle w:val="Compact"/>
              <w:spacing w:line="240" w:lineRule="auto" w:after="40" w:before="40"/>
              <w:jc w:val="left"/>
            </w:pPr>
            <w:r>
              <w:rPr>
                <w:rFonts w:ascii="Times New Roman" w:hAnsi="Times New Roman" w:cs="Times New Roman" w:eastAsia="Times New Roman"/>
                <w:sz w:val="19"/>
              </w:rPr>
              <w:t xml:space="preserve">§3.6, §6.1, §7</w:t>
            </w:r>
          </w:p>
        </w:tc>
      </w:tr>
      <w:tr>
        <w:tc>
          <w:tcPr/>
          <w:p>
            <w:pPr>
              <w:pStyle w:val="Compact"/>
              <w:spacing w:line="240" w:lineRule="auto" w:after="40" w:before="40"/>
              <w:jc w:val="left"/>
            </w:pPr>
            <w:r>
              <w:rPr>
                <w:rFonts w:ascii="Times New Roman" w:hAnsi="Times New Roman" w:cs="Times New Roman" w:eastAsia="Times New Roman"/>
                <w:sz w:val="19"/>
              </w:rPr>
              <w:t xml:space="preserve">MS-Native-2</w:t>
            </w:r>
          </w:p>
        </w:tc>
        <w:tc>
          <w:tcPr/>
          <w:p>
            <w:pPr>
              <w:pStyle w:val="Compact"/>
              <w:spacing w:line="240" w:lineRule="auto" w:after="40" w:before="40"/>
              <w:jc w:val="left"/>
            </w:pPr>
            <w:r>
              <w:rPr>
                <w:rFonts w:ascii="Times New Roman" w:hAnsi="Times New Roman" w:cs="Times New Roman" w:eastAsia="Times New Roman"/>
                <w:sz w:val="19"/>
              </w:rPr>
              <w:t xml:space="preserve">Forward invariance of the sampled process</w:t>
            </w:r>
          </w:p>
        </w:tc>
        <w:tc>
          <w:tcPr/>
          <w:p>
            <w:pPr>
              <w:pStyle w:val="Compact"/>
              <w:spacing w:line="240" w:lineRule="auto" w:after="40" w:before="40"/>
              <w:jc w:val="left"/>
            </w:pPr>
            <w:r>
              <w:rPr>
                <w:rFonts w:ascii="Times New Roman" w:hAnsi="Times New Roman" w:cs="Times New Roman" w:eastAsia="Times New Roman"/>
                <w:sz w:val="19"/>
              </w:rPr>
              <w:t xml:space="preserve">theorem (proof reproduced in full)</w:t>
            </w:r>
          </w:p>
        </w:tc>
        <w:tc>
          <w:tcPr/>
          <w:p>
            <w:pPr>
              <w:pStyle w:val="Compact"/>
              <w:spacing w:line="240" w:lineRule="auto" w:after="40" w:before="40"/>
              <w:jc w:val="left"/>
            </w:pPr>
            <w:r>
              <w:rPr>
                <w:rFonts w:ascii="Times New Roman" w:hAnsi="Times New Roman" w:cs="Times New Roman" w:eastAsia="Times New Roman"/>
                <w:sz w:val="19"/>
              </w:rPr>
              <w:t xml:space="preserve">source’s complete formal result</w:t>
            </w:r>
          </w:p>
        </w:tc>
        <w:tc>
          <w:tcPr/>
          <w:p>
            <w:pPr>
              <w:pStyle w:val="Compact"/>
              <w:spacing w:line="240" w:lineRule="auto" w:after="40" w:before="40"/>
              <w:jc w:val="left"/>
            </w:pPr>
            <w:r>
              <w:rPr>
                <w:rFonts w:ascii="Times New Roman" w:hAnsi="Times New Roman" w:cs="Times New Roman" w:eastAsia="Times New Roman"/>
                <w:sz w:val="19"/>
              </w:rPr>
              <w:t xml:space="preserve">§3.1</w:t>
            </w:r>
          </w:p>
        </w:tc>
      </w:tr>
      <w:tr>
        <w:tc>
          <w:tcPr/>
          <w:p>
            <w:pPr>
              <w:pStyle w:val="Compact"/>
              <w:spacing w:line="240" w:lineRule="auto" w:after="40" w:before="40"/>
              <w:jc w:val="left"/>
            </w:pPr>
            <w:r>
              <w:rPr>
                <w:rFonts w:ascii="Times New Roman" w:hAnsi="Times New Roman" w:cs="Times New Roman" w:eastAsia="Times New Roman"/>
                <w:sz w:val="19"/>
              </w:rPr>
              <w:t xml:space="preserve">MS-Native-3</w:t>
            </w:r>
          </w:p>
        </w:tc>
        <w:tc>
          <w:tcPr/>
          <w:p>
            <w:pPr>
              <w:pStyle w:val="Compact"/>
              <w:spacing w:line="240" w:lineRule="auto" w:after="40" w:before="40"/>
              <w:jc w:val="left"/>
            </w:pPr>
            <w:r>
              <w:rPr>
                <w:rFonts w:ascii="Times New Roman" w:hAnsi="Times New Roman" w:cs="Times New Roman" w:eastAsia="Times New Roman"/>
                <w:sz w:val="19"/>
              </w:rPr>
              <w:t xml:space="preserve">SD-E-B3 instance of finite-horizon rapid-review consistency</w:t>
            </w:r>
          </w:p>
        </w:tc>
        <w:tc>
          <w:tcPr/>
          <w:p>
            <w:pPr>
              <w:pStyle w:val="Compact"/>
              <w:spacing w:line="240" w:lineRule="auto" w:after="40" w:before="40"/>
              <w:jc w:val="left"/>
            </w:pPr>
            <w:r>
              <w:rPr>
                <w:rFonts w:ascii="Times New Roman" w:hAnsi="Times New Roman" w:cs="Times New Roman" w:eastAsia="Times New Roman"/>
                <w:sz w:val="19"/>
              </w:rPr>
              <w:t xml:space="preserve">consistency statement with scope exclusions (atlas theorem CC-A002-034 — cross-reference, not a retained row)</w:t>
            </w:r>
          </w:p>
        </w:tc>
        <w:tc>
          <w:tcPr/>
          <w:p>
            <w:pPr>
              <w:pStyle w:val="Compact"/>
              <w:spacing w:line="240" w:lineRule="auto" w:after="40" w:before="40"/>
              <w:jc w:val="left"/>
            </w:pPr>
            <w:r>
              <w:rPr>
                <w:rFonts w:ascii="Times New Roman" w:hAnsi="Times New Roman" w:cs="Times New Roman" w:eastAsia="Times New Roman"/>
                <w:sz w:val="19"/>
              </w:rPr>
              <w:t xml:space="preserve">source remark, stated in full</w:t>
            </w:r>
          </w:p>
        </w:tc>
        <w:tc>
          <w:tcPr/>
          <w:p>
            <w:pPr>
              <w:pStyle w:val="Compact"/>
              <w:spacing w:line="240" w:lineRule="auto" w:after="40" w:before="40"/>
              <w:jc w:val="left"/>
            </w:pPr>
            <w:r>
              <w:rPr>
                <w:rFonts w:ascii="Times New Roman" w:hAnsi="Times New Roman" w:cs="Times New Roman" w:eastAsia="Times New Roman"/>
                <w:sz w:val="19"/>
              </w:rPr>
              <w:t xml:space="preserve">§3.2</w:t>
            </w:r>
          </w:p>
        </w:tc>
      </w:tr>
      <w:tr>
        <w:tc>
          <w:tcPr/>
          <w:p>
            <w:pPr>
              <w:pStyle w:val="Compact"/>
              <w:spacing w:line="240" w:lineRule="auto" w:after="40" w:before="40"/>
              <w:jc w:val="left"/>
            </w:pPr>
            <w:r>
              <w:rPr>
                <w:rFonts w:ascii="Times New Roman" w:hAnsi="Times New Roman" w:cs="Times New Roman" w:eastAsia="Times New Roman"/>
                <w:sz w:val="19"/>
              </w:rPr>
              <w:t xml:space="preserve">MS-Native-8</w:t>
            </w:r>
          </w:p>
        </w:tc>
        <w:tc>
          <w:tcPr/>
          <w:p>
            <w:pPr>
              <w:pStyle w:val="Compact"/>
              <w:spacing w:line="240" w:lineRule="auto" w:after="40" w:before="40"/>
              <w:jc w:val="left"/>
            </w:pPr>
            <w:r>
              <w:rPr>
                <w:rFonts w:ascii="Times New Roman" w:hAnsi="Times New Roman" w:cs="Times New Roman" w:eastAsia="Times New Roman"/>
                <w:sz w:val="19"/>
              </w:rPr>
              <w:t xml:space="preserve">Assessment-table values for the non-recovery window (SSB 16.05, 34.42, 20.07 kt at</w:t>
            </w:r>
            <w:r>
              <w:rPr>
                <w:rFonts w:ascii="Times New Roman" w:hAnsi="Times New Roman" w:cs="Times New Roman" w:eastAsia="Times New Roman"/>
                <w:sz w:val="19"/>
              </w:rPr>
              <w:t xml:space="preserve"> </w:t>
            </w:r>
            <m:oMath>
              <m:r>
                <m:t>M</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0.341, 0.717, 0.362 yr⁻¹ for 1996, 2000, 2004) and the recovery window (SSB 25.18, 96.91, 298.65 kt at</w:t>
            </w:r>
            <w:r>
              <w:rPr>
                <w:rFonts w:ascii="Times New Roman" w:hAnsi="Times New Roman" w:cs="Times New Roman" w:eastAsia="Times New Roman"/>
                <w:sz w:val="19"/>
              </w:rPr>
              <w:t xml:space="preserve"> </w:t>
            </w:r>
            <m:oMath>
              <m:r>
                <m:t>M</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0.288, 0.696, 0.278 yr⁻¹ for 2005, 2010, 2015; survival column</w:t>
            </w:r>
            <w:r>
              <w:rPr>
                <w:rFonts w:ascii="Times New Roman" w:hAnsi="Times New Roman" w:cs="Times New Roman" w:eastAsia="Times New Roman"/>
                <w:sz w:val="19"/>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empirical table (source-reported assessment estimates;</w:t>
            </w:r>
            <w:r>
              <w:rPr>
                <w:rFonts w:ascii="Times New Roman" w:hAnsi="Times New Roman" w:cs="Times New Roman" w:eastAsia="Times New Roman"/>
                <w:sz w:val="19"/>
              </w:rPr>
              <w:t xml:space="preserve"> </w:t>
            </w:r>
            <m:oMath>
              <m:r>
                <m:rPr>
                  <m:sty m:val="p"/>
                </m:rPr>
                <m:t>exp</m:t>
              </m:r>
              <m:d>
                <m:dPr>
                  <m:begChr m:val="("/>
                  <m:endChr m:val=")"/>
                  <m:sepChr m:val=""/>
                  <m:grow/>
                </m:dPr>
                <m:e>
                  <m:r>
                    <m:rPr>
                      <m:sty m:val="p"/>
                    </m:rPr>
                    <m:t>−</m:t>
                  </m:r>
                  <m:r>
                    <m:t>M</m:t>
                  </m:r>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column a transformation)</w:t>
            </w:r>
          </w:p>
        </w:tc>
        <w:tc>
          <w:tcPr/>
          <w:p>
            <w:pPr>
              <w:pStyle w:val="Compact"/>
              <w:spacing w:line="240" w:lineRule="auto" w:after="40" w:before="40"/>
              <w:jc w:val="left"/>
            </w:pPr>
            <w:r>
              <w:rPr>
                <w:rFonts w:ascii="Times New Roman" w:hAnsi="Times New Roman" w:cs="Times New Roman" w:eastAsia="Times New Roman"/>
                <w:sz w:val="19"/>
              </w:rPr>
              <w:t xml:space="preserve">corrected-article assessment table (A014; DFO CSAS SAR 2016/026 Table A2, NCAM M-shift formulation)</w:t>
            </w:r>
          </w:p>
        </w:tc>
        <w:tc>
          <w:tcPr/>
          <w:p>
            <w:pPr>
              <w:pStyle w:val="Compact"/>
              <w:spacing w:line="240" w:lineRule="auto" w:after="40" w:before="40"/>
              <w:jc w:val="left"/>
            </w:pPr>
            <w:r>
              <w:rPr>
                <w:rFonts w:ascii="Times New Roman" w:hAnsi="Times New Roman" w:cs="Times New Roman" w:eastAsia="Times New Roman"/>
                <w:sz w:val="19"/>
              </w:rPr>
              <w:t xml:space="preserve">§6.3</w:t>
            </w:r>
          </w:p>
        </w:tc>
      </w:tr>
    </w:tbl>
    <w:p>
      <w:pPr>
        <w:pStyle w:val="BodyText"/>
        <w:spacing w:line="360" w:lineRule="auto" w:after="120"/>
        <w:ind w:firstLine="720"/>
        <w:jc w:val="both"/>
      </w:pPr>
      <w:r>
        <w:rPr>
          <w:rFonts w:ascii="Times New Roman" w:hAnsi="Times New Roman" w:cs="Times New Roman" w:eastAsia="Times New Roman"/>
          <w:sz w:val="24"/>
        </w:rPr>
        <w:t xml:space="preserve">No status is promoted anywhere in this inventory; the manuscript-native entries MS-Native-1 through MS-Native-6 are this article’s own statements of source-declared objects, results, and designs, and MS-Native-7 through MS-Native-10 restate source-declared content that carries no inventory row, all at the statuses declared above.</w:t>
      </w:r>
    </w:p>
    <w:bookmarkEnd w:id="73"/>
    <w:bookmarkStart w:id="74"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Alkire, S., and Foster, J. 2011. Counting and multidimensional poverty measurement.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Public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95: 476–487.</w:t>
      </w:r>
    </w:p>
    <w:p>
      <w:pPr>
        <w:pStyle w:val="BodyText"/>
        <w:spacing w:line="360" w:lineRule="auto" w:after="120"/>
        <w:ind w:left="720" w:hanging="720"/>
        <w:jc w:val="left"/>
      </w:pPr>
      <w:r>
        <w:rPr>
          <w:rFonts w:ascii="Times New Roman" w:hAnsi="Times New Roman" w:cs="Times New Roman" w:eastAsia="Times New Roman"/>
          <w:sz w:val="24"/>
        </w:rPr>
        <w:t xml:space="preserve">Ashwin, P., Wieczorek, S., Vitolo, R., and Cox, P. 2012. Tipping points in open systems: bifurcation, noise-induced and rate-dependent examples in the climate system.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Philosophical Transactions of the Royal Society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370: 1166–1184.</w:t>
      </w:r>
    </w:p>
    <w:p>
      <w:pPr>
        <w:pStyle w:val="BodyText"/>
        <w:spacing w:line="360" w:lineRule="auto" w:after="120"/>
        <w:ind w:left="720" w:hanging="720"/>
        <w:jc w:val="left"/>
      </w:pPr>
      <w:r>
        <w:rPr>
          <w:rFonts w:ascii="Times New Roman" w:hAnsi="Times New Roman" w:cs="Times New Roman" w:eastAsia="Times New Roman"/>
          <w:sz w:val="24"/>
        </w:rPr>
        <w:t xml:space="preserve">Aubin, J.-P. 1991.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w:t>
      </w:r>
      <w:r>
        <w:rPr>
          <w:rFonts w:ascii="Times New Roman" w:hAnsi="Times New Roman" w:cs="Times New Roman" w:eastAsia="Times New Roman"/>
          <w:sz w:val="24"/>
        </w:rPr>
        <w:t xml:space="preserve">.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Aubin, J.-P., Bayen, A. M., and Saint-Pierre, P.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 New Directions</w:t>
      </w:r>
      <w:r>
        <w:rPr>
          <w:rFonts w:ascii="Times New Roman" w:hAnsi="Times New Roman" w:cs="Times New Roman" w:eastAsia="Times New Roman"/>
          <w:sz w:val="24"/>
        </w:rPr>
        <w:t xml:space="preserve">. Second edition.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Benjamini, Y., and Hochberg, Y. 1995. Controlling the false discovery rate: a practical and powerful approach to multiple testing.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the Royal Statistical Society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57: 289–300.</w:t>
      </w:r>
    </w:p>
    <w:p>
      <w:pPr>
        <w:pStyle w:val="BodyText"/>
        <w:spacing w:line="360" w:lineRule="auto" w:after="120"/>
        <w:ind w:left="720" w:hanging="720"/>
        <w:jc w:val="left"/>
      </w:pPr>
      <w:r>
        <w:rPr>
          <w:rFonts w:ascii="Times New Roman" w:hAnsi="Times New Roman" w:cs="Times New Roman" w:eastAsia="Times New Roman"/>
          <w:sz w:val="24"/>
        </w:rPr>
        <w:t xml:space="preserve">Cadigan, N. G. 2016. A state-space stock assessment model for northern cod, including under-reported catches and variable natural mortality rates.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73: 296–308.</w:t>
      </w:r>
    </w:p>
    <w:p>
      <w:pPr>
        <w:pStyle w:val="BodyText"/>
        <w:spacing w:line="360" w:lineRule="auto" w:after="120"/>
        <w:ind w:left="720" w:hanging="720"/>
        <w:jc w:val="left"/>
      </w:pPr>
      <w:r>
        <w:rPr>
          <w:rFonts w:ascii="Times New Roman" w:hAnsi="Times New Roman" w:cs="Times New Roman" w:eastAsia="Times New Roman"/>
          <w:sz w:val="24"/>
        </w:rPr>
        <w:t xml:space="preserve">Cohen, J. 1988.</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Statistical Power Analysis for the Behavioral Sciences</w:t>
      </w:r>
      <w:r>
        <w:rPr>
          <w:rFonts w:ascii="Times New Roman" w:hAnsi="Times New Roman" w:cs="Times New Roman" w:eastAsia="Times New Roman"/>
          <w:sz w:val="24"/>
        </w:rPr>
        <w:t xml:space="preserve">. Second edition. Lawrence Erlbaum, Hillsdale, New Jersey.</w:t>
      </w:r>
    </w:p>
    <w:p>
      <w:pPr>
        <w:pStyle w:val="BodyText"/>
        <w:spacing w:line="360" w:lineRule="auto" w:after="120"/>
        <w:ind w:left="720" w:hanging="720"/>
        <w:jc w:val="left"/>
      </w:pPr>
      <w:r>
        <w:rPr>
          <w:rFonts w:ascii="Times New Roman" w:hAnsi="Times New Roman" w:cs="Times New Roman" w:eastAsia="Times New Roman"/>
          <w:sz w:val="24"/>
        </w:rPr>
        <w:t xml:space="preserve">Costantino, R. F., Cushing, J. M., Dennis, B., and Desharnais, R. A. 1995. Experimentally induced transitions in the dynamic behaviour of insect populations.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375: 227–230.</w:t>
      </w:r>
    </w:p>
    <w:p>
      <w:pPr>
        <w:pStyle w:val="BodyText"/>
        <w:spacing w:line="360" w:lineRule="auto" w:after="120"/>
        <w:ind w:left="720" w:hanging="720"/>
        <w:jc w:val="left"/>
      </w:pPr>
      <w:r>
        <w:rPr>
          <w:rFonts w:ascii="Times New Roman" w:hAnsi="Times New Roman" w:cs="Times New Roman" w:eastAsia="Times New Roman"/>
          <w:sz w:val="24"/>
        </w:rPr>
        <w:t xml:space="preserve">DFO. 2016. Stock Assessment of Northern cod (NAFO Divs. 2J3KL) in 2016.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Science Advisory Secretariat Science Advisory Report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2016/026.</w:t>
      </w:r>
    </w:p>
    <w:p>
      <w:pPr>
        <w:pStyle w:val="BodyText"/>
        <w:spacing w:line="360" w:lineRule="auto" w:after="120"/>
        <w:ind w:left="720" w:hanging="720"/>
        <w:jc w:val="left"/>
      </w:pPr>
      <w:r>
        <w:rPr>
          <w:rFonts w:ascii="Times New Roman" w:hAnsi="Times New Roman" w:cs="Times New Roman" w:eastAsia="Times New Roman"/>
          <w:sz w:val="24"/>
        </w:rPr>
        <w:t xml:space="preserve">DFO. 2022. Stock Assessment of Northern cod (NAFO Divs. 2J3KL) in 2022.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Science Advisory Secretariat Science Advisory Report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2022/041.</w:t>
      </w:r>
    </w:p>
    <w:p>
      <w:pPr>
        <w:pStyle w:val="BodyText"/>
        <w:spacing w:line="360" w:lineRule="auto" w:after="120"/>
        <w:ind w:left="720" w:hanging="720"/>
        <w:jc w:val="left"/>
      </w:pPr>
      <w:r>
        <w:rPr>
          <w:rFonts w:ascii="Times New Roman" w:hAnsi="Times New Roman" w:cs="Times New Roman" w:eastAsia="Times New Roman"/>
          <w:sz w:val="24"/>
        </w:rPr>
        <w:t xml:space="preserve">Forssell, U., and Ljung, L. 1999. Closed-loop identification revisited.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Automatica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 1215–1241.</w:t>
      </w:r>
    </w:p>
    <w:p>
      <w:pPr>
        <w:pStyle w:val="BodyText"/>
        <w:spacing w:line="360" w:lineRule="auto" w:after="120"/>
        <w:ind w:left="720" w:hanging="720"/>
        <w:jc w:val="left"/>
      </w:pPr>
      <w:r>
        <w:rPr>
          <w:rFonts w:ascii="Times New Roman" w:hAnsi="Times New Roman" w:cs="Times New Roman" w:eastAsia="Times New Roman"/>
          <w:sz w:val="24"/>
        </w:rPr>
        <w:t xml:space="preserve">Gurney, W. S. C., Blythe, S. P., and Nisbet, R. M. 1980. Nicholson’s blowflies revisited.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287: 17–21.</w:t>
      </w:r>
    </w:p>
    <w:p>
      <w:pPr>
        <w:pStyle w:val="BodyText"/>
        <w:spacing w:line="360" w:lineRule="auto" w:after="120"/>
        <w:ind w:left="720" w:hanging="720"/>
        <w:jc w:val="left"/>
      </w:pPr>
      <w:r>
        <w:rPr>
          <w:rFonts w:ascii="Times New Roman" w:hAnsi="Times New Roman" w:cs="Times New Roman" w:eastAsia="Times New Roman"/>
          <w:sz w:val="24"/>
        </w:rPr>
        <w:t xml:space="preserve">Hutchings, J. A., and Myers, R. A. 1994. What can be learned from the collapse of a renewable resource? Atlantic cod,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Gadus morhua</w:t>
      </w:r>
      <w:r>
        <w:rPr>
          <w:rFonts w:ascii="Times New Roman" w:hAnsi="Times New Roman" w:cs="Times New Roman" w:eastAsia="Times New Roman"/>
          <w:sz w:val="24"/>
        </w:rPr>
        <w:t xml:space="preserve">, of Newfoundland and Labrador.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51(Suppl. 1): 2126–2146.</w:t>
      </w:r>
    </w:p>
    <w:p>
      <w:pPr>
        <w:pStyle w:val="BodyText"/>
        <w:spacing w:line="360" w:lineRule="auto" w:after="120"/>
        <w:ind w:left="720" w:hanging="720"/>
        <w:jc w:val="left"/>
      </w:pPr>
      <w:r>
        <w:rPr>
          <w:rFonts w:ascii="Times New Roman" w:hAnsi="Times New Roman" w:cs="Times New Roman" w:eastAsia="Times New Roman"/>
          <w:sz w:val="24"/>
        </w:rPr>
        <w:t xml:space="preserve">Lomb, N. R. 1976. Least-squares frequency analysis of unequally spaced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Astrophysics and Space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447–462.</w:t>
      </w:r>
    </w:p>
    <w:p>
      <w:pPr>
        <w:pStyle w:val="BodyText"/>
        <w:spacing w:line="360" w:lineRule="auto" w:after="120"/>
        <w:ind w:left="720" w:hanging="720"/>
        <w:jc w:val="left"/>
      </w:pPr>
      <w:r>
        <w:rPr>
          <w:rFonts w:ascii="Times New Roman" w:hAnsi="Times New Roman" w:cs="Times New Roman" w:eastAsia="Times New Roman"/>
          <w:sz w:val="24"/>
        </w:rPr>
        <w:t xml:space="preserve">Moxnes, E. 1998. Not only the tragedy of the commons: misperceptions of bioeconomics.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Management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44: 1234–1248.</w:t>
      </w:r>
    </w:p>
    <w:p>
      <w:pPr>
        <w:pStyle w:val="BodyText"/>
        <w:spacing w:line="360" w:lineRule="auto" w:after="120"/>
        <w:ind w:left="720" w:hanging="720"/>
        <w:jc w:val="left"/>
      </w:pPr>
      <w:r>
        <w:rPr>
          <w:rFonts w:ascii="Times New Roman" w:hAnsi="Times New Roman" w:cs="Times New Roman" w:eastAsia="Times New Roman"/>
          <w:sz w:val="24"/>
        </w:rPr>
        <w:t xml:space="preserve">Nešić, D., and Teel, A. R. 2004. A framework for stabilization of nonlinear sampled-data systems based on their approximate discrete-time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Automatic Control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49: 1103–1122.</w:t>
      </w:r>
    </w:p>
    <w:p>
      <w:pPr>
        <w:pStyle w:val="BodyText"/>
        <w:spacing w:line="360" w:lineRule="auto" w:after="120"/>
        <w:ind w:left="720" w:hanging="720"/>
        <w:jc w:val="left"/>
      </w:pPr>
      <w:r>
        <w:rPr>
          <w:rFonts w:ascii="Times New Roman" w:hAnsi="Times New Roman" w:cs="Times New Roman" w:eastAsia="Times New Roman"/>
          <w:sz w:val="24"/>
        </w:rPr>
        <w:t xml:space="preserve">Punt, A. E., and Donovan, G. P. 2007. Developing management procedures that are robust to uncertainty: lessons from the International Whaling Commission.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ICES Journal of Marine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64: 603–612.</w:t>
      </w:r>
    </w:p>
    <w:p>
      <w:pPr>
        <w:pStyle w:val="BodyText"/>
        <w:spacing w:line="360" w:lineRule="auto" w:after="120"/>
        <w:ind w:left="720" w:hanging="720"/>
        <w:jc w:val="left"/>
      </w:pPr>
      <w:r>
        <w:rPr>
          <w:rFonts w:ascii="Times New Roman" w:hAnsi="Times New Roman" w:cs="Times New Roman" w:eastAsia="Times New Roman"/>
          <w:sz w:val="24"/>
        </w:rPr>
        <w:t xml:space="preserve">Ricard, D., Minto, C., Jensen, O. P., and Baum, J. K. 2012. Examining the knowledge base and status of commercially exploited marine species with the RAM Legacy Stock Assessment Database.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Fish and Fisheries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13: 380–398.</w:t>
      </w:r>
    </w:p>
    <w:p>
      <w:pPr>
        <w:pStyle w:val="BodyText"/>
        <w:spacing w:line="360" w:lineRule="auto" w:after="120"/>
        <w:ind w:left="720" w:hanging="720"/>
        <w:jc w:val="left"/>
      </w:pPr>
      <w:r>
        <w:rPr>
          <w:rFonts w:ascii="Times New Roman" w:hAnsi="Times New Roman" w:cs="Times New Roman" w:eastAsia="Times New Roman"/>
          <w:sz w:val="24"/>
        </w:rPr>
        <w:t xml:space="preserve">Scargle, J. D. 1982. Studies in astronomical time series analysis. II. Statistical aspects of spectral analysis of unevenly spaced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Astrophysical Journal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263: 835–853.</w:t>
      </w:r>
    </w:p>
    <w:p>
      <w:pPr>
        <w:pStyle w:val="BodyText"/>
        <w:spacing w:line="360" w:lineRule="auto" w:after="120"/>
        <w:ind w:left="720" w:hanging="720"/>
        <w:jc w:val="left"/>
      </w:pPr>
      <w:r>
        <w:rPr>
          <w:rFonts w:ascii="Times New Roman" w:hAnsi="Times New Roman" w:cs="Times New Roman" w:eastAsia="Times New Roman"/>
          <w:sz w:val="24"/>
        </w:rPr>
        <w:t xml:space="preserve">Shelton, P. A., and Healey, B. P. 1999. Should depensation be dismissed as a possible explanation for the lack of recovery of the northern cod (</w:t>
      </w:r>
      <w:r>
        <w:rPr>
          <w:rFonts w:ascii="Times New Roman" w:hAnsi="Times New Roman" w:cs="Times New Roman" w:eastAsia="Times New Roman"/>
          <w:i/>
          <w:iCs/>
          <w:sz w:val="24"/>
        </w:rPr>
        <w:t xml:space="preserve">Gadus morhua</w:t>
      </w:r>
      <w:r>
        <w:rPr>
          <w:rFonts w:ascii="Times New Roman" w:hAnsi="Times New Roman" w:cs="Times New Roman" w:eastAsia="Times New Roman"/>
          <w:sz w:val="24"/>
        </w:rPr>
        <w:t xml:space="preserve">) stock?</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56: 1521–1524.</w:t>
      </w:r>
    </w:p>
    <w:p>
      <w:pPr>
        <w:pStyle w:val="BodyText"/>
        <w:spacing w:line="360" w:lineRule="auto" w:after="120"/>
        <w:ind w:left="720" w:hanging="720"/>
        <w:jc w:val="left"/>
      </w:pPr>
      <w:r>
        <w:rPr>
          <w:rFonts w:ascii="Times New Roman" w:hAnsi="Times New Roman" w:cs="Times New Roman" w:eastAsia="Times New Roman"/>
          <w:sz w:val="24"/>
        </w:rPr>
        <w:t xml:space="preserve">Statistics Canada. Tables 38-10-0167-01 and 38-10-0168-01, CANSIM database. Statistics Canada, Ottawa.</w:t>
      </w:r>
    </w:p>
    <w:p>
      <w:pPr>
        <w:pStyle w:val="BodyText"/>
        <w:spacing w:line="360" w:lineRule="auto" w:after="120"/>
        <w:ind w:left="720" w:hanging="720"/>
        <w:jc w:val="left"/>
      </w:pPr>
      <w:r>
        <w:rPr>
          <w:rFonts w:ascii="Times New Roman" w:hAnsi="Times New Roman" w:cs="Times New Roman" w:eastAsia="Times New Roman"/>
          <w:sz w:val="24"/>
        </w:rPr>
        <w:t xml:space="preserve">Tam, J. C., and Bundy, A. 2019. Mass-balance models of the Newfoundland and Labrador Shelf ecosystem for 1985–1987 and 2013–2015.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Technical Report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3328.</w:t>
      </w:r>
    </w:p>
    <w:p>
      <w:pPr>
        <w:pStyle w:val="BodyText"/>
        <w:spacing w:line="360" w:lineRule="auto" w:after="120"/>
        <w:ind w:left="720" w:hanging="720"/>
        <w:jc w:val="left"/>
      </w:pPr>
      <w:r>
        <w:rPr>
          <w:rFonts w:ascii="Times New Roman" w:hAnsi="Times New Roman" w:cs="Times New Roman" w:eastAsia="Times New Roman"/>
          <w:sz w:val="24"/>
        </w:rPr>
        <w:t xml:space="preserve">Tarski, A. 1955. A lattice-theoretical fixpoint theorem and its applications.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Pacific Journal of Mathematics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285–309.</w:t>
      </w:r>
    </w:p>
    <w:p>
      <w:pPr>
        <w:pStyle w:val="BodyText"/>
        <w:spacing w:line="360" w:lineRule="auto" w:after="120"/>
        <w:ind w:left="720" w:hanging="720"/>
        <w:jc w:val="left"/>
      </w:pPr>
      <w:r>
        <w:rPr>
          <w:rFonts w:ascii="Times New Roman" w:hAnsi="Times New Roman" w:cs="Times New Roman" w:eastAsia="Times New Roman"/>
          <w:sz w:val="24"/>
        </w:rPr>
        <w:t xml:space="preserve">Walters, C., and Maguire, J.-J. 1996. Lessons for stock assessment from the northern cod collapse.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in Fish Biology and Fisheries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 125–137.</w:t>
      </w:r>
    </w:p>
    <w:p>
      <w:pPr>
        <w:pStyle w:val="BodyText"/>
        <w:spacing w:line="360" w:lineRule="auto" w:after="120"/>
        <w:ind w:left="720" w:hanging="720"/>
        <w:jc w:val="left"/>
      </w:pPr>
      <w:r>
        <w:rPr>
          <w:rFonts w:ascii="Times New Roman" w:hAnsi="Times New Roman" w:cs="Times New Roman" w:eastAsia="Times New Roman"/>
          <w:sz w:val="24"/>
        </w:rPr>
        <w:t xml:space="preserve">World Bank. Poverty and Inequality Platform. World Bank, Washington, D.C.</w:t>
      </w:r>
    </w:p>
    <w:p>
      <w:pPr>
        <w:pStyle w:val="BodyText"/>
        <w:spacing w:line="360" w:lineRule="auto" w:after="120"/>
        <w:ind w:left="720" w:hanging="720"/>
        <w:jc w:val="left"/>
      </w:pPr>
      <w:r>
        <w:rPr>
          <w:rFonts w:ascii="Times New Roman" w:hAnsi="Times New Roman" w:cs="Times New Roman" w:eastAsia="Times New Roman"/>
          <w:sz w:val="24"/>
        </w:rPr>
        <w:t xml:space="preserve">Programme sources. The statement-inventory provenance record — the source-to-canonical inventory linking every inventory-identified statement to its source location, canonical module, mapping type, evidence status, and destination, with the 57 rows of Appendix A content-verified — is maintained in the research programme’s repository; the ten source manuscripts behind the retained set were each read in full by the dated scientific passes recorded there, as listed in §10 (Provenance).</w:t>
      </w:r>
    </w:p>
    <w:bookmarkEnd w:id="74"/>
    <w:bookmarkStart w:id="75"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left="720" w:hanging="720"/>
        <w:jc w:val="left"/>
      </w:pPr>
      <w:r>
        <w:rPr>
          <w:rFonts w:ascii="Times New Roman" w:hAnsi="Times New Roman" w:cs="Times New Roman" w:eastAsia="Times New Roman"/>
          <w:sz w:val="24"/>
        </w:rPr>
        <w:t xml:space="preserve">The screen’s input layer is the RAM Legacy Stock Assessment Database v4.66 (Ricard et al. 2012); the cohort is defined by the annual-review eligibility screen stated in §5.3, and the RAM stock identifiers and the annual-review eligibility table are a declared registration requirement not yet attached. The cod case’s assessment values are the reported estimates of DFO CSAS SAR 2016/026, Table A2 (NCAM M-shift formulation; the state-space assessment model of Cadigan 2016); the social-data inputs are Statistics Canada Tables 38-10-0167-01 and 38-10-0168-01; the ecosystem context is the mass-balance record of Tam and Bundy (2019); the distributive instruments are the global Multidimensional Poverty Index (OPHI/UNDP releases) and the World Bank Poverty and Inequality Platform, each with release and vintage locks as declared in §8.3. The screen itself is described in full reproducible detail in the manuscript — eligibility screen, detrending rule, Lomb–Scargle periodogram (Lomb 1976; Scargle 1982), predeclared power bands (4–8 yr biomass, 12–60 yr effort), per-series AR(1) red-noise null, Benjamini–Hochberg false-discovery-rate control, and the robustness criteria a peak must survive — so that the analysis can be reimplemented from the text. The code and machine outputs of the periodic-review computations are, however, not committed, and the retrospective computational and data results remain unreproduced: the initial histories and solver configuration, the processed series and spectral routines, the power-simulation code and seeds, and the case-screening table and query log are declared registration requirements not discharged, and the constrained-M reproduction package and the community-level social-data pipelines remain on the open-problem docket. Computational claims in this research programme carry a declared certification hierarchy (nominal result; re-execution-verified; independently re-executed; certified interval or rigorous arithmetic), stated per claim and never implied; nothing in this article reaches beyond the nominal tier.</w:t>
      </w:r>
    </w:p>
    <w:bookmarkEnd w:id="75"/>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Sampled governance and falsification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2026-08-29T20:50:47Z</dcterms:created>
  <dcterms:modified xsi:type="dcterms:W3CDTF">2026-08-29T20:50:47Z</dcterms:modified>
</cp:coreProperties>
</file>

<file path=docProps/custom.xml><?xml version="1.0" encoding="utf-8"?>
<Properties xmlns="http://schemas.openxmlformats.org/officeDocument/2006/custom-properties" xmlns:vt="http://schemas.openxmlformats.org/officeDocument/2006/docPropsVTypes"/>
</file>