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Does a surplus-production ladder improve forecasts of Northern cod? A scored test on NAFO 2J3KL</w:t>
      </w:r>
    </w:p>
    <w:p>
      <w:pPr>
        <w:spacing w:after="120" w:before="0" w:line="240" w:lineRule="auto"/>
        <w:jc w:val="center"/>
      </w:pPr>
      <w:r>
        <w:rPr>
          <w:rFonts w:ascii="Times New Roman" w:hAnsi="Times New Roman" w:cs="Times New Roman" w:eastAsia="Times New Roman"/>
          <w:b w:val="0"/>
          <w:i/>
          <w:sz w:val="24"/>
        </w:rPr>
        <w:t>Research article (empirical forecast evaluation)</w:t>
      </w:r>
    </w:p>
    <w:p>
      <w:pPr>
        <w:spacing w:after="600" w:before="0" w:line="240" w:lineRule="auto"/>
        <w:jc w:val="center"/>
      </w:pPr>
      <w:r>
        <w:rPr>
          <w:rFonts w:ascii="Times New Roman" w:hAnsi="Times New Roman" w:cs="Times New Roman" w:eastAsia="Times New Roman"/>
          <w:b w:val="0"/>
          <w:i w:val="0"/>
          <w:sz w:val="24"/>
        </w:rPr>
        <w:t>Prepared for submission to Fisheries Research</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A preregistered, scored model-ablation test on the NAFO 2J3KL Northern cod series finds that no structural surplus-production module beats last-value persistence on out-of-sample RMSE, yielding negative certificates on both assessed specifications.</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viability; forecast evaluation; Northern cod; surplus production; model ablation; persistence</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This evaluation follows a preregistered retention rule: additional model structure is retained only when it improves early warning, out-of-sample prediction, or intervention selection. This paper applies that test to Northern cod in NAFO divisions 2J3KL.</w:t>
      </w:r>
    </w:p>
    <w:p>
      <w:pPr>
        <w:pStyle w:val="BodyText"/>
        <w:spacing w:line="360" w:lineRule="auto" w:after="120"/>
        <w:ind w:firstLine="720"/>
        <w:jc w:val="both"/>
      </w:pPr>
      <w:r>
        <w:rPr>
          <w:rFonts w:ascii="Times New Roman" w:hAnsi="Times New Roman" w:cs="Times New Roman" w:eastAsia="Times New Roman"/>
          <w:sz w:val="24"/>
        </w:rPr>
        <w:t xml:space="preserve">The primary predictand is the NCAM</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-shift spawning-stock biomass (SSB) series of DFO (2016, Table A2) — NCAM being the state-space assessment model of Cadigan (2016) — 1983–2015. The 2016 limit reference point (LRP) is the 1983–1989 mean SSB, 884.6 kt. Nested surplus-production models and two naive baselines issue fixed-window and rolling-origin forecasts. Catch enters first as a coarse regime (240 / 120 / 5 kt) and then as year-by-year landings (Schijns et al. 2021). NCAM fishing mortality and natural mortality are joint assessment outputs and are not used as exogenous drivers.</w:t>
      </w:r>
    </w:p>
    <w:p>
      <w:pPr>
        <w:pStyle w:val="BodyText"/>
        <w:spacing w:line="360" w:lineRule="auto" w:after="120"/>
        <w:ind w:firstLine="720"/>
        <w:jc w:val="both"/>
      </w:pPr>
      <w:r>
        <w:rPr>
          <w:rFonts w:ascii="Times New Roman" w:hAnsi="Times New Roman" w:cs="Times New Roman" w:eastAsia="Times New Roman"/>
          <w:sz w:val="24"/>
        </w:rPr>
        <w:t xml:space="preserve">No structural model has lower primary RMSE than last-value persistence. One-year rolling RMSE is 98 kt for persistence and 115–196 kt for the surplus-production ladder under the coarse catch regime (115–206 kt across both catch treatments). Year-by-year landings do not change the ranking (stock-flow RMSE 160 kt). Five-year RMSE is 265 kt versus 289–488 kt. The collapse window (train 1983–1990, test 1991–1995) is missed by every model (RMSE 694–819 kt): a constant-productivity surplus model with a 1992 catch drop cannot produce the observed crash. An AR residual and a one-year information delay do not reduce that error; the delay raises it. On the recovery window the autonomous Allee fit has the lowest structural RMSE (90 kt) but is unidentified (</w:t>
      </w:r>
      <m:oMath>
        <m:r>
          <m:t>s</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pinned).</w:t>
      </w:r>
    </w:p>
    <w:p>
      <w:pPr>
        <w:pStyle w:val="BodyText"/>
        <w:spacing w:line="360" w:lineRule="auto" w:after="120"/>
        <w:ind w:firstLine="720"/>
        <w:jc w:val="both"/>
      </w:pPr>
      <w:r>
        <w:rPr>
          <w:rFonts w:ascii="Times New Roman" w:hAnsi="Times New Roman" w:cs="Times New Roman" w:eastAsia="Times New Roman"/>
          <w:sz w:val="24"/>
        </w:rPr>
        <w:t xml:space="preserve">The evaluation therefore yields a negative certificate — a machine-verified finding of non-retention or certified non-existence, distinct from a statistical null result — on this stock rather than a forecast gain: (i) the autonomous surplus-production model (the Schaefer-class scalar model), at its corrected status, is incompatible with the observed path; (ii) catch-regime stock-flow is not sufficient for collapse; (iii) extra modules that are not identified on the training window increase error. The same retention rule holds on a second, unpooled specification (xteNCAM, 1954–2024, LRP 276 kt): persist one-year RMSE 88 kt versus 120 kt for the autonomous Schaefer model. Capelin-informed productivity, using a 1991 regime break or the tabulated acoustic index without interpolation across 1991, is not retained on the primary score. The series are not mixed.</w:t>
      </w:r>
    </w:p>
    <w:bookmarkEnd w:id="20"/>
    <w:bookmarkStart w:id="21"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p>
      <w:pPr>
        <w:pStyle w:val="FirstParagraph"/>
        <w:spacing w:line="360" w:lineRule="auto" w:after="120"/>
        <w:ind w:firstLine="720"/>
        <w:jc w:val="both"/>
      </w:pPr>
      <w:r>
        <w:rPr>
          <w:rFonts w:ascii="Times New Roman" w:hAnsi="Times New Roman" w:cs="Times New Roman" w:eastAsia="Times New Roman"/>
          <w:sz w:val="24"/>
        </w:rPr>
        <w:t xml:space="preserve">Fisheries assessment builds structure by default: state-space age-structured assessments, surplus-production (Schaefer-class) models, and ecosystem-linked extensions each add parameters, state variables, or couplings in the hope of better advice. Whether that structure improves out-of-sample forecasts — as opposed to in-sample fit — is a separate, testable question, and on it the burden of proof sits with the added structure. Northern cod (Gadus morhua) in NAFO divisions 2J3KL is the canonical demanding case. The late-1980s and early-1990s collapse — a spawning stock falling from a high, weakly trending phase to a few percent of its 1980s mean — occurred under an assessment and management regime whose failures were dissected in the canonical post-mortems (Hutchings and Myers 1994; Walters and Maguire 1996), and the three-decade non-recovery that followed the July 1992 moratorium has kept the depensation question open (Shelton and Healey 1999). Any model family proposed for this stock must therefore first clear a minimal bar: it must at least beat the forecast that nothing changes.</w:t>
      </w:r>
    </w:p>
    <w:p>
      <w:pPr>
        <w:pStyle w:val="BodyText"/>
        <w:spacing w:line="360" w:lineRule="auto" w:after="120"/>
        <w:ind w:firstLine="720"/>
        <w:jc w:val="both"/>
      </w:pPr>
      <w:r>
        <w:rPr>
          <w:rFonts w:ascii="Times New Roman" w:hAnsi="Times New Roman" w:cs="Times New Roman" w:eastAsia="Times New Roman"/>
          <w:sz w:val="24"/>
        </w:rPr>
        <w:t xml:space="preserve">This evaluation follows a preregistered retention rule: additional model structure is retained only when it improves early warning, out-of-sample prediction, or intervention selection. The instrument is a scored model-ablation framework — a ladder of nested surplus-production models evaluated against two naive baselines. The ladder is output-only, stock-and-flow, residual, then delay and observation. A module is kept only if it improves a preregistered score. This paper is that empirical evaluation.</w:t>
      </w:r>
    </w:p>
    <w:p>
      <w:pPr>
        <w:pStyle w:val="BodyText"/>
        <w:spacing w:line="360" w:lineRule="auto" w:after="120"/>
        <w:ind w:firstLine="720"/>
        <w:jc w:val="both"/>
      </w:pPr>
      <w:r>
        <w:rPr>
          <w:rFonts w:ascii="Times New Roman" w:hAnsi="Times New Roman" w:cs="Times New Roman" w:eastAsia="Times New Roman"/>
          <w:sz w:val="24"/>
        </w:rPr>
        <w:t xml:space="preserve">It asks whether stock-flow, residual, delay, or prey-informed modules reduce SSB forecast error relative to last-value persistence and to the autonomous surplus-production model (the Schaefer-class scalar model) at its corrected status. The scope is deliberately narrow: this paper does not estimate an Allee threshold, identify the cause of the 1990s collapse, or evaluate whether the 1992 moratorium was adequate.</w:t>
      </w:r>
    </w:p>
    <w:p>
      <w:pPr>
        <w:pStyle w:val="BodyText"/>
        <w:spacing w:line="360" w:lineRule="auto" w:after="120"/>
        <w:ind w:firstLine="720"/>
        <w:jc w:val="both"/>
      </w:pPr>
      <w:r>
        <w:rPr>
          <w:rFonts w:ascii="Times New Roman" w:hAnsi="Times New Roman" w:cs="Times New Roman" w:eastAsia="Times New Roman"/>
          <w:sz w:val="24"/>
        </w:rPr>
        <w:t xml:space="preserve">We selected the Northern cod stock in NAFO divisions 2J3KL because of its data availability (a full state-space assessment series), its policy relevance, and the sharpness of its collapse-and-non-recovery trajectory. A companion study under separate review applies the same scored design to a groundwater system (the Edwards Aquifer, Texas); the two systems’ series are never pooled, and no retention verdict is transferred between them.</w:t>
      </w:r>
    </w:p>
    <w:p>
      <w:pPr>
        <w:pStyle w:val="BodyText"/>
        <w:spacing w:line="360" w:lineRule="auto" w:after="120"/>
        <w:ind w:firstLine="720"/>
        <w:jc w:val="both"/>
      </w:pPr>
      <w:r>
        <w:rPr>
          <w:rFonts w:ascii="Times New Roman" w:hAnsi="Times New Roman" w:cs="Times New Roman" w:eastAsia="Times New Roman"/>
          <w:sz w:val="24"/>
        </w:rPr>
        <w:t xml:space="preserve">The remainder of this article is organized as follows. Section 2 states the data and the two assessment specifications. Section 3 defines the surplus-production family, the model ladder, and the catch treatments. Section 4 states the evaluation design — windows, rolling origin, scores, and the retention rule. Section 5 reports the results: the primary specification (Section 5.1), annual landings and the survey-start variant (Section 5.2), the alternative assessment specification (Section 5.3), and prey-informed productivity (Section 5.4). Section 6 discusses the findings, the identification limits, and the freeze-discipline record, and Section 7 concludes. Data and code availability and the references close the paper.</w:t>
      </w:r>
    </w:p>
    <w:bookmarkEnd w:id="21"/>
    <w:bookmarkStart w:id="22" w:name="data-and-specifications"/>
    <w:p>
      <w:pPr>
        <w:pStyle w:val="Heading1"/>
        <w:spacing w:before="360" w:after="120" w:line="360" w:lineRule="auto"/>
        <w:ind w:firstLine="0" w:left="0"/>
        <w:jc w:val="left"/>
      </w:pPr>
      <w:r>
        <w:rPr>
          <w:rFonts w:ascii="Times New Roman" w:hAnsi="Times New Roman" w:cs="Times New Roman" w:eastAsia="Times New Roman"/>
          <w:b/>
          <w:sz w:val="28"/>
        </w:rPr>
        <w:t xml:space="preserve">2. Data and specifications</w:t>
      </w:r>
    </w:p>
    <w:p>
      <w:pPr>
        <w:pStyle w:val="FirstParagraph"/>
        <w:spacing w:line="360" w:lineRule="auto" w:after="120"/>
        <w:ind w:firstLine="720"/>
        <w:jc w:val="both"/>
      </w:pPr>
      <w:r>
        <w:rPr>
          <w:rFonts w:ascii="Times New Roman" w:hAnsi="Times New Roman" w:cs="Times New Roman" w:eastAsia="Times New Roman"/>
          <w:sz w:val="24"/>
        </w:rPr>
        <w:t xml:space="preserve">The specification tables type each field as follows: D, data; E, empirical construct; M, model; N, normative threshold.</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Primary specification — Specification A (</w:t>
      </w:r>
      <m:oMath>
        <m:sSub>
          <m:e>
            <m:r>
              <m:t>Ω</m:t>
            </m:r>
          </m:e>
          <m:sub>
            <m:r>
              <m:t>2016</m:t>
            </m:r>
          </m:sub>
        </m:sSub>
      </m:oMath>
      <w:r>
        <w:rPr>
          <w:rFonts w:ascii="Times New Roman" w:hAnsi="Times New Roman" w:cs="Times New Roman" w:eastAsia="Times New Roman"/>
          <w:sz w:val="20"/>
        </w:rPr>
        <w:t xml:space="preserve">: the 1983–2015 NCAM</w:t>
      </w:r>
      <w:r>
        <w:rPr>
          <w:rFonts w:ascii="Times New Roman" w:hAnsi="Times New Roman" w:cs="Times New Roman" w:eastAsia="Times New Roman"/>
          <w:sz w:val="20"/>
        </w:rPr>
        <w:t xml:space="preserve"> </w:t>
      </w:r>
      <m:oMath>
        <m:r>
          <m:t>M</m:t>
        </m:r>
      </m:oMath>
      <w:r>
        <w:rPr>
          <w:rFonts w:ascii="Times New Roman" w:hAnsi="Times New Roman" w:cs="Times New Roman" w:eastAsia="Times New Roman"/>
          <w:sz w:val="20"/>
        </w:rPr>
        <w:t xml:space="preserve">-shift SSB series of DFO 2016, Table A2).</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Field</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Contents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Type</w:t>
            </w:r>
          </w:p>
        </w:tc>
      </w:tr>
      <w:tr>
        <w:tc>
          <w:tcPr/>
          <w:p>
            <w:pPr>
              <w:pStyle w:val="Compact"/>
              <w:spacing w:line="240" w:lineRule="auto" w:after="40" w:before="40"/>
              <w:jc w:val="left"/>
            </w:pPr>
            <w:r>
              <w:rPr>
                <w:rFonts w:ascii="Times New Roman" w:hAnsi="Times New Roman" w:cs="Times New Roman" w:eastAsia="Times New Roman"/>
                <w:sz w:val="19"/>
              </w:rPr>
              <w:t xml:space="preserve">System</w:t>
            </w:r>
          </w:p>
        </w:tc>
        <w:tc>
          <w:tcPr/>
          <w:p>
            <w:pPr>
              <w:pStyle w:val="Compact"/>
              <w:spacing w:line="240" w:lineRule="auto" w:after="40" w:before="40"/>
              <w:jc w:val="left"/>
            </w:pPr>
            <w:r>
              <w:rPr>
                <w:rFonts w:ascii="Times New Roman" w:hAnsi="Times New Roman" w:cs="Times New Roman" w:eastAsia="Times New Roman"/>
                <w:sz w:val="19"/>
              </w:rPr>
              <w:t xml:space="preserve">Northern cod, NAFO 2J3KL, as represented by NCAM</w:t>
            </w:r>
            <w:r>
              <w:rPr>
                <w:rFonts w:ascii="Times New Roman" w:hAnsi="Times New Roman" w:cs="Times New Roman" w:eastAsia="Times New Roman"/>
                <w:sz w:val="19"/>
              </w:rPr>
              <w:t xml:space="preserve"> </w:t>
            </w:r>
            <m:oMath>
              <m:r>
                <m:t>M</m:t>
              </m:r>
            </m:oMath>
            <w:r>
              <w:rPr>
                <w:rFonts w:ascii="Times New Roman" w:hAnsi="Times New Roman" w:cs="Times New Roman" w:eastAsia="Times New Roman"/>
                <w:sz w:val="19"/>
              </w:rPr>
              <w:t xml:space="preserve">-shift SSB</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w:r>
              <w:rPr>
                <w:rFonts w:ascii="Times New Roman" w:hAnsi="Times New Roman" w:cs="Times New Roman" w:eastAsia="Times New Roman"/>
                <w:sz w:val="19"/>
              </w:rPr>
              <w:t xml:space="preserve">Interest</w:t>
            </w:r>
          </w:p>
        </w:tc>
        <w:tc>
          <w:tcPr/>
          <w:p>
            <w:pPr>
              <w:pStyle w:val="Compact"/>
              <w:spacing w:line="240" w:lineRule="auto" w:after="40" w:before="40"/>
              <w:jc w:val="left"/>
            </w:pPr>
            <w:r>
              <w:rPr>
                <w:rFonts w:ascii="Times New Roman" w:hAnsi="Times New Roman" w:cs="Times New Roman" w:eastAsia="Times New Roman"/>
                <w:sz w:val="19"/>
              </w:rPr>
              <w:t xml:space="preserve">Continuity of a spawning stock on the 2016 precautionary-approach cautious or healthy side of the 2016 LRP</w:t>
            </w:r>
          </w:p>
        </w:tc>
        <w:tc>
          <w:tcPr/>
          <w:p>
            <w:pPr>
              <w:pStyle w:val="Compact"/>
              <w:spacing w:line="240" w:lineRule="auto" w:after="40" w:before="40"/>
              <w:jc w:val="left"/>
            </w:pPr>
            <w:r>
              <w:rPr>
                <w:rFonts w:ascii="Times New Roman" w:hAnsi="Times New Roman" w:cs="Times New Roman" w:eastAsia="Times New Roman"/>
                <w:sz w:val="19"/>
              </w:rPr>
              <w:t xml:space="preserve">N</w:t>
            </w:r>
          </w:p>
        </w:tc>
      </w:tr>
      <w:tr>
        <w:tc>
          <w:tcPr/>
          <w:p>
            <w:pPr>
              <w:pStyle w:val="Compact"/>
              <w:spacing w:line="240" w:lineRule="auto" w:after="40" w:before="40"/>
              <w:jc w:val="left"/>
            </w:pPr>
            <w:r>
              <w:rPr>
                <w:rFonts w:ascii="Times New Roman" w:hAnsi="Times New Roman" w:cs="Times New Roman" w:eastAsia="Times New Roman"/>
                <w:sz w:val="19"/>
              </w:rPr>
              <w:t xml:space="preserve">Domain</w:t>
            </w:r>
          </w:p>
        </w:tc>
        <w:tc>
          <w:tcPr/>
          <w:p>
            <w:pPr>
              <w:pStyle w:val="Compact"/>
              <w:spacing w:line="240" w:lineRule="auto" w:after="40" w:before="40"/>
              <w:jc w:val="left"/>
            </w:pPr>
            <w:r>
              <w:rPr>
                <w:rFonts w:ascii="Times New Roman" w:hAnsi="Times New Roman" w:cs="Times New Roman" w:eastAsia="Times New Roman"/>
                <w:sz w:val="19"/>
              </w:rPr>
              <w:t xml:space="preserve">Stock area in DFO (2016) Figure 1; calendar years 1983–2015</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m:oMath>
              <m:sSup>
                <m:e>
                  <m:r>
                    <m:t>K</m:t>
                  </m:r>
                </m:e>
                <m:sup>
                  <m:r>
                    <m:rPr>
                      <m:sty m:val="p"/>
                    </m:rPr>
                    <m:t>*</m:t>
                  </m:r>
                </m:sup>
              </m:sSup>
            </m:oMath>
          </w:p>
        </w:tc>
        <w:tc>
          <w:tcPr/>
          <w:p>
            <w:pPr>
              <w:pStyle w:val="Compact"/>
              <w:spacing w:line="240" w:lineRule="auto" w:after="40" w:before="40"/>
              <w:jc w:val="left"/>
            </w:pPr>
            <m:oMath>
              <m:sSub>
                <m:e>
                  <m:r>
                    <m:t>S</m:t>
                  </m:r>
                </m:e>
                <m:sub>
                  <m:r>
                    <m:t>t</m:t>
                  </m:r>
                </m:sub>
              </m:sSub>
              <m:r>
                <m:rPr>
                  <m:sty m:val="p"/>
                </m:rPr>
                <m:t>≥</m:t>
              </m:r>
              <m:r>
                <m:rPr>
                  <m:sty m:val="p"/>
                </m:rPr>
                <m:t>L</m:t>
              </m:r>
              <m:r>
                <m:rPr>
                  <m:sty m:val="p"/>
                </m:rPr>
                <m:t>R</m:t>
              </m:r>
              <m:r>
                <m:rPr>
                  <m:sty m:val="p"/>
                </m:rPr>
                <m:t>P</m:t>
              </m:r>
              <m:r>
                <m:rPr>
                  <m:sty m:val="p"/>
                </m:rPr>
                <m:t>=</m:t>
              </m:r>
              <m:r>
                <m:t>884.6</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kt (1983–1989 mean of Table A2)</w:t>
            </w:r>
          </w:p>
        </w:tc>
        <w:tc>
          <w:tcPr/>
          <w:p>
            <w:pPr>
              <w:pStyle w:val="Compact"/>
              <w:spacing w:line="240" w:lineRule="auto" w:after="40" w:before="40"/>
              <w:jc w:val="left"/>
            </w:pPr>
            <w:r>
              <w:rPr>
                <w:rFonts w:ascii="Times New Roman" w:hAnsi="Times New Roman" w:cs="Times New Roman" w:eastAsia="Times New Roman"/>
                <w:sz w:val="19"/>
              </w:rPr>
              <w:t xml:space="preserve">N</w:t>
            </w:r>
          </w:p>
        </w:tc>
      </w:tr>
      <w:tr>
        <w:tc>
          <w:tcPr/>
          <w:p>
            <w:pPr>
              <w:pStyle w:val="Compact"/>
              <w:spacing w:line="240" w:lineRule="auto" w:after="40" w:before="40"/>
              <w:jc w:val="left"/>
            </w:pPr>
            <w:r>
              <w:rPr>
                <w:rFonts w:ascii="Times New Roman" w:hAnsi="Times New Roman" w:cs="Times New Roman" w:eastAsia="Times New Roman"/>
                <w:sz w:val="19"/>
              </w:rPr>
              <w:t xml:space="preserve">Disturbance</w:t>
            </w:r>
          </w:p>
        </w:tc>
        <w:tc>
          <w:tcPr/>
          <w:p>
            <w:pPr>
              <w:pStyle w:val="Compact"/>
              <w:spacing w:line="240" w:lineRule="auto" w:after="40" w:before="40"/>
              <w:jc w:val="left"/>
            </w:pPr>
            <w:r>
              <w:rPr>
                <w:rFonts w:ascii="Times New Roman" w:hAnsi="Times New Roman" w:cs="Times New Roman" w:eastAsia="Times New Roman"/>
                <w:sz w:val="19"/>
              </w:rPr>
              <w:t xml:space="preserve">Unspecified productivity shocks; not a fitted</w:t>
            </w:r>
            <w:r>
              <w:rPr>
                <w:rFonts w:ascii="Times New Roman" w:hAnsi="Times New Roman" w:cs="Times New Roman" w:eastAsia="Times New Roman"/>
                <w:sz w:val="19"/>
              </w:rPr>
              <w:t xml:space="preserve"> </w:t>
            </w:r>
            <m:oMath>
              <m:r>
                <m:t>M</m:t>
              </m:r>
              <m:d>
                <m:dPr>
                  <m:begChr m:val="("/>
                  <m:endChr m:val=")"/>
                  <m:sepChr m:val=""/>
                  <m:grow/>
                </m:dPr>
                <m:e>
                  <m:r>
                    <m:t>t</m:t>
                  </m:r>
                </m:e>
              </m:d>
            </m:oMath>
          </w:p>
        </w:tc>
        <w:tc>
          <w:tcPr/>
          <w:p>
            <w:pPr>
              <w:pStyle w:val="Compact"/>
              <w:spacing w:line="240" w:lineRule="auto" w:after="40" w:before="40"/>
              <w:jc w:val="left"/>
            </w:pPr>
            <w:r>
              <w:rPr>
                <w:rFonts w:ascii="Times New Roman" w:hAnsi="Times New Roman" w:cs="Times New Roman" w:eastAsia="Times New Roman"/>
                <w:sz w:val="19"/>
              </w:rPr>
              <w:t xml:space="preserve">M</w:t>
            </w:r>
          </w:p>
        </w:tc>
      </w:tr>
      <w:tr>
        <w:tc>
          <w:tcPr/>
          <w:p>
            <w:pPr>
              <w:pStyle w:val="Compact"/>
              <w:spacing w:line="240" w:lineRule="auto" w:after="40" w:before="40"/>
              <w:jc w:val="left"/>
            </w:pPr>
            <w:r>
              <w:rPr>
                <w:rFonts w:ascii="Times New Roman" w:hAnsi="Times New Roman" w:cs="Times New Roman" w:eastAsia="Times New Roman"/>
                <w:sz w:val="19"/>
              </w:rPr>
              <w:t xml:space="preserve">Theoretical catch</w:t>
            </w:r>
          </w:p>
        </w:tc>
        <w:tc>
          <w:tcPr/>
          <w:p>
            <w:pPr>
              <w:pStyle w:val="Compact"/>
              <w:spacing w:line="240" w:lineRule="auto" w:after="40" w:before="40"/>
              <w:jc w:val="left"/>
            </w:pPr>
            <w:r>
              <w:rPr>
                <w:rFonts w:ascii="Times New Roman" w:hAnsi="Times New Roman" w:cs="Times New Roman" w:eastAsia="Times New Roman"/>
                <w:sz w:val="19"/>
              </w:rPr>
              <w:t xml:space="preserve">Any</w:t>
            </w:r>
            <w:r>
              <w:rPr>
                <w:rFonts w:ascii="Times New Roman" w:hAnsi="Times New Roman" w:cs="Times New Roman" w:eastAsia="Times New Roman"/>
                <w:sz w:val="19"/>
              </w:rPr>
              <w:t xml:space="preserve"> </w:t>
            </w:r>
            <m:oMath>
              <m:sSub>
                <m:e>
                  <m:r>
                    <m:t>C</m:t>
                  </m:r>
                </m:e>
                <m:sub>
                  <m:r>
                    <m:t>t</m:t>
                  </m:r>
                </m:sub>
              </m:sSub>
              <m:r>
                <m:rPr>
                  <m:sty m:val="p"/>
                </m:rPr>
                <m:t>≥</m:t>
              </m:r>
              <m:r>
                <m:t>0</m:t>
              </m:r>
            </m:oMath>
          </w:p>
        </w:tc>
        <w:tc>
          <w:tcPr/>
          <w:p>
            <w:pPr>
              <w:pStyle w:val="Compact"/>
              <w:spacing w:line="240" w:lineRule="auto" w:after="40" w:before="40"/>
              <w:jc w:val="left"/>
            </w:pPr>
            <w:r>
              <w:rPr>
                <w:rFonts w:ascii="Times New Roman" w:hAnsi="Times New Roman" w:cs="Times New Roman" w:eastAsia="Times New Roman"/>
                <w:sz w:val="19"/>
              </w:rPr>
              <w:t xml:space="preserve">M</w:t>
            </w:r>
          </w:p>
        </w:tc>
      </w:tr>
      <w:tr>
        <w:tc>
          <w:tcPr/>
          <w:p>
            <w:pPr>
              <w:pStyle w:val="Compact"/>
              <w:spacing w:line="240" w:lineRule="auto" w:after="40" w:before="40"/>
              <w:jc w:val="left"/>
            </w:pPr>
            <w:r>
              <w:rPr>
                <w:rFonts w:ascii="Times New Roman" w:hAnsi="Times New Roman" w:cs="Times New Roman" w:eastAsia="Times New Roman"/>
                <w:sz w:val="19"/>
              </w:rPr>
              <w:t xml:space="preserve">Implementable catch</w:t>
            </w:r>
          </w:p>
        </w:tc>
        <w:tc>
          <w:tcPr/>
          <w:p>
            <w:pPr>
              <w:pStyle w:val="Compact"/>
              <w:spacing w:line="240" w:lineRule="auto" w:after="40" w:before="40"/>
              <w:jc w:val="left"/>
            </w:pPr>
            <w:r>
              <w:rPr>
                <w:rFonts w:ascii="Times New Roman" w:hAnsi="Times New Roman" w:cs="Times New Roman" w:eastAsia="Times New Roman"/>
                <w:sz w:val="19"/>
              </w:rPr>
              <w:t xml:space="preserve">Pre-1992 directed fishery; post-2 July 1992 moratorium and low inshore removals</w:t>
            </w:r>
          </w:p>
        </w:tc>
        <w:tc>
          <w:tcPr/>
          <w:p>
            <w:pPr>
              <w:pStyle w:val="Compact"/>
              <w:spacing w:line="240" w:lineRule="auto" w:after="40" w:before="40"/>
              <w:jc w:val="left"/>
            </w:pPr>
            <w:r>
              <w:rPr>
                <w:rFonts w:ascii="Times New Roman" w:hAnsi="Times New Roman" w:cs="Times New Roman" w:eastAsia="Times New Roman"/>
                <w:sz w:val="19"/>
              </w:rPr>
              <w:t xml:space="preserve">E</w:t>
            </w:r>
          </w:p>
        </w:tc>
      </w:tr>
      <w:tr>
        <w:tc>
          <w:tcPr/>
          <w:p>
            <w:pPr>
              <w:pStyle w:val="Compact"/>
              <w:spacing w:line="240" w:lineRule="auto" w:after="40" w:before="40"/>
              <w:jc w:val="left"/>
            </w:pPr>
            <w:r>
              <w:rPr>
                <w:rFonts w:ascii="Times New Roman" w:hAnsi="Times New Roman" w:cs="Times New Roman" w:eastAsia="Times New Roman"/>
                <w:sz w:val="19"/>
              </w:rPr>
              <w:t xml:space="preserve">Horizon</w:t>
            </w:r>
          </w:p>
        </w:tc>
        <w:tc>
          <w:tcPr/>
          <w:p>
            <w:pPr>
              <w:pStyle w:val="Compact"/>
              <w:spacing w:line="240" w:lineRule="auto" w:after="40" w:before="40"/>
              <w:jc w:val="left"/>
            </w:pPr>
            <w:r>
              <w:rPr>
                <w:rFonts w:ascii="Times New Roman" w:hAnsi="Times New Roman" w:cs="Times New Roman" w:eastAsia="Times New Roman"/>
                <w:sz w:val="19"/>
              </w:rPr>
              <w:t xml:space="preserve">Hindcast 1983–2015; two fixed test windows and rolling origin</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w:r>
              <w:rPr>
                <w:rFonts w:ascii="Times New Roman" w:hAnsi="Times New Roman" w:cs="Times New Roman" w:eastAsia="Times New Roman"/>
                <w:sz w:val="19"/>
              </w:rPr>
              <w:t xml:space="preserve">Food web</w:t>
            </w:r>
            <w:r>
              <w:rPr>
                <w:rFonts w:ascii="Times New Roman" w:hAnsi="Times New Roman" w:cs="Times New Roman" w:eastAsia="Times New Roman"/>
                <w:sz w:val="19"/>
              </w:rPr>
              <w:t xml:space="preserve"> </w:t>
            </w:r>
            <m:oMath>
              <m:r>
                <m:rPr>
                  <m:sty m:val="p"/>
                  <m:scr m:val="script"/>
                </m:rPr>
                <m:t>D</m:t>
              </m:r>
            </m:oMath>
          </w:p>
        </w:tc>
        <w:tc>
          <w:tcPr/>
          <w:p>
            <w:pPr>
              <w:pStyle w:val="Compact"/>
              <w:spacing w:line="240" w:lineRule="auto" w:after="40" w:before="40"/>
              <w:jc w:val="left"/>
            </w:pPr>
            <w:r>
              <w:rPr>
                <w:rFonts w:ascii="Times New Roman" w:hAnsi="Times New Roman" w:cs="Times New Roman" w:eastAsia="Times New Roman"/>
                <w:sz w:val="19"/>
              </w:rPr>
              <w:t xml:space="preserve">Capelin excluded from the primary pass; tested as a variant in Section 5.4</w:t>
            </w:r>
          </w:p>
        </w:tc>
        <w:tc>
          <w:tcPr/>
          <w:p>
            <w:pPr>
              <w:pStyle w:val="Compact"/>
              <w:spacing w:line="240" w:lineRule="auto" w:after="40" w:before="40"/>
              <w:jc w:val="left"/>
            </w:pPr>
            <w:r>
              <w:rPr>
                <w:rFonts w:ascii="Times New Roman" w:hAnsi="Times New Roman" w:cs="Times New Roman" w:eastAsia="Times New Roman"/>
                <w:sz w:val="19"/>
              </w:rPr>
              <w:t xml:space="preserve">M</w:t>
            </w:r>
          </w:p>
        </w:tc>
      </w:tr>
      <w:tr>
        <w:tc>
          <w:tcPr/>
          <w:p>
            <w:pPr>
              <w:pStyle w:val="Compact"/>
              <w:spacing w:line="240" w:lineRule="auto" w:after="40" w:before="40"/>
              <w:jc w:val="left"/>
            </w:pPr>
            <w:r>
              <w:rPr>
                <w:rFonts w:ascii="Times New Roman" w:hAnsi="Times New Roman" w:cs="Times New Roman" w:eastAsia="Times New Roman"/>
                <w:sz w:val="19"/>
              </w:rPr>
              <w:t xml:space="preserve">Norm</w:t>
            </w:r>
            <w:r>
              <w:rPr>
                <w:rFonts w:ascii="Times New Roman" w:hAnsi="Times New Roman" w:cs="Times New Roman" w:eastAsia="Times New Roman"/>
                <w:sz w:val="19"/>
              </w:rPr>
              <w:t xml:space="preserve"> </w:t>
            </w:r>
            <m:oMath>
              <m:r>
                <m:rPr>
                  <m:sty m:val="p"/>
                  <m:scr m:val="script"/>
                </m:rPr>
                <m:t>N</m:t>
              </m:r>
            </m:oMath>
          </w:p>
        </w:tc>
        <w:tc>
          <w:tcPr/>
          <w:p>
            <w:pPr>
              <w:pStyle w:val="Compact"/>
              <w:spacing w:line="240" w:lineRule="auto" w:after="40" w:before="40"/>
              <w:jc w:val="left"/>
            </w:pPr>
            <w:r>
              <w:rPr>
                <w:rFonts w:ascii="Times New Roman" w:hAnsi="Times New Roman" w:cs="Times New Roman" w:eastAsia="Times New Roman"/>
                <w:sz w:val="19"/>
              </w:rPr>
              <w:t xml:space="preserve">2010/2016 DFO precautionary-approach LRP (1980s mean SSB), not the 2023 40%</w:t>
            </w:r>
            <w:r>
              <w:rPr>
                <w:rFonts w:ascii="Times New Roman" w:hAnsi="Times New Roman" w:cs="Times New Roman" w:eastAsia="Times New Roman"/>
                <w:sz w:val="19"/>
              </w:rPr>
              <w:t xml:space="preserve"> </w:t>
            </w:r>
            <m:oMath>
              <m:sSub>
                <m:e>
                  <m:r>
                    <m:t>B</m:t>
                  </m:r>
                </m:e>
                <m:sub>
                  <m:r>
                    <m:rPr>
                      <m:sty m:val="p"/>
                    </m:rPr>
                    <m:t>M</m:t>
                  </m:r>
                  <m:r>
                    <m:rPr>
                      <m:sty m:val="p"/>
                    </m:rPr>
                    <m:t>S</m:t>
                  </m:r>
                  <m:r>
                    <m:rPr>
                      <m:sty m:val="p"/>
                    </m:rPr>
                    <m:t>Y</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LRP</w:t>
            </w:r>
          </w:p>
        </w:tc>
        <w:tc>
          <w:tcPr/>
          <w:p>
            <w:pPr>
              <w:pStyle w:val="Compact"/>
              <w:spacing w:line="240" w:lineRule="auto" w:after="40" w:before="40"/>
              <w:jc w:val="left"/>
            </w:pPr>
            <w:r>
              <w:rPr>
                <w:rFonts w:ascii="Times New Roman" w:hAnsi="Times New Roman" w:cs="Times New Roman" w:eastAsia="Times New Roman"/>
                <w:sz w:val="19"/>
              </w:rPr>
              <w:t xml:space="preserve">N</w:t>
            </w:r>
          </w:p>
        </w:tc>
      </w:tr>
    </w:tbl>
    <w:p>
      <w:pPr>
        <w:pStyle w:val="BodyText"/>
        <w:spacing w:line="360" w:lineRule="auto" w:after="120"/>
        <w:ind w:firstLine="720"/>
        <w:jc w:val="both"/>
      </w:pPr>
      <w:r>
        <w:rPr>
          <w:rFonts w:ascii="Times New Roman" w:hAnsi="Times New Roman" w:cs="Times New Roman" w:eastAsia="Times New Roman"/>
          <w:sz w:val="24"/>
        </w:rPr>
        <w:t xml:space="preserve">Table A2 also reports</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They are joint outputs with SSB and are not used as exogenous inputs.</w:t>
      </w:r>
    </w:p>
    <w:p>
      <w:pPr>
        <w:pStyle w:val="BodyText"/>
        <w:spacing w:line="360" w:lineRule="auto" w:after="120"/>
        <w:ind w:firstLine="720"/>
        <w:jc w:val="both"/>
      </w:pPr>
      <w:r>
        <w:rPr>
          <w:rFonts w:ascii="Times New Roman" w:hAnsi="Times New Roman" w:cs="Times New Roman" w:eastAsia="Times New Roman"/>
          <w:sz w:val="24"/>
        </w:rPr>
        <w:t xml:space="preserve">Regular et al. (2025) extend the assessment to 1954, revise the LRP to 276 kt (95% interval 180–423 kt; 40% of</w:t>
      </w:r>
      <w:r>
        <w:rPr>
          <w:rFonts w:ascii="Times New Roman" w:hAnsi="Times New Roman" w:cs="Times New Roman" w:eastAsia="Times New Roman"/>
          <w:sz w:val="24"/>
        </w:rPr>
        <w:t xml:space="preserve"> </w:t>
      </w:r>
      <m:oMath>
        <m:sSub>
          <m:e>
            <m:r>
              <m:t>B</m:t>
            </m:r>
          </m:e>
          <m:sub>
            <m:r>
              <m:rPr>
                <m:sty m:val="p"/>
              </m:rPr>
              <m:t>M</m:t>
            </m:r>
            <m:r>
              <m:rPr>
                <m:sty m:val="p"/>
              </m:rPr>
              <m:t>S</m:t>
            </m:r>
            <m:r>
              <m:rPr>
                <m:sty m:val="p"/>
              </m:rPr>
              <m:t>Y</m:t>
            </m:r>
          </m:sub>
        </m:sSub>
      </m:oMath>
      <w:r>
        <w:rPr>
          <w:rFonts w:ascii="Times New Roman" w:hAnsi="Times New Roman" w:cs="Times New Roman" w:eastAsia="Times New Roman"/>
          <w:sz w:val="24"/>
        </w:rPr>
        <w:t xml:space="preserve">), and estimate 2024 SSB at 342 kt. That is a second specification — Specification B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the 1954–2024 extended xteNCAM series; Section 5.3). The two objects differ in four specification fields: the dynamics map (xteNCAM versus NCAM</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-shift; start year 1954 versus 1983), the safe-set map (276 kt versus 884.6 kt), the treatment of catch, and the horizon. The two SSB columns are not mixed. Under the study’s specification-matching discipline, a retention verdict does not transfer between objects whose dynamics map or safe-set map differs; here both differ, so the two specifications are evaluated separately and neither verdict imports the other.</w:t>
      </w:r>
    </w:p>
    <w:bookmarkEnd w:id="22"/>
    <w:bookmarkStart w:id="23" w:name="forecast-models"/>
    <w:p>
      <w:pPr>
        <w:pStyle w:val="Heading1"/>
        <w:spacing w:before="360" w:after="120" w:line="360" w:lineRule="auto"/>
        <w:ind w:firstLine="0" w:left="0"/>
        <w:jc w:val="left"/>
      </w:pPr>
      <w:r>
        <w:rPr>
          <w:rFonts w:ascii="Times New Roman" w:hAnsi="Times New Roman" w:cs="Times New Roman" w:eastAsia="Times New Roman"/>
          <w:b/>
          <w:sz w:val="28"/>
        </w:rPr>
        <w:t xml:space="preserve">3. Forecast models</w:t>
      </w:r>
    </w:p>
    <w:p>
      <w:pPr>
        <w:pStyle w:val="FirstParagraph"/>
        <w:spacing w:line="360" w:lineRule="auto" w:after="120"/>
        <w:ind w:firstLine="720"/>
        <w:jc w:val="both"/>
      </w:pPr>
      <w:r>
        <w:rPr>
          <w:rFonts w:ascii="Times New Roman" w:hAnsi="Times New Roman" w:cs="Times New Roman" w:eastAsia="Times New Roman"/>
          <w:sz w:val="24"/>
        </w:rPr>
        <w:t xml:space="preserve">Discrete surplus production,</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kt and</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kt yr</w:t>
      </w:r>
      <m:oMath>
        <m:sSup>
          <m:e>
            <m:r>
              <m:t>​</m:t>
            </m:r>
          </m:e>
          <m:sup>
            <m:r>
              <m:rPr>
                <m:sty m:val="p"/>
              </m:rPr>
              <m:t>−</m:t>
            </m:r>
            <m:r>
              <m:t>1</m:t>
            </m:r>
          </m:sup>
        </m:sSup>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b>
            <m:e>
              <m:r>
                <m:t>S</m:t>
              </m:r>
            </m:e>
            <m:sub>
              <m:r>
                <m:t>t</m:t>
              </m:r>
              <m:r>
                <m:rPr>
                  <m:sty m:val="p"/>
                </m:rPr>
                <m:t>+</m:t>
              </m:r>
              <m:r>
                <m:t>1</m:t>
              </m:r>
            </m:sub>
          </m:sSub>
          <m:r>
            <m:rPr>
              <m:sty m:val="p"/>
            </m:rPr>
            <m:t>=</m:t>
          </m:r>
          <m:r>
            <m:rPr>
              <m:sty m:val="p"/>
            </m:rPr>
            <m:t>[</m:t>
          </m:r>
          <m:sSub>
            <m:e>
              <m:r>
                <m:t>S</m:t>
              </m:r>
            </m:e>
            <m:sub>
              <m:r>
                <m:t>t</m:t>
              </m:r>
            </m:sub>
          </m:sSub>
          <m:r>
            <m:rPr>
              <m:sty m:val="p"/>
            </m:rPr>
            <m:t>+</m:t>
          </m:r>
          <m:r>
            <m:t>g</m:t>
          </m:r>
          <m:d>
            <m:dPr>
              <m:begChr m:val="("/>
              <m:endChr m:val=")"/>
              <m:sepChr m:val=""/>
              <m:grow/>
            </m:dPr>
            <m:e>
              <m:sSub>
                <m:e>
                  <m:r>
                    <m:t>S</m:t>
                  </m:r>
                </m:e>
                <m:sub>
                  <m:r>
                    <m:t>t</m:t>
                  </m:r>
                </m:sub>
              </m:sSub>
            </m:e>
          </m:d>
          <m:r>
            <m:rPr>
              <m:sty m:val="p"/>
            </m:rPr>
            <m:t>−</m:t>
          </m:r>
          <m:sSub>
            <m:e>
              <m:r>
                <m:t>C</m:t>
              </m:r>
            </m:e>
            <m:sub>
              <m:r>
                <m:t>t</m:t>
              </m:r>
            </m:sub>
          </m:sSub>
          <m:r>
            <m:rPr>
              <m:sty m:val="p"/>
            </m:rPr>
            <m:t>+</m:t>
          </m:r>
          <m:sSub>
            <m:e>
              <m:r>
                <m:t>ε</m:t>
              </m:r>
            </m:e>
            <m:sub>
              <m:r>
                <m:t>t</m:t>
              </m:r>
            </m:sub>
          </m:sSub>
          <m:sSub>
            <m:e>
              <m:r>
                <m:rPr>
                  <m:sty m:val="p"/>
                </m:rPr>
                <m:t>]</m:t>
              </m:r>
            </m:e>
            <m:sub>
              <m:r>
                <m:rPr>
                  <m:sty m:val="p"/>
                </m:rPr>
                <m:t>+</m:t>
              </m:r>
            </m:sub>
          </m:sSub>
          <m:r>
            <m:rPr>
              <m:sty m:val="p"/>
            </m:rPr>
            <m:t>,</m:t>
          </m:r>
          <m:r>
            <m:t>  </m:t>
          </m:r>
          <m:r>
            <m:t>g</m:t>
          </m:r>
          <m:d>
            <m:dPr>
              <m:begChr m:val="("/>
              <m:endChr m:val=")"/>
              <m:sepChr m:val=""/>
              <m:grow/>
            </m:dPr>
            <m:e>
              <m:sSub>
                <m:e>
                  <m:r>
                    <m:t>S</m:t>
                  </m:r>
                </m:e>
                <m:sub>
                  <m:r>
                    <m:t>t</m:t>
                  </m:r>
                </m:sub>
              </m:sSub>
            </m:e>
          </m:d>
          <m:r>
            <m:rPr>
              <m:sty m:val="p"/>
            </m:rPr>
            <m:t>=</m:t>
          </m:r>
          <m:r>
            <m:t>r</m:t>
          </m:r>
          <m:sSub>
            <m:e>
              <m:r>
                <m:t>S</m:t>
              </m:r>
            </m:e>
            <m:sub>
              <m:r>
                <m:t>t</m:t>
              </m:r>
            </m:sub>
          </m:sSub>
          <m:d>
            <m:dPr>
              <m:begChr m:val="("/>
              <m:endChr m:val=")"/>
              <m:sepChr m:val=""/>
              <m:grow/>
            </m:dPr>
            <m:e>
              <m:r>
                <m:t>1</m:t>
              </m:r>
              <m:r>
                <m:rPr>
                  <m:sty m:val="p"/>
                </m:rPr>
                <m:t>−</m:t>
              </m:r>
              <m:sSub>
                <m:e>
                  <m:r>
                    <m:t>S</m:t>
                  </m:r>
                </m:e>
                <m:sub>
                  <m:r>
                    <m:t>t</m:t>
                  </m:r>
                </m:sub>
              </m:sSub>
              <m:r>
                <m:rPr>
                  <m:sty m:val="p"/>
                </m:rPr>
                <m:t>/</m:t>
              </m:r>
              <m:r>
                <m:t>K</m:t>
              </m:r>
            </m:e>
          </m:d>
          <m:r>
            <m:t> </m:t>
          </m:r>
          <m:r>
            <m:t>a</m:t>
          </m:r>
          <m:d>
            <m:dPr>
              <m:begChr m:val="("/>
              <m:endChr m:val=")"/>
              <m:sepChr m:val=""/>
              <m:grow/>
            </m:dPr>
            <m:e>
              <m:sSub>
                <m:e>
                  <m:r>
                    <m:t>S</m:t>
                  </m:r>
                </m:e>
                <m:sub>
                  <m:r>
                    <m:t>t</m:t>
                  </m:r>
                </m:sub>
              </m:sSub>
            </m:e>
          </m:d>
          <m:r>
            <m:rPr>
              <m:sty m:val="p"/>
            </m:rPr>
            <m:t>,</m:t>
          </m:r>
          <m:r>
            <m:t>  </m:t>
          </m:r>
          <m:r>
            <m:t>a</m:t>
          </m:r>
          <m:d>
            <m:dPr>
              <m:begChr m:val="("/>
              <m:endChr m:val=")"/>
              <m:sepChr m:val=""/>
              <m:grow/>
            </m:dPr>
            <m:e>
              <m:sSub>
                <m:e>
                  <m:r>
                    <m:t>S</m:t>
                  </m:r>
                </m:e>
                <m:sub>
                  <m:r>
                    <m:t>t</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(Schaefer; no Allee term declared)</m:t>
                    </m:r>
                    <m:r>
                      <m:rPr>
                        <m:sty m:val="p"/>
                      </m:rPr>
                      <m:t>,</m:t>
                    </m:r>
                  </m:e>
                </m:mr>
                <m:mr>
                  <m:e>
                    <m:f>
                      <m:fPr>
                        <m:type m:val="bar"/>
                      </m:fPr>
                      <m:num>
                        <m:sSub>
                          <m:e>
                            <m:r>
                              <m:t>S</m:t>
                            </m:r>
                          </m:e>
                          <m:sub>
                            <m:r>
                              <m:t>t</m:t>
                            </m:r>
                          </m:sub>
                        </m:sSub>
                        <m:r>
                          <m:rPr>
                            <m:sty m:val="p"/>
                          </m:rPr>
                          <m:t>−</m:t>
                        </m:r>
                        <m:r>
                          <m:rPr>
                            <m:sty m:val="p"/>
                            <m:scr m:val="fraktur"/>
                          </m:rPr>
                          <m:t>s</m:t>
                        </m:r>
                      </m:num>
                      <m:den>
                        <m:r>
                          <m:t>K</m:t>
                        </m:r>
                        <m:r>
                          <m:rPr>
                            <m:sty m:val="p"/>
                          </m:rPr>
                          <m:t>−</m:t>
                        </m:r>
                        <m:r>
                          <m:rPr>
                            <m:sty m:val="p"/>
                            <m:scr m:val="fraktur"/>
                          </m:rPr>
                          <m:t>s</m:t>
                        </m:r>
                      </m:den>
                    </m:f>
                  </m:e>
                  <m:e>
                    <m:r>
                      <m:rPr>
                        <m:nor/>
                        <m:sty m:val="p"/>
                      </m:rPr>
                      <m:t>(depensation term active, </m:t>
                    </m:r>
                    <m:r>
                      <m:rPr>
                        <m:sty m:val="p"/>
                        <m:scr m:val="fraktur"/>
                      </m:rPr>
                      <m:t>s</m:t>
                    </m:r>
                    <m:r>
                      <m:rPr>
                        <m:sty m:val="p"/>
                      </m:rPr>
                      <m:t>&gt;</m:t>
                    </m:r>
                    <m:r>
                      <m:t>0</m:t>
                    </m:r>
                    <m:r>
                      <m:rPr>
                        <m:nor/>
                        <m:sty m:val="p"/>
                      </m:rPr>
                      <m:t>)</m:t>
                    </m:r>
                    <m:r>
                      <m:rPr>
                        <m:sty m:val="p"/>
                      </m:rPr>
                      <m:t>.</m:t>
                    </m:r>
                  </m:e>
                </m:mr>
              </m:m>
            </m:e>
          </m:d>
        </m:oMath>
      </m:oMathPara>
    </w:p>
    <w:p>
      <w:pPr>
        <w:pStyle w:val="FirstParagraph"/>
        <w:spacing w:line="360" w:lineRule="auto" w:after="120"/>
        <w:ind w:firstLine="720"/>
        <w:jc w:val="both"/>
      </w:pPr>
      <w:r>
        <w:rPr>
          <w:rFonts w:ascii="Times New Roman" w:hAnsi="Times New Roman" w:cs="Times New Roman" w:eastAsia="Times New Roman"/>
          <w:sz w:val="24"/>
        </w:rPr>
        <w:t xml:space="preserve">The factor is a multiplicative depensation term, not a parameter switch: setting</w:t>
      </w:r>
      <w:r>
        <w:rPr>
          <w:rFonts w:ascii="Times New Roman" w:hAnsi="Times New Roman" w:cs="Times New Roman" w:eastAsia="Times New Roman"/>
          <w:sz w:val="24"/>
        </w:rPr>
        <w:t xml:space="preserve"> </w:t>
      </w:r>
      <m:oMath>
        <m:r>
          <m:rPr>
            <m:sty m:val="p"/>
            <m:scr m:val="fraktur"/>
          </m:rP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m:oMath>
        <m:r>
          <m:t>a</m:t>
        </m:r>
        <m:d>
          <m:dPr>
            <m:begChr m:val="("/>
            <m:endChr m:val=")"/>
            <m:sepChr m:val=""/>
            <m:grow/>
          </m:dPr>
          <m:e>
            <m:sSub>
              <m:e>
                <m:r>
                  <m:t>S</m:t>
                </m:r>
              </m:e>
              <m:sub>
                <m:r>
                  <m:t>t</m:t>
                </m:r>
              </m:sub>
            </m:sSub>
          </m:e>
        </m:d>
        <m:r>
          <m:rPr>
            <m:sty m:val="p"/>
          </m:rPr>
          <m:t>=</m:t>
        </m:r>
        <m:sSub>
          <m:e>
            <m:r>
              <m:t>S</m:t>
            </m:r>
          </m:e>
          <m:sub>
            <m:r>
              <m:t>t</m:t>
            </m:r>
          </m:sub>
        </m:sSub>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cubic modification of the logistic surplus), not the Schaefer law — the Schaefer model is the separate member of the family in which the factor is replaced by</w:t>
      </w:r>
      <w:r>
        <w:rPr>
          <w:rFonts w:ascii="Times New Roman" w:hAnsi="Times New Roman" w:cs="Times New Roman" w:eastAsia="Times New Roman"/>
          <w:sz w:val="24"/>
        </w:rPr>
        <w:t xml:space="preserve"> </w:t>
      </w:r>
      <m:oMath>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companion governance study under separate review makes the same point).</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Model ladder.</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Class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Free on the training window</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Frozen into the test window</w:t>
            </w:r>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sz w:val="19"/>
              </w:rPr>
              <w:t xml:space="preserve">baseline</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m:oMath>
              <m:sSub>
                <m:e>
                  <m:acc>
                    <m:accPr>
                      <m:chr m:val="̂"/>
                    </m:accPr>
                    <m:e>
                      <m:r>
                        <m:t>S</m:t>
                      </m:r>
                    </m:e>
                  </m:acc>
                </m:e>
                <m:sub>
                  <m:r>
                    <m:t>t</m:t>
                  </m:r>
                  <m:r>
                    <m:rPr>
                      <m:sty m:val="p"/>
                    </m:rPr>
                    <m:t>+</m:t>
                  </m:r>
                  <m:r>
                    <m:t>h</m:t>
                  </m:r>
                </m:sub>
              </m:sSub>
              <m:r>
                <m:rPr>
                  <m:sty m:val="p"/>
                </m:rPr>
                <m:t>=</m:t>
              </m:r>
              <m:sSub>
                <m:e>
                  <m:r>
                    <m:t>S</m:t>
                  </m:r>
                </m:e>
                <m:sub>
                  <m:r>
                    <m:t>t</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mean</w:t>
            </w:r>
          </w:p>
        </w:tc>
        <w:tc>
          <w:tcPr/>
          <w:p>
            <w:pPr>
              <w:pStyle w:val="Compact"/>
              <w:spacing w:line="240" w:lineRule="auto" w:after="40" w:before="40"/>
              <w:jc w:val="left"/>
            </w:pPr>
            <w:r>
              <w:rPr>
                <w:rFonts w:ascii="Times New Roman" w:hAnsi="Times New Roman" w:cs="Times New Roman" w:eastAsia="Times New Roman"/>
                <w:sz w:val="19"/>
              </w:rPr>
              <w:t xml:space="preserve">baseline</w:t>
            </w:r>
          </w:p>
        </w:tc>
        <w:tc>
          <w:tcPr/>
          <w:p>
            <w:pPr>
              <w:pStyle w:val="Compact"/>
              <w:spacing w:line="240" w:lineRule="auto" w:after="40" w:before="40"/>
              <w:jc w:val="left"/>
            </w:pPr>
            <w:r>
              <w:rPr>
                <w:rFonts w:ascii="Times New Roman" w:hAnsi="Times New Roman" w:cs="Times New Roman" w:eastAsia="Times New Roman"/>
                <w:sz w:val="19"/>
              </w:rPr>
              <w:t xml:space="preserve">training mean</w:t>
            </w:r>
          </w:p>
        </w:tc>
        <w:tc>
          <w:tcPr/>
          <w:p>
            <w:pPr>
              <w:pStyle w:val="Compact"/>
              <w:spacing w:line="240" w:lineRule="auto" w:after="40" w:before="40"/>
              <w:jc w:val="left"/>
            </w:pPr>
            <m:oMath>
              <m:sSub>
                <m:e>
                  <m:acc>
                    <m:accPr>
                      <m:chr m:val="̂"/>
                    </m:accPr>
                    <m:e>
                      <m:r>
                        <m:t>S</m:t>
                      </m:r>
                    </m:e>
                  </m:acc>
                </m:e>
                <m:sub>
                  <m:r>
                    <m:t>t</m:t>
                  </m:r>
                  <m:r>
                    <m:rPr>
                      <m:sty m:val="p"/>
                    </m:rPr>
                    <m:t>+</m:t>
                  </m:r>
                  <m:r>
                    <m:t>h</m:t>
                  </m:r>
                </m:sub>
              </m:sSub>
              <m:r>
                <m:rPr>
                  <m:sty m:val="p"/>
                </m:rPr>
                <m:t>=</m:t>
              </m:r>
              <m:sSub>
                <m:e>
                  <m:acc>
                    <m:accPr>
                      <m:chr m:val="‾"/>
                    </m:accPr>
                    <m:e>
                      <m:r>
                        <m:t>S</m:t>
                      </m:r>
                    </m:e>
                  </m:acc>
                </m:e>
                <m:sub>
                  <m:r>
                    <m:rPr>
                      <m:sty m:val="p"/>
                    </m:rPr>
                    <m:t>t</m:t>
                  </m:r>
                  <m:r>
                    <m:rPr>
                      <m:sty m:val="p"/>
                    </m:rPr>
                    <m:t>r</m:t>
                  </m:r>
                  <m:r>
                    <m:rPr>
                      <m:sty m:val="p"/>
                    </m:rPr>
                    <m:t>a</m:t>
                  </m:r>
                  <m:r>
                    <m:rPr>
                      <m:sty m:val="p"/>
                    </m:rPr>
                    <m:t>i</m:t>
                  </m:r>
                  <m:r>
                    <m:rPr>
                      <m:sty m:val="p"/>
                    </m:rPr>
                    <m:t>n</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autonomous</w:t>
            </w:r>
          </w:p>
        </w:tc>
        <w:tc>
          <w:tcPr/>
          <w:p>
            <w:pPr>
              <w:pStyle w:val="Compact"/>
              <w:spacing w:line="240" w:lineRule="auto" w:after="40" w:before="40"/>
              <w:jc w:val="left"/>
            </w:pPr>
            <m:oMath>
              <m:r>
                <m:t>r</m:t>
              </m:r>
              <m:r>
                <m:rPr>
                  <m:sty m:val="p"/>
                </m:rPr>
                <m:t>,</m:t>
              </m:r>
              <m:r>
                <m:t>K</m:t>
              </m:r>
              <m:r>
                <m:rPr>
                  <m:sty m:val="p"/>
                </m:rPr>
                <m:t>,</m:t>
              </m:r>
              <m:r>
                <m:t>C</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constant</w:t>
            </w:r>
          </w:p>
        </w:tc>
        <w:tc>
          <w:tcPr/>
          <w:p>
            <w:pPr>
              <w:pStyle w:val="Compact"/>
              <w:spacing w:line="240" w:lineRule="auto" w:after="40" w:before="40"/>
              <w:jc w:val="left"/>
            </w:pPr>
            <w:r>
              <w:rPr>
                <w:rFonts w:ascii="Times New Roman" w:hAnsi="Times New Roman" w:cs="Times New Roman" w:eastAsia="Times New Roman"/>
                <w:sz w:val="19"/>
              </w:rPr>
              <w:t xml:space="preserve">same</w:t>
            </w:r>
            <w:r>
              <w:rPr>
                <w:rFonts w:ascii="Times New Roman" w:hAnsi="Times New Roman" w:cs="Times New Roman" w:eastAsia="Times New Roman"/>
                <w:sz w:val="19"/>
              </w:rPr>
              <w:t xml:space="preserve"> </w:t>
            </w:r>
            <m:oMath>
              <m:r>
                <m:t>C</m:t>
              </m:r>
            </m:oMath>
          </w:p>
        </w:tc>
      </w:tr>
      <w:tr>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sz w:val="19"/>
              </w:rPr>
              <w:t xml:space="preserve">autonomous with Allee</w:t>
            </w:r>
          </w:p>
        </w:tc>
        <w:tc>
          <w:tcPr/>
          <w:p>
            <w:pPr>
              <w:pStyle w:val="Compact"/>
              <w:spacing w:line="240" w:lineRule="auto" w:after="40" w:before="40"/>
              <w:jc w:val="left"/>
            </w:pPr>
            <m:oMath>
              <m:r>
                <m:t>r</m:t>
              </m:r>
              <m:r>
                <m:rPr>
                  <m:sty m:val="p"/>
                </m:rPr>
                <m:t>,</m:t>
              </m:r>
              <m:r>
                <m:t>K</m:t>
              </m:r>
              <m:r>
                <m:rPr>
                  <m:sty m:val="p"/>
                </m:rPr>
                <m:t>,</m:t>
              </m:r>
              <m:r>
                <m:rPr>
                  <m:sty m:val="p"/>
                  <m:scr m:val="fraktur"/>
                </m:rPr>
                <m:t>s</m:t>
              </m:r>
              <m:r>
                <m:rPr>
                  <m:sty m:val="p"/>
                </m:rPr>
                <m:t>,</m:t>
              </m:r>
              <m:r>
                <m:t>C</m:t>
              </m:r>
            </m:oMath>
          </w:p>
        </w:tc>
        <w:tc>
          <w:tcPr/>
          <w:p>
            <w:pPr>
              <w:pStyle w:val="Compact"/>
              <w:spacing w:line="240" w:lineRule="auto" w:after="40" w:before="40"/>
              <w:jc w:val="left"/>
            </w:pPr>
            <w:r>
              <w:rPr>
                <w:rFonts w:ascii="Times New Roman" w:hAnsi="Times New Roman" w:cs="Times New Roman" w:eastAsia="Times New Roman"/>
                <w:sz w:val="19"/>
              </w:rPr>
              <w:t xml:space="preserve">same</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stock-flow</w:t>
            </w:r>
          </w:p>
        </w:tc>
        <w:tc>
          <w:tcPr/>
          <w:p>
            <w:pPr>
              <w:pStyle w:val="Compact"/>
              <w:spacing w:line="240" w:lineRule="auto" w:after="40" w:before="40"/>
              <w:jc w:val="left"/>
            </w:pPr>
            <m:oMath>
              <m:r>
                <m:t>r</m:t>
              </m:r>
              <m:r>
                <m:rPr>
                  <m:sty m:val="p"/>
                </m:rPr>
                <m:t>,</m:t>
              </m:r>
              <m:r>
                <m:t>K</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C</m:t>
                  </m:r>
                </m:e>
                <m:sub>
                  <m:r>
                    <m:t>t</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prescribed</w:t>
            </w:r>
          </w:p>
        </w:tc>
        <w:tc>
          <w:tcPr/>
          <w:p>
            <w:pPr>
              <w:pStyle w:val="Compact"/>
              <w:spacing w:line="240" w:lineRule="auto" w:after="40" w:before="40"/>
              <w:jc w:val="left"/>
            </w:pPr>
            <w:r>
              <w:rPr>
                <w:rFonts w:ascii="Times New Roman" w:hAnsi="Times New Roman" w:cs="Times New Roman" w:eastAsia="Times New Roman"/>
                <w:sz w:val="19"/>
              </w:rPr>
              <w:t xml:space="preserve">prescribed</w:t>
            </w:r>
            <w:r>
              <w:rPr>
                <w:rFonts w:ascii="Times New Roman" w:hAnsi="Times New Roman" w:cs="Times New Roman" w:eastAsia="Times New Roman"/>
                <w:sz w:val="19"/>
              </w:rPr>
              <w:t xml:space="preserve"> </w:t>
            </w:r>
            <m:oMath>
              <m:sSub>
                <m:e>
                  <m:r>
                    <m:t>C</m:t>
                  </m:r>
                </m:e>
                <m:sub>
                  <m:r>
                    <m:t>t</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residual</w:t>
            </w:r>
          </w:p>
        </w:tc>
        <w:tc>
          <w:tcPr/>
          <w:p>
            <w:pPr>
              <w:pStyle w:val="Compact"/>
              <w:spacing w:line="240" w:lineRule="auto" w:after="40" w:before="40"/>
              <w:jc w:val="left"/>
            </w:pPr>
            <w:r>
              <w:rPr>
                <w:rFonts w:ascii="Times New Roman" w:hAnsi="Times New Roman" w:cs="Times New Roman" w:eastAsia="Times New Roman"/>
                <w:sz w:val="19"/>
              </w:rPr>
              <w:t xml:space="preserve">M2 + AR(1) residual</w:t>
            </w:r>
          </w:p>
        </w:tc>
        <w:tc>
          <w:tcPr/>
          <w:p>
            <w:pPr>
              <w:pStyle w:val="Compact"/>
              <w:spacing w:line="240" w:lineRule="auto" w:after="40" w:before="40"/>
              <w:jc w:val="left"/>
            </w:pPr>
            <m:oMath>
              <m:r>
                <m:t>ϕ</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persisted</w:t>
            </w:r>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delay</w:t>
            </w:r>
          </w:p>
        </w:tc>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forecast starts from</w:t>
            </w:r>
            <w:r>
              <w:rPr>
                <w:rFonts w:ascii="Times New Roman" w:hAnsi="Times New Roman" w:cs="Times New Roman" w:eastAsia="Times New Roman"/>
                <w:sz w:val="19"/>
              </w:rPr>
              <w:t xml:space="preserve"> </w:t>
            </w:r>
            <m:oMath>
              <m:sSub>
                <m:e>
                  <m:r>
                    <m:t>S</m:t>
                  </m:r>
                </m:e>
                <m:sub>
                  <m:r>
                    <m:t>t</m:t>
                  </m:r>
                  <m:r>
                    <m:rPr>
                      <m:sty m:val="p"/>
                    </m:rPr>
                    <m:t>−</m:t>
                  </m:r>
                  <m:r>
                    <m:t>1</m:t>
                  </m:r>
                </m:sub>
              </m:sSub>
            </m:oMath>
          </w:p>
        </w:tc>
      </w:tr>
    </w:tbl>
    <w:p>
      <w:pPr>
        <w:pStyle w:val="BodyText"/>
        <w:spacing w:line="360" w:lineRule="auto" w:after="120"/>
        <w:ind w:firstLine="720"/>
        <w:jc w:val="both"/>
      </w:pPr>
      <w:r>
        <w:rPr>
          <w:rFonts w:ascii="Times New Roman" w:hAnsi="Times New Roman" w:cs="Times New Roman" w:eastAsia="Times New Roman"/>
          <w:sz w:val="24"/>
        </w:rPr>
        <w:t xml:space="preserve">The coarse catch regime, taken from DFO (2016) prose (the precautionary-approach framework of DFO 2009 governs the critical-zone vocabulary used below), is</w:t>
      </w:r>
      <w:r>
        <w:rPr>
          <w:rFonts w:ascii="Times New Roman" w:hAnsi="Times New Roman" w:cs="Times New Roman" w:eastAsia="Times New Roman"/>
          <w:sz w:val="24"/>
        </w:rPr>
        <w:t xml:space="preserve"> </w:t>
      </w:r>
      <m:oMath>
        <m:sSub>
          <m:e>
            <m:r>
              <m:t>C</m:t>
            </m:r>
          </m:e>
          <m:sub>
            <m:r>
              <m:t>t</m:t>
            </m:r>
          </m:sub>
        </m:sSub>
        <m:r>
          <m:rPr>
            <m:sty m:val="p"/>
          </m:rPr>
          <m:t>=</m:t>
        </m:r>
        <m:r>
          <m:t>240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t</m:t>
        </m:r>
        <m:r>
          <m:rPr>
            <m:sty m:val="p"/>
          </m:rPr>
          <m:t>≤</m:t>
        </m:r>
        <m:r>
          <m:t>1991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t</m:t>
            </m:r>
          </m:sub>
        </m:sSub>
        <m:r>
          <m:rPr>
            <m:sty m:val="p"/>
          </m:rPr>
          <m:t>=</m:t>
        </m:r>
        <m:r>
          <m:t>120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t</m:t>
        </m:r>
        <m:r>
          <m:rPr>
            <m:sty m:val="p"/>
          </m:rPr>
          <m:t>=</m:t>
        </m:r>
        <m:r>
          <m:t>1992</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t>C</m:t>
            </m:r>
          </m:e>
          <m:sub>
            <m:r>
              <m:t>t</m:t>
            </m:r>
          </m:sub>
        </m:sSub>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t</m:t>
        </m:r>
        <m:r>
          <m:rPr>
            <m:sty m:val="p"/>
          </m:rPr>
          <m:t>≥</m:t>
        </m:r>
        <m:r>
          <m:t>1993</m:t>
        </m:r>
      </m:oMath>
      <w:r>
        <w:rPr>
          <w:rFonts w:ascii="Times New Roman" w:hAnsi="Times New Roman" w:cs="Times New Roman" w:eastAsia="Times New Roman"/>
          <w:sz w:val="24"/>
        </w:rPr>
        <w:t xml:space="preserve">. Year-by-year landings (Schijns et al. 2021, Table 1) replace that regime in Section 5.2. Regular et al. (2025) Table 1 matches Schijns exactly on 1983–1993 (11 years, maximum absolute difference 0 t); STATLANT matches Schijns on 1983–1993, so the STATLANT-versus-Schijns sensitivity is closed for the collapse window (they are the same column there). A 1956 discrepancy between those sources (236,210 t versus 263,210 t) lies outside 1983–2015 and is unused. The coarseness of the regime series is a declared limitation.</w:t>
      </w:r>
    </w:p>
    <w:p>
      <w:pPr>
        <w:pStyle w:val="BodyText"/>
        <w:spacing w:line="360" w:lineRule="auto" w:after="120"/>
        <w:ind w:firstLine="720"/>
        <w:jc w:val="both"/>
      </w:pPr>
      <w:r>
        <w:rPr>
          <w:rFonts w:ascii="Times New Roman" w:hAnsi="Times New Roman" w:cs="Times New Roman" w:eastAsia="Times New Roman"/>
          <w:sz w:val="24"/>
        </w:rPr>
        <w:t xml:space="preserve">Parameters are estimated by one-step least squares on the training window only. Bounds:</w:t>
      </w:r>
      <w:r>
        <w:rPr>
          <w:rFonts w:ascii="Times New Roman" w:hAnsi="Times New Roman" w:cs="Times New Roman" w:eastAsia="Times New Roman"/>
          <w:sz w:val="24"/>
        </w:rPr>
        <w:t xml:space="preserve"> </w:t>
      </w:r>
      <m:oMath>
        <m:r>
          <m:t>r</m:t>
        </m:r>
        <m:r>
          <m:rPr>
            <m:sty m:val="p"/>
          </m:rPr>
          <m:t>∈</m:t>
        </m:r>
        <m:r>
          <m:rPr>
            <m:sty m:val="p"/>
          </m:rPr>
          <m:t>(</m:t>
        </m:r>
        <m:r>
          <m:t>0.001</m:t>
        </m:r>
        <m:r>
          <m:rPr>
            <m:sty m:val="p"/>
          </m:rPr>
          <m:t>,</m:t>
        </m:r>
        <m:r>
          <m:t>2</m:t>
        </m:r>
        <m:r>
          <m:rPr>
            <m:sty m:val="p"/>
          </m:rPr>
          <m: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training maximum.</w:t>
      </w:r>
    </w:p>
    <w:p>
      <w:pPr>
        <w:pStyle w:val="BodyText"/>
        <w:spacing w:line="360" w:lineRule="auto" w:after="120"/>
        <w:ind w:firstLine="720"/>
        <w:jc w:val="both"/>
      </w:pPr>
      <w:r>
        <w:rPr>
          <w:rFonts w:ascii="Times New Roman" w:hAnsi="Times New Roman" w:cs="Times New Roman" w:eastAsia="Times New Roman"/>
          <w:sz w:val="24"/>
        </w:rPr>
        <w:t xml:space="preserve">A survey-start variant replaces the surplus initial condition by</w:t>
      </w:r>
      <w:r>
        <w:rPr>
          <w:rFonts w:ascii="Times New Roman" w:hAnsi="Times New Roman" w:cs="Times New Roman" w:eastAsia="Times New Roman"/>
          <w:sz w:val="24"/>
        </w:rPr>
        <w:t xml:space="preserve"> </w:t>
      </w:r>
      <m:oMath>
        <m:acc>
          <m:accPr>
            <m:chr m:val="̂"/>
          </m:accPr>
          <m:e>
            <m:r>
              <m:t>q</m:t>
            </m:r>
          </m:e>
        </m:acc>
        <m:r>
          <m:t> </m:t>
        </m:r>
        <m:sSub>
          <m:e>
            <m:r>
              <m:t>I</m:t>
            </m:r>
          </m:e>
          <m:sub>
            <m:r>
              <m:t>t</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I</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autumn research-vessel abundance index and</w:t>
      </w:r>
      <w:r>
        <w:rPr>
          <w:rFonts w:ascii="Times New Roman" w:hAnsi="Times New Roman" w:cs="Times New Roman" w:eastAsia="Times New Roman"/>
          <w:sz w:val="24"/>
        </w:rPr>
        <w:t xml:space="preserve"> </w:t>
      </w:r>
      <m:oMath>
        <m:acc>
          <m:accPr>
            <m:chr m:val="̂"/>
          </m:accPr>
          <m:e>
            <m:r>
              <m:t>q</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training-window median of</w:t>
      </w:r>
      <w:r>
        <w:rPr>
          <w:rFonts w:ascii="Times New Roman" w:hAnsi="Times New Roman" w:cs="Times New Roman" w:eastAsia="Times New Roman"/>
          <w:sz w:val="24"/>
        </w:rPr>
        <w:t xml:space="preserve"> </w:t>
      </w:r>
      <m:oMath>
        <m:r>
          <m:rPr>
            <m:sty m:val="p"/>
          </m:rPr>
          <m:t>S</m:t>
        </m:r>
        <m:r>
          <m:rPr>
            <m:sty m:val="p"/>
          </m:rPr>
          <m:t>S</m:t>
        </m:r>
        <m:r>
          <m:rPr>
            <m:sty m:val="p"/>
          </m:rPr>
          <m:t>B</m:t>
        </m:r>
        <m:r>
          <m:rPr>
            <m:sty m:val="p"/>
          </m:rPr>
          <m:t>/</m:t>
        </m:r>
        <m:r>
          <m:t>I</m:t>
        </m:r>
      </m:oMath>
      <w:r>
        <w:rPr>
          <w:rFonts w:ascii="Times New Roman" w:hAnsi="Times New Roman" w:cs="Times New Roman" w:eastAsia="Times New Roman"/>
          <w:sz w:val="24"/>
        </w:rPr>
        <w:t xml:space="preserve">. The index is an NCAM input, not an independent stock.</w:t>
      </w:r>
    </w:p>
    <w:p>
      <w:pPr>
        <w:pStyle w:val="BodyText"/>
        <w:spacing w:line="360" w:lineRule="auto" w:after="120"/>
        <w:ind w:firstLine="720"/>
        <w:jc w:val="both"/>
      </w:pPr>
      <w:r>
        <w:rPr>
          <w:rFonts w:ascii="Times New Roman" w:hAnsi="Times New Roman" w:cs="Times New Roman" w:eastAsia="Times New Roman"/>
          <w:sz w:val="24"/>
        </w:rPr>
        <w:t xml:space="preserve">Prey-informed variants (Section 5.4) scale surplus production by a 1991 capelin regime or by the tabulated 3L spring acoustic index. Pre-1991 acoustic values are not carried across 1991. Missing survey years are not interpolated.</w:t>
      </w:r>
    </w:p>
    <w:bookmarkEnd w:id="23"/>
    <w:bookmarkStart w:id="24" w:name="evaluation"/>
    <w:p>
      <w:pPr>
        <w:pStyle w:val="Heading1"/>
        <w:spacing w:before="360" w:after="120" w:line="360" w:lineRule="auto"/>
        <w:ind w:firstLine="0" w:left="0"/>
        <w:jc w:val="left"/>
      </w:pPr>
      <w:r>
        <w:rPr>
          <w:rFonts w:ascii="Times New Roman" w:hAnsi="Times New Roman" w:cs="Times New Roman" w:eastAsia="Times New Roman"/>
          <w:b/>
          <w:sz w:val="28"/>
        </w:rPr>
        <w:t xml:space="preserve">4. Evaluation</w:t>
      </w:r>
    </w:p>
    <w:p>
      <w:pPr>
        <w:pStyle w:val="FirstParagraph"/>
        <w:spacing w:line="360" w:lineRule="auto" w:after="120"/>
        <w:ind w:firstLine="720"/>
        <w:jc w:val="both"/>
      </w:pPr>
      <w:r>
        <w:rPr>
          <w:rFonts w:ascii="Times New Roman" w:hAnsi="Times New Roman" w:cs="Times New Roman" w:eastAsia="Times New Roman"/>
          <w:sz w:val="24"/>
        </w:rPr>
        <w:t xml:space="preserve">Fixed windows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collapse, train 1983–1990, test 1991–1995; recovery, train 1995–2007, test 2008–2015. Rolling origin: minimum eight training years; horizons</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The primary score is RMSE of SSB (kt). Secondary scores are mean absolute error, RMSE on</w:t>
      </w:r>
      <w:r>
        <w:rPr>
          <w:rFonts w:ascii="Times New Roman" w:hAnsi="Times New Roman" w:cs="Times New Roman" w:eastAsia="Times New Roman"/>
          <w:sz w:val="24"/>
        </w:rPr>
        <w:t xml:space="preserve"> </w:t>
      </w:r>
      <m:oMath>
        <m:r>
          <m:rPr>
            <m:sty m:val="p"/>
          </m:rPr>
          <m:t>log</m:t>
        </m:r>
        <m:r>
          <m:t>S</m:t>
        </m:r>
      </m:oMath>
      <w:r>
        <w:rPr>
          <w:rFonts w:ascii="Times New Roman" w:hAnsi="Times New Roman" w:cs="Times New Roman" w:eastAsia="Times New Roman"/>
          <w:sz w:val="24"/>
        </w:rPr>
        <w:t xml:space="preserve">, Brier score for</w:t>
      </w:r>
      <w:r>
        <w:rPr>
          <w:rFonts w:ascii="Times New Roman" w:hAnsi="Times New Roman" w:cs="Times New Roman" w:eastAsia="Times New Roman"/>
          <w:sz w:val="24"/>
        </w:rPr>
        <w:t xml:space="preserve"> </w:t>
      </w:r>
      <m:oMath>
        <m:r>
          <m:rPr>
            <m:sty m:val="b"/>
          </m:rPr>
          <m:t>1</m:t>
        </m:r>
        <m:r>
          <m:rPr>
            <m:sty m:val="p"/>
          </m:rPr>
          <m:t>{</m:t>
        </m:r>
        <m:acc>
          <m:accPr>
            <m:chr m:val="̂"/>
          </m:accPr>
          <m:e>
            <m:r>
              <m:t>S</m:t>
            </m:r>
          </m:e>
        </m:acc>
        <m:r>
          <m:rPr>
            <m:sty m:val="p"/>
          </m:rPr>
          <m:t>&lt;</m:t>
        </m:r>
        <m:r>
          <m:rPr>
            <m:sty m:val="p"/>
          </m:rPr>
          <m:t>L</m:t>
        </m:r>
        <m:r>
          <m:rPr>
            <m:sty m:val="p"/>
          </m:rPr>
          <m:t>R</m:t>
        </m:r>
        <m:r>
          <m:rPr>
            <m:sty m:val="p"/>
          </m:rPr>
          <m:t>P</m:t>
        </m:r>
        <m:r>
          <m:rPr>
            <m:sty m:val="p"/>
          </m:rPr>
          <m:t>}</m:t>
        </m:r>
      </m:oMath>
      <w:r>
        <w:rPr>
          <w:rFonts w:ascii="Times New Roman" w:hAnsi="Times New Roman" w:cs="Times New Roman" w:eastAsia="Times New Roman"/>
          <w:sz w:val="24"/>
        </w:rPr>
        <w:t xml:space="preserve">, and the sign-hit rate of</w:t>
      </w:r>
      <w:r>
        <w:rPr>
          <w:rFonts w:ascii="Times New Roman" w:hAnsi="Times New Roman" w:cs="Times New Roman" w:eastAsia="Times New Roman"/>
          <w:sz w:val="24"/>
        </w:rPr>
        <w:t xml:space="preserve"> </w:t>
      </w:r>
      <m:oMath>
        <m:r>
          <m:t>Δ</m:t>
        </m:r>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fixed windows.</w:t>
      </w:r>
    </w:p>
    <w:p>
      <w:pPr>
        <w:pStyle w:val="BodyText"/>
        <w:spacing w:line="360" w:lineRule="auto" w:after="120"/>
        <w:ind w:firstLine="720"/>
        <w:jc w:val="both"/>
      </w:pPr>
      <w:r>
        <w:rPr>
          <w:rFonts w:ascii="Times New Roman" w:hAnsi="Times New Roman" w:cs="Times New Roman" w:eastAsia="Times New Roman"/>
          <w:sz w:val="24"/>
        </w:rPr>
        <w:t xml:space="preserve">A module is retained only if it reduces primary RMSE relative to the next-simpler model and relative to persistence. Retention is decided separately on each specification.</w:t>
      </w:r>
    </w:p>
    <w:p>
      <w:pPr>
        <w:pStyle w:val="BodyText"/>
        <w:spacing w:line="360" w:lineRule="auto" w:after="120"/>
        <w:ind w:firstLine="720"/>
        <w:jc w:val="both"/>
      </w:pP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collapse window is train 1954–1989, test 1990–1995, and the recovery-stall window is train 1995–2012, test 2013–2024. Catch is Table 1 landings (2024 persisted from 2023). No row is taken from NCAM 2016. The ladder’s rolling origin on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uses a minimum of twelve training years (</w:t>
      </w:r>
      <m:oMath>
        <m:r>
          <m:t>n</m:t>
        </m:r>
        <m:r>
          <m:rPr>
            <m:sty m:val="p"/>
          </m:rPr>
          <m:t>=</m:t>
        </m:r>
        <m:r>
          <m:t>59</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r>
          <m:rPr>
            <m:sty m:val="p"/>
          </m:rPr>
          <m:t>=</m:t>
        </m:r>
        <m:r>
          <m:t>55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the naive baselines retain the eight-year minimum (</w:t>
      </w:r>
      <m:oMath>
        <m:r>
          <m:t>n</m:t>
        </m:r>
        <m:r>
          <m:rPr>
            <m:sty m:val="p"/>
          </m:rPr>
          <m:t>=</m:t>
        </m:r>
        <m:r>
          <m:t>63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59</m:t>
        </m:r>
      </m:oMath>
      <w:r>
        <w:rPr>
          <w:rFonts w:ascii="Times New Roman" w:hAnsi="Times New Roman" w:cs="Times New Roman" w:eastAsia="Times New Roman"/>
          <w:sz w:val="24"/>
        </w:rPr>
        <w:t xml:space="preserve">).</w:t>
      </w:r>
    </w:p>
    <w:bookmarkEnd w:id="24"/>
    <w:bookmarkStart w:id="41" w:name="results"/>
    <w:p>
      <w:pPr>
        <w:pStyle w:val="Heading1"/>
        <w:spacing w:before="360" w:after="120" w:line="360" w:lineRule="auto"/>
        <w:ind w:firstLine="0" w:left="0"/>
        <w:jc w:val="left"/>
      </w:pPr>
      <w:r>
        <w:rPr>
          <w:rFonts w:ascii="Times New Roman" w:hAnsi="Times New Roman" w:cs="Times New Roman" w:eastAsia="Times New Roman"/>
          <w:b/>
          <w:sz w:val="28"/>
        </w:rPr>
        <w:t xml:space="preserve">5. Results</w:t>
      </w:r>
    </w:p>
    <w:bookmarkStart w:id="34" w:name="primary-specification"/>
    <w:p>
      <w:pPr>
        <w:pStyle w:val="Heading2"/>
        <w:spacing w:before="240" w:after="120" w:line="360" w:lineRule="auto"/>
        <w:ind w:firstLine="0" w:left="0"/>
        <w:jc w:val="left"/>
      </w:pPr>
      <w:r>
        <w:rPr>
          <w:rFonts w:ascii="Times New Roman" w:hAnsi="Times New Roman" w:cs="Times New Roman" w:eastAsia="Times New Roman"/>
          <w:b/>
          <w:sz w:val="24"/>
        </w:rPr>
        <w:t xml:space="preserve">5.1 Primary specification</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667000"/>
            <wp:effectExtent b="0" l="0" r="0" t="0"/>
            <wp:docPr descr="Figure 1" title="" id="26" name="Picture"/>
            <a:graphic>
              <a:graphicData uri="http://schemas.openxmlformats.org/drawingml/2006/picture">
                <pic:pic>
                  <pic:nvPicPr>
                    <pic:cNvPr descr="fig1_series.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1</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NCAM</w:t>
      </w:r>
      <w:r>
        <w:rPr>
          <w:rFonts w:ascii="Times New Roman" w:hAnsi="Times New Roman" w:cs="Times New Roman" w:eastAsia="Times New Roman"/>
          <w:sz w:val="20"/>
        </w:rPr>
        <w:t xml:space="preserve"> </w:t>
      </w:r>
      <m:oMath>
        <m:r>
          <m:t>M</m:t>
        </m:r>
      </m:oMath>
      <w:r>
        <w:rPr>
          <w:rFonts w:ascii="Times New Roman" w:hAnsi="Times New Roman" w:cs="Times New Roman" w:eastAsia="Times New Roman"/>
          <w:sz w:val="20"/>
        </w:rPr>
        <w:t xml:space="preserve">-shift SSB (DFO 2016, Table A2). Dashed line: 2016 LRP</w:t>
      </w:r>
      <w:r>
        <w:rPr>
          <w:rFonts w:ascii="Times New Roman" w:hAnsi="Times New Roman" w:cs="Times New Roman" w:eastAsia="Times New Roman"/>
          <w:sz w:val="20"/>
        </w:rPr>
        <w:t xml:space="preserve"> </w:t>
      </w:r>
      <m:oMath>
        <m:r>
          <m:rPr>
            <m:sty m:val="p"/>
          </m:rPr>
          <m:t>=</m:t>
        </m:r>
        <m:r>
          <m:t>884.6</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kt. 2015 SSB is 33.8% of that LRP, matching the advisory report statement of 34%.</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222500"/>
            <wp:effectExtent b="0" l="0" r="0" t="0"/>
            <wp:docPr descr="Figure 2" title="" id="29" name="Picture"/>
            <a:graphic>
              <a:graphicData uri="http://schemas.openxmlformats.org/drawingml/2006/picture">
                <pic:pic>
                  <pic:nvPicPr>
                    <pic:cNvPr descr="fig2_windows.png" id="30" name="Picture"/>
                    <pic:cNvPicPr>
                      <a:picLocks noChangeArrowheads="1" noChangeAspect="1"/>
                    </pic:cNvPicPr>
                  </pic:nvPicPr>
                  <pic:blipFill>
                    <a:blip r:embed="rId2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2</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Multi-step forecasts from the end of each training window. Recovery is under-predicted when an AR residual fitted on a slow early-recovery train is persisted.</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3.</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Fixed-window scores (RMSE in kt).</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Window</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RMSE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MAE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log-RMSE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Brier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Direction</w:t>
            </w:r>
          </w:p>
        </w:tc>
      </w:tr>
      <w:tr>
        <w:tc>
          <w:tcPr/>
          <w:p>
            <w:pPr>
              <w:pStyle w:val="Compact"/>
              <w:spacing w:line="240" w:lineRule="auto" w:after="40" w:before="40"/>
              <w:jc w:val="left"/>
            </w:pPr>
            <w:r>
              <w:rPr>
                <w:rFonts w:ascii="Times New Roman" w:hAnsi="Times New Roman" w:cs="Times New Roman" w:eastAsia="Times New Roman"/>
                <w:sz w:val="19"/>
              </w:rPr>
              <w:t xml:space="preserve">Collapse</w:t>
            </w:r>
          </w:p>
        </w:tc>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694</w:t>
            </w:r>
          </w:p>
        </w:tc>
        <w:tc>
          <w:tcPr/>
          <w:p>
            <w:pPr>
              <w:pStyle w:val="Compact"/>
              <w:spacing w:line="240" w:lineRule="auto" w:after="40" w:before="40"/>
              <w:jc w:val="left"/>
            </w:pPr>
            <w:r>
              <w:rPr>
                <w:rFonts w:ascii="Times New Roman" w:hAnsi="Times New Roman" w:cs="Times New Roman" w:eastAsia="Times New Roman"/>
                <w:sz w:val="19"/>
              </w:rPr>
              <w:t xml:space="preserve">638</w:t>
            </w:r>
          </w:p>
        </w:tc>
        <w:tc>
          <w:tcPr/>
          <w:p>
            <w:pPr>
              <w:pStyle w:val="Compact"/>
              <w:spacing w:line="240" w:lineRule="auto" w:after="40" w:before="40"/>
              <w:jc w:val="left"/>
            </w:pPr>
            <w:r>
              <w:rPr>
                <w:rFonts w:ascii="Times New Roman" w:hAnsi="Times New Roman" w:cs="Times New Roman" w:eastAsia="Times New Roman"/>
                <w:sz w:val="19"/>
              </w:rPr>
              <w:t xml:space="preserve">2.73</w:t>
            </w:r>
          </w:p>
        </w:tc>
        <w:tc>
          <w:tcPr/>
          <w:p>
            <w:pPr>
              <w:pStyle w:val="Compact"/>
              <w:spacing w:line="240" w:lineRule="auto" w:after="40" w:before="40"/>
              <w:jc w:val="left"/>
            </w:pPr>
            <w:r>
              <w:rPr>
                <w:rFonts w:ascii="Times New Roman" w:hAnsi="Times New Roman" w:cs="Times New Roman" w:eastAsia="Times New Roman"/>
                <w:sz w:val="19"/>
              </w:rPr>
              <w:t xml:space="preserve">1.00</w:t>
            </w:r>
          </w:p>
        </w:tc>
        <w:tc>
          <w:tcPr/>
          <w:p>
            <w:pPr>
              <w:pStyle w:val="Compact"/>
              <w:spacing w:line="240" w:lineRule="auto" w:after="40" w:before="40"/>
              <w:jc w:val="left"/>
            </w:pPr>
            <w:r>
              <w:rPr>
                <w:rFonts w:ascii="Times New Roman" w:hAnsi="Times New Roman" w:cs="Times New Roman" w:eastAsia="Times New Roman"/>
                <w:sz w:val="19"/>
              </w:rPr>
              <w:t xml:space="preserve">0.50</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sz w:val="19"/>
              </w:rPr>
              <w:t xml:space="preserve">694</w:t>
            </w:r>
          </w:p>
        </w:tc>
        <w:tc>
          <w:tcPr/>
          <w:p>
            <w:pPr>
              <w:pStyle w:val="Compact"/>
              <w:spacing w:line="240" w:lineRule="auto" w:after="40" w:before="40"/>
              <w:jc w:val="left"/>
            </w:pPr>
            <w:r>
              <w:rPr>
                <w:rFonts w:ascii="Times New Roman" w:hAnsi="Times New Roman" w:cs="Times New Roman" w:eastAsia="Times New Roman"/>
                <w:sz w:val="19"/>
              </w:rPr>
              <w:t xml:space="preserve">636</w:t>
            </w:r>
          </w:p>
        </w:tc>
        <w:tc>
          <w:tcPr/>
          <w:p>
            <w:pPr>
              <w:pStyle w:val="Compact"/>
              <w:spacing w:line="240" w:lineRule="auto" w:after="40" w:before="40"/>
              <w:jc w:val="left"/>
            </w:pPr>
            <w:r>
              <w:rPr>
                <w:rFonts w:ascii="Times New Roman" w:hAnsi="Times New Roman" w:cs="Times New Roman" w:eastAsia="Times New Roman"/>
                <w:sz w:val="19"/>
              </w:rPr>
              <w:t xml:space="preserve">2.73</w:t>
            </w:r>
          </w:p>
        </w:tc>
        <w:tc>
          <w:tcPr/>
          <w:p>
            <w:pPr>
              <w:pStyle w:val="Compact"/>
              <w:spacing w:line="240" w:lineRule="auto" w:after="40" w:before="40"/>
              <w:jc w:val="left"/>
            </w:pPr>
            <w:r>
              <w:rPr>
                <w:rFonts w:ascii="Times New Roman" w:hAnsi="Times New Roman" w:cs="Times New Roman" w:eastAsia="Times New Roman"/>
                <w:sz w:val="19"/>
              </w:rPr>
              <w:t xml:space="preserve">0.80</w:t>
            </w:r>
          </w:p>
        </w:tc>
        <w:tc>
          <w:tcPr/>
          <w:p>
            <w:pPr>
              <w:pStyle w:val="Compact"/>
              <w:spacing w:line="240" w:lineRule="auto" w:after="40" w:before="40"/>
              <w:jc w:val="left"/>
            </w:pPr>
            <w:r>
              <w:rPr>
                <w:rFonts w:ascii="Times New Roman" w:hAnsi="Times New Roman" w:cs="Times New Roman" w:eastAsia="Times New Roman"/>
                <w:sz w:val="19"/>
              </w:rPr>
              <w:t xml:space="preserve">0.00</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819</w:t>
            </w:r>
          </w:p>
        </w:tc>
        <w:tc>
          <w:tcPr/>
          <w:p>
            <w:pPr>
              <w:pStyle w:val="Compact"/>
              <w:spacing w:line="240" w:lineRule="auto" w:after="40" w:before="40"/>
              <w:jc w:val="left"/>
            </w:pPr>
            <w:r>
              <w:rPr>
                <w:rFonts w:ascii="Times New Roman" w:hAnsi="Times New Roman" w:cs="Times New Roman" w:eastAsia="Times New Roman"/>
                <w:sz w:val="19"/>
              </w:rPr>
              <w:t xml:space="preserve">751</w:t>
            </w:r>
          </w:p>
        </w:tc>
        <w:tc>
          <w:tcPr/>
          <w:p>
            <w:pPr>
              <w:pStyle w:val="Compact"/>
              <w:spacing w:line="240" w:lineRule="auto" w:after="40" w:before="40"/>
              <w:jc w:val="left"/>
            </w:pPr>
            <w:r>
              <w:rPr>
                <w:rFonts w:ascii="Times New Roman" w:hAnsi="Times New Roman" w:cs="Times New Roman" w:eastAsia="Times New Roman"/>
                <w:sz w:val="19"/>
              </w:rPr>
              <w:t xml:space="preserve">2.85</w:t>
            </w:r>
          </w:p>
        </w:tc>
        <w:tc>
          <w:tcPr/>
          <w:p>
            <w:pPr>
              <w:pStyle w:val="Compact"/>
              <w:spacing w:line="240" w:lineRule="auto" w:after="40" w:before="40"/>
              <w:jc w:val="left"/>
            </w:pPr>
            <w:r>
              <w:rPr>
                <w:rFonts w:ascii="Times New Roman" w:hAnsi="Times New Roman" w:cs="Times New Roman" w:eastAsia="Times New Roman"/>
                <w:sz w:val="19"/>
              </w:rPr>
              <w:t xml:space="preserve">1.00</w:t>
            </w:r>
          </w:p>
        </w:tc>
        <w:tc>
          <w:tcPr/>
          <w:p>
            <w:pPr>
              <w:pStyle w:val="Compact"/>
              <w:spacing w:line="240" w:lineRule="auto" w:after="40" w:before="40"/>
              <w:jc w:val="left"/>
            </w:pPr>
            <w:r>
              <w:rPr>
                <w:rFonts w:ascii="Times New Roman" w:hAnsi="Times New Roman" w:cs="Times New Roman" w:eastAsia="Times New Roman"/>
                <w:sz w:val="19"/>
              </w:rPr>
              <w:t xml:space="preserve">0.25</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819</w:t>
            </w:r>
          </w:p>
        </w:tc>
        <w:tc>
          <w:tcPr/>
          <w:p>
            <w:pPr>
              <w:pStyle w:val="Compact"/>
              <w:spacing w:line="240" w:lineRule="auto" w:after="40" w:before="40"/>
              <w:jc w:val="left"/>
            </w:pPr>
            <w:r>
              <w:rPr>
                <w:rFonts w:ascii="Times New Roman" w:hAnsi="Times New Roman" w:cs="Times New Roman" w:eastAsia="Times New Roman"/>
                <w:sz w:val="19"/>
              </w:rPr>
              <w:t xml:space="preserve">751</w:t>
            </w:r>
          </w:p>
        </w:tc>
        <w:tc>
          <w:tcPr/>
          <w:p>
            <w:pPr>
              <w:pStyle w:val="Compact"/>
              <w:spacing w:line="240" w:lineRule="auto" w:after="40" w:before="40"/>
              <w:jc w:val="left"/>
            </w:pPr>
            <w:r>
              <w:rPr>
                <w:rFonts w:ascii="Times New Roman" w:hAnsi="Times New Roman" w:cs="Times New Roman" w:eastAsia="Times New Roman"/>
                <w:sz w:val="19"/>
              </w:rPr>
              <w:t xml:space="preserve">2.85</w:t>
            </w:r>
          </w:p>
        </w:tc>
        <w:tc>
          <w:tcPr/>
          <w:p>
            <w:pPr>
              <w:pStyle w:val="Compact"/>
              <w:spacing w:line="240" w:lineRule="auto" w:after="40" w:before="40"/>
              <w:jc w:val="left"/>
            </w:pPr>
            <w:r>
              <w:rPr>
                <w:rFonts w:ascii="Times New Roman" w:hAnsi="Times New Roman" w:cs="Times New Roman" w:eastAsia="Times New Roman"/>
                <w:sz w:val="19"/>
              </w:rPr>
              <w:t xml:space="preserve">1.00</w:t>
            </w:r>
          </w:p>
        </w:tc>
        <w:tc>
          <w:tcPr/>
          <w:p>
            <w:pPr>
              <w:pStyle w:val="Compact"/>
              <w:spacing w:line="240" w:lineRule="auto" w:after="40" w:before="40"/>
              <w:jc w:val="left"/>
            </w:pPr>
            <w:r>
              <w:rPr>
                <w:rFonts w:ascii="Times New Roman" w:hAnsi="Times New Roman" w:cs="Times New Roman" w:eastAsia="Times New Roman"/>
                <w:sz w:val="19"/>
              </w:rPr>
              <w:t xml:space="preserve">0.25</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819</w:t>
            </w:r>
          </w:p>
        </w:tc>
        <w:tc>
          <w:tcPr/>
          <w:p>
            <w:pPr>
              <w:pStyle w:val="Compact"/>
              <w:spacing w:line="240" w:lineRule="auto" w:after="40" w:before="40"/>
              <w:jc w:val="left"/>
            </w:pPr>
            <w:r>
              <w:rPr>
                <w:rFonts w:ascii="Times New Roman" w:hAnsi="Times New Roman" w:cs="Times New Roman" w:eastAsia="Times New Roman"/>
                <w:sz w:val="19"/>
              </w:rPr>
              <w:t xml:space="preserve">750</w:t>
            </w:r>
          </w:p>
        </w:tc>
        <w:tc>
          <w:tcPr/>
          <w:p>
            <w:pPr>
              <w:pStyle w:val="Compact"/>
              <w:spacing w:line="240" w:lineRule="auto" w:after="40" w:before="40"/>
              <w:jc w:val="left"/>
            </w:pPr>
            <w:r>
              <w:rPr>
                <w:rFonts w:ascii="Times New Roman" w:hAnsi="Times New Roman" w:cs="Times New Roman" w:eastAsia="Times New Roman"/>
                <w:sz w:val="19"/>
              </w:rPr>
              <w:t xml:space="preserve">2.85</w:t>
            </w:r>
          </w:p>
        </w:tc>
        <w:tc>
          <w:tcPr/>
          <w:p>
            <w:pPr>
              <w:pStyle w:val="Compact"/>
              <w:spacing w:line="240" w:lineRule="auto" w:after="40" w:before="40"/>
              <w:jc w:val="left"/>
            </w:pPr>
            <w:r>
              <w:rPr>
                <w:rFonts w:ascii="Times New Roman" w:hAnsi="Times New Roman" w:cs="Times New Roman" w:eastAsia="Times New Roman"/>
                <w:sz w:val="19"/>
              </w:rPr>
              <w:t xml:space="preserve">1.00</w:t>
            </w:r>
          </w:p>
        </w:tc>
        <w:tc>
          <w:tcPr/>
          <w:p>
            <w:pPr>
              <w:pStyle w:val="Compact"/>
              <w:spacing w:line="240" w:lineRule="auto" w:after="40" w:before="40"/>
              <w:jc w:val="left"/>
            </w:pPr>
            <w:r>
              <w:rPr>
                <w:rFonts w:ascii="Times New Roman" w:hAnsi="Times New Roman" w:cs="Times New Roman" w:eastAsia="Times New Roman"/>
                <w:sz w:val="19"/>
              </w:rPr>
              <w:t xml:space="preserve">0.25</w:t>
            </w:r>
          </w:p>
        </w:tc>
      </w:tr>
      <w:tr>
        <w:tc>
          <w:tcPr/>
          <w:p>
            <w:pPr>
              <w:pStyle w:val="Compact"/>
              <w:spacing w:line="240" w:lineRule="auto" w:after="40" w:before="40"/>
              <w:jc w:val="left"/>
            </w:pPr>
            <w:r>
              <w:rPr>
                <w:rFonts w:ascii="Times New Roman" w:hAnsi="Times New Roman" w:cs="Times New Roman" w:eastAsia="Times New Roman"/>
                <w:sz w:val="19"/>
              </w:rPr>
              <w:t xml:space="preserve">Recovery</w:t>
            </w:r>
          </w:p>
        </w:tc>
        <w:tc>
          <w:tcPr/>
          <w:p>
            <w:pPr>
              <w:pStyle w:val="Compact"/>
              <w:spacing w:line="240" w:lineRule="auto" w:after="40" w:before="40"/>
              <w:jc w:val="left"/>
            </w:pPr>
            <w:r>
              <w:rPr>
                <w:rFonts w:ascii="Times New Roman" w:hAnsi="Times New Roman" w:cs="Times New Roman" w:eastAsia="Times New Roman"/>
                <w:sz w:val="19"/>
              </w:rPr>
              <w:t xml:space="preserve">M1</w:t>
            </w:r>
            <w:r>
              <w:rPr>
                <w:rFonts w:ascii="Times New Roman" w:hAnsi="Times New Roman" w:cs="Times New Roman" w:eastAsia="Times New Roman"/>
                <w:sz w:val="19"/>
              </w:rPr>
              <w:t xml:space="preserve"> </w:t>
            </w:r>
            <m:oMath>
              <m:r>
                <m:rPr>
                  <m:sty m:val="p"/>
                </m:rPr>
                <m:t>=</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120</w:t>
            </w:r>
          </w:p>
        </w:tc>
        <w:tc>
          <w:tcPr/>
          <w:p>
            <w:pPr>
              <w:pStyle w:val="Compact"/>
              <w:spacing w:line="240" w:lineRule="auto" w:after="40" w:before="40"/>
              <w:jc w:val="left"/>
            </w:pPr>
            <w:r>
              <w:rPr>
                <w:rFonts w:ascii="Times New Roman" w:hAnsi="Times New Roman" w:cs="Times New Roman" w:eastAsia="Times New Roman"/>
                <w:sz w:val="19"/>
              </w:rPr>
              <w:t xml:space="preserve">105</w:t>
            </w:r>
          </w:p>
        </w:tc>
        <w:tc>
          <w:tcPr/>
          <w:p>
            <w:pPr>
              <w:pStyle w:val="Compact"/>
              <w:spacing w:line="240" w:lineRule="auto" w:after="40" w:before="40"/>
              <w:jc w:val="left"/>
            </w:pPr>
            <w:r>
              <w:rPr>
                <w:rFonts w:ascii="Times New Roman" w:hAnsi="Times New Roman" w:cs="Times New Roman" w:eastAsia="Times New Roman"/>
                <w:sz w:val="19"/>
              </w:rPr>
              <w:t xml:space="preserve">0.61</w:t>
            </w:r>
          </w:p>
        </w:tc>
        <w:tc>
          <w:tcPr/>
          <w:p>
            <w:pPr>
              <w:pStyle w:val="Compact"/>
              <w:spacing w:line="240" w:lineRule="auto" w:after="40" w:before="40"/>
              <w:jc w:val="left"/>
            </w:pPr>
            <w:r>
              <w:rPr>
                <w:rFonts w:ascii="Times New Roman" w:hAnsi="Times New Roman" w:cs="Times New Roman" w:eastAsia="Times New Roman"/>
                <w:sz w:val="19"/>
              </w:rPr>
              <w:t xml:space="preserve">0.00</w:t>
            </w:r>
          </w:p>
        </w:tc>
        <w:tc>
          <w:tcPr/>
          <w:p>
            <w:pPr>
              <w:pStyle w:val="Compact"/>
              <w:spacing w:line="240" w:lineRule="auto" w:after="40" w:before="40"/>
              <w:jc w:val="left"/>
            </w:pPr>
            <w:r>
              <w:rPr>
                <w:rFonts w:ascii="Times New Roman" w:hAnsi="Times New Roman" w:cs="Times New Roman" w:eastAsia="Times New Roman"/>
                <w:sz w:val="19"/>
              </w:rPr>
              <w:t xml:space="preserve">0.57</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b/>
                <w:bCs/>
                <w:sz w:val="19"/>
              </w:rPr>
              <w:t xml:space="preserve">90</w:t>
            </w:r>
          </w:p>
        </w:tc>
        <w:tc>
          <w:tcPr/>
          <w:p>
            <w:pPr>
              <w:pStyle w:val="Compact"/>
              <w:spacing w:line="240" w:lineRule="auto" w:after="40" w:before="40"/>
              <w:jc w:val="left"/>
            </w:pPr>
            <w:r>
              <w:rPr>
                <w:rFonts w:ascii="Times New Roman" w:hAnsi="Times New Roman" w:cs="Times New Roman" w:eastAsia="Times New Roman"/>
                <w:sz w:val="19"/>
              </w:rPr>
              <w:t xml:space="preserve">55</w:t>
            </w:r>
          </w:p>
        </w:tc>
        <w:tc>
          <w:tcPr/>
          <w:p>
            <w:pPr>
              <w:pStyle w:val="Compact"/>
              <w:spacing w:line="240" w:lineRule="auto" w:after="40" w:before="40"/>
              <w:jc w:val="left"/>
            </w:pPr>
            <w:r>
              <w:rPr>
                <w:rFonts w:ascii="Times New Roman" w:hAnsi="Times New Roman" w:cs="Times New Roman" w:eastAsia="Times New Roman"/>
                <w:sz w:val="19"/>
              </w:rPr>
              <w:t xml:space="preserve">0.52</w:t>
            </w:r>
          </w:p>
        </w:tc>
        <w:tc>
          <w:tcPr/>
          <w:p>
            <w:pPr>
              <w:pStyle w:val="Compact"/>
              <w:spacing w:line="240" w:lineRule="auto" w:after="40" w:before="40"/>
              <w:jc w:val="left"/>
            </w:pPr>
            <w:r>
              <w:rPr>
                <w:rFonts w:ascii="Times New Roman" w:hAnsi="Times New Roman" w:cs="Times New Roman" w:eastAsia="Times New Roman"/>
                <w:sz w:val="19"/>
              </w:rPr>
              <w:t xml:space="preserve">0.00</w:t>
            </w:r>
          </w:p>
        </w:tc>
        <w:tc>
          <w:tcPr/>
          <w:p>
            <w:pPr>
              <w:pStyle w:val="Compact"/>
              <w:spacing w:line="240" w:lineRule="auto" w:after="40" w:before="40"/>
              <w:jc w:val="left"/>
            </w:pPr>
            <w:r>
              <w:rPr>
                <w:rFonts w:ascii="Times New Roman" w:hAnsi="Times New Roman" w:cs="Times New Roman" w:eastAsia="Times New Roman"/>
                <w:sz w:val="19"/>
              </w:rPr>
              <w:t xml:space="preserve">0.57</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220</w:t>
            </w:r>
          </w:p>
        </w:tc>
        <w:tc>
          <w:tcPr/>
          <w:p>
            <w:pPr>
              <w:pStyle w:val="Compact"/>
              <w:spacing w:line="240" w:lineRule="auto" w:after="40" w:before="40"/>
              <w:jc w:val="left"/>
            </w:pPr>
            <w:r>
              <w:rPr>
                <w:rFonts w:ascii="Times New Roman" w:hAnsi="Times New Roman" w:cs="Times New Roman" w:eastAsia="Times New Roman"/>
                <w:sz w:val="19"/>
              </w:rPr>
              <w:t xml:space="preserve">200</w:t>
            </w:r>
          </w:p>
        </w:tc>
        <w:tc>
          <w:tcPr/>
          <w:p>
            <w:pPr>
              <w:pStyle w:val="Compact"/>
              <w:spacing w:line="240" w:lineRule="auto" w:after="40" w:before="40"/>
              <w:jc w:val="left"/>
            </w:pPr>
            <w:r>
              <w:rPr>
                <w:rFonts w:ascii="Times New Roman" w:hAnsi="Times New Roman" w:cs="Times New Roman" w:eastAsia="Times New Roman"/>
                <w:sz w:val="19"/>
              </w:rPr>
              <w:t xml:space="preserve">0.92</w:t>
            </w:r>
          </w:p>
        </w:tc>
        <w:tc>
          <w:tcPr/>
          <w:p>
            <w:pPr>
              <w:pStyle w:val="Compact"/>
              <w:spacing w:line="240" w:lineRule="auto" w:after="40" w:before="40"/>
              <w:jc w:val="left"/>
            </w:pPr>
            <w:r>
              <w:rPr>
                <w:rFonts w:ascii="Times New Roman" w:hAnsi="Times New Roman" w:cs="Times New Roman" w:eastAsia="Times New Roman"/>
                <w:sz w:val="19"/>
              </w:rPr>
              <w:t xml:space="preserve">0.00</w:t>
            </w:r>
          </w:p>
        </w:tc>
        <w:tc>
          <w:tcPr/>
          <w:p>
            <w:pPr>
              <w:pStyle w:val="Compact"/>
              <w:spacing w:line="240" w:lineRule="auto" w:after="40" w:before="40"/>
              <w:jc w:val="left"/>
            </w:pPr>
            <w:r>
              <w:rPr>
                <w:rFonts w:ascii="Times New Roman" w:hAnsi="Times New Roman" w:cs="Times New Roman" w:eastAsia="Times New Roman"/>
                <w:sz w:val="19"/>
              </w:rPr>
              <w:t xml:space="preserve">0.57</w:t>
            </w:r>
          </w:p>
        </w:tc>
      </w:tr>
      <w:tr>
        <w:tc>
          <w:tcPr/>
          <w:p>
            <w:pPr>
              <w:pStyle w:val="Compact"/>
              <w:spacing w:line="240" w:lineRule="auto" w:after="40" w:before="40"/>
              <w:jc w:val="left"/>
            </w:pPr>
          </w:p>
        </w:tc>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214</w:t>
            </w:r>
          </w:p>
        </w:tc>
        <w:tc>
          <w:tcPr/>
          <w:p>
            <w:pPr>
              <w:pStyle w:val="Compact"/>
              <w:spacing w:line="240" w:lineRule="auto" w:after="40" w:before="40"/>
              <w:jc w:val="left"/>
            </w:pPr>
            <w:r>
              <w:rPr>
                <w:rFonts w:ascii="Times New Roman" w:hAnsi="Times New Roman" w:cs="Times New Roman" w:eastAsia="Times New Roman"/>
                <w:sz w:val="19"/>
              </w:rPr>
              <w:t xml:space="preserve">195</w:t>
            </w:r>
          </w:p>
        </w:tc>
        <w:tc>
          <w:tcPr/>
          <w:p>
            <w:pPr>
              <w:pStyle w:val="Compact"/>
              <w:spacing w:line="240" w:lineRule="auto" w:after="40" w:before="40"/>
              <w:jc w:val="left"/>
            </w:pPr>
            <w:r>
              <w:rPr>
                <w:rFonts w:ascii="Times New Roman" w:hAnsi="Times New Roman" w:cs="Times New Roman" w:eastAsia="Times New Roman"/>
                <w:sz w:val="19"/>
              </w:rPr>
              <w:t xml:space="preserve">0.91</w:t>
            </w:r>
          </w:p>
        </w:tc>
        <w:tc>
          <w:tcPr/>
          <w:p>
            <w:pPr>
              <w:pStyle w:val="Compact"/>
              <w:spacing w:line="240" w:lineRule="auto" w:after="40" w:before="40"/>
              <w:jc w:val="left"/>
            </w:pPr>
            <w:r>
              <w:rPr>
                <w:rFonts w:ascii="Times New Roman" w:hAnsi="Times New Roman" w:cs="Times New Roman" w:eastAsia="Times New Roman"/>
                <w:sz w:val="19"/>
              </w:rPr>
              <w:t xml:space="preserve">0.00</w:t>
            </w:r>
          </w:p>
        </w:tc>
        <w:tc>
          <w:tcPr/>
          <w:p>
            <w:pPr>
              <w:pStyle w:val="Compact"/>
              <w:spacing w:line="240" w:lineRule="auto" w:after="40" w:before="40"/>
              <w:jc w:val="left"/>
            </w:pPr>
            <w:r>
              <w:rPr>
                <w:rFonts w:ascii="Times New Roman" w:hAnsi="Times New Roman" w:cs="Times New Roman" w:eastAsia="Times New Roman"/>
                <w:sz w:val="19"/>
              </w:rPr>
              <w:t xml:space="preserve">0.57</w:t>
            </w:r>
          </w:p>
        </w:tc>
      </w:tr>
    </w:tbl>
    <w:p>
      <w:pPr>
        <w:pStyle w:val="BodyText"/>
        <w:spacing w:line="360" w:lineRule="auto" w:after="120"/>
        <w:ind w:firstLine="720"/>
        <w:jc w:val="both"/>
      </w:pPr>
      <w:r>
        <w:rPr>
          <w:rFonts w:ascii="Times New Roman" w:hAnsi="Times New Roman" w:cs="Times New Roman" w:eastAsia="Times New Roman"/>
          <w:sz w:val="24"/>
        </w:rPr>
        <w:t xml:space="preserve">On collapse, fitted</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saturates at the upper bound (</w:t>
      </w:r>
      <m:oMath>
        <m:r>
          <m:rPr>
            <m:sty m:val="p"/>
          </m:rPr>
          <m:t>≈</m:t>
        </m:r>
        <m:r>
          <m:t>2</m:t>
        </m:r>
      </m:oMath>
      <w:r>
        <w:rPr>
          <w:rFonts w:ascii="Times New Roman" w:hAnsi="Times New Roman" w:cs="Times New Roman" w:eastAsia="Times New Roman"/>
          <w:sz w:val="24"/>
        </w:rPr>
        <w:t xml:space="preserve">). The 1983–1990 window is a high, weakly trending stock. Surplus production does not identify the 1992–94 mortality pulse, and dropping</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240 to 5 raises forecast SSB. If the crash were a catch-regime event in this accounting, M2 would improve on M1. It does not.</w:t>
      </w:r>
    </w:p>
    <w:p>
      <w:pPr>
        <w:pStyle w:val="BodyText"/>
        <w:spacing w:line="360" w:lineRule="auto" w:after="120"/>
        <w:ind w:firstLine="720"/>
        <w:jc w:val="both"/>
      </w:pPr>
      <w:r>
        <w:rPr>
          <w:rFonts w:ascii="Times New Roman" w:hAnsi="Times New Roman" w:cs="Times New Roman" w:eastAsia="Times New Roman"/>
          <w:sz w:val="24"/>
        </w:rPr>
        <w:t xml:space="preserve">On recovery, M1 and M2 coincide because</w:t>
      </w:r>
      <w:r>
        <w:rPr>
          <w:rFonts w:ascii="Times New Roman" w:hAnsi="Times New Roman" w:cs="Times New Roman" w:eastAsia="Times New Roman"/>
          <w:sz w:val="24"/>
        </w:rPr>
        <w:t xml:space="preserve"> </w:t>
      </w:r>
      <m:oMath>
        <m:sSub>
          <m:e>
            <m:r>
              <m:t>C</m:t>
            </m:r>
          </m:e>
          <m:sub>
            <m:r>
              <m:t>t</m:t>
            </m:r>
          </m:sub>
        </m:sSub>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both train and test. M1b reports a lower RMSE, but</w:t>
      </w:r>
      <w:r>
        <w:rPr>
          <w:rFonts w:ascii="Times New Roman" w:hAnsi="Times New Roman" w:cs="Times New Roman" w:eastAsia="Times New Roman"/>
          <w:sz w:val="24"/>
        </w:rPr>
        <w:t xml:space="preserve"> </w:t>
      </w:r>
      <m:oMath>
        <m:r>
          <m:rPr>
            <m:sty m:val="p"/>
            <m:scr m:val="fraktur"/>
          </m:rP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collapses to the training range: an unidentified Allee parameter, not a biological threshold (a conditional result on the autonomous surplus-production model, the Schaefer-class scalar model, at its corrected status). M3’s</w:t>
      </w:r>
      <w:r>
        <w:rPr>
          <w:rFonts w:ascii="Times New Roman" w:hAnsi="Times New Roman" w:cs="Times New Roman" w:eastAsia="Times New Roman"/>
          <w:sz w:val="24"/>
        </w:rPr>
        <w:t xml:space="preserve"> </w:t>
      </w:r>
      <m:oMath>
        <m:r>
          <m:t>ϕ</m:t>
        </m:r>
        <m:r>
          <m:rPr>
            <m:sty m:val="p"/>
          </m:rPr>
          <m:t>=</m:t>
        </m:r>
        <m:r>
          <m:t>0.95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persists a negative residual and increases error.</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667000"/>
            <wp:effectExtent b="0" l="0" r="0" t="0"/>
            <wp:docPr descr="Figure 3" title="" id="32" name="Picture"/>
            <a:graphic>
              <a:graphicData uri="http://schemas.openxmlformats.org/drawingml/2006/picture">
                <pic:pic>
                  <pic:nvPicPr>
                    <pic:cNvPr descr="fig3_rmse.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3</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3.</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RMSE. Persistence is the best one-year and five-year point forecast.</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summary,</w:t>
      </w:r>
      <w:r>
        <w:rPr>
          <w:rFonts w:ascii="Times New Roman" w:hAnsi="Times New Roman" w:cs="Times New Roman" w:eastAsia="Times New Roman"/>
          <w:sz w:val="20"/>
        </w:rPr>
        <w:t xml:space="preserve"> </w:t>
      </w:r>
      <m:oMath>
        <m:sSub>
          <m:e>
            <m:r>
              <m:t>Ω</m:t>
            </m:r>
          </m:e>
          <m:sub>
            <m:r>
              <m:t>2016</m:t>
            </m:r>
          </m:sub>
        </m:sSub>
      </m:oMath>
      <w:r>
        <w:rPr>
          <w:rFonts w:ascii="Times New Roman" w:hAnsi="Times New Roman" w:cs="Times New Roman" w:eastAsia="Times New Roman"/>
          <w:sz w:val="20"/>
        </w:rPr>
        <w:t xml:space="preserve">, coarse catch regime.</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584"/>
        <w:gridCol w:w="1584"/>
        <w:gridCol w:w="1584"/>
        <w:gridCol w:w="1584"/>
        <w:gridCol w:w="1584"/>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RMSE</w:t>
            </w:r>
          </w:p>
        </w:tc>
        <w:tc>
          <w:tcPr>
            <w:tcBorders>
              <w:bottom w:val="single" w:sz="8" w:color="000000"/>
            </w:tcBorders>
          </w:tcPr>
          <w:p>
            <w:pPr>
              <w:pStyle w:val="Compact"/>
              <w:spacing w:line="240" w:lineRule="auto" w:after="40" w:before="40"/>
              <w:jc w:val="left"/>
            </w:pP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MAE</w:t>
            </w:r>
          </w:p>
        </w:tc>
        <w:tc>
          <w:tcPr>
            <w:tcBorders>
              <w:bottom w:val="single" w:sz="8" w:color="000000"/>
            </w:tcBorders>
          </w:tcPr>
          <w:p>
            <w:pPr>
              <w:pStyle w:val="Compact"/>
              <w:spacing w:line="240" w:lineRule="auto" w:after="40" w:before="40"/>
              <w:jc w:val="left"/>
            </w:pP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log-RMSE</w:t>
            </w:r>
          </w:p>
        </w:tc>
        <w:tc>
          <w:tcPr>
            <w:tcBorders>
              <w:bottom w:val="single" w:sz="8" w:color="000000"/>
            </w:tcBorders>
          </w:tcPr>
          <w:p>
            <w:pPr>
              <w:pStyle w:val="Compact"/>
              <w:spacing w:line="240" w:lineRule="auto" w:after="40" w:before="40"/>
              <w:jc w:val="left"/>
            </w:pPr>
            <m:oMath>
              <m:r>
                <m:t>h</m:t>
              </m:r>
              <m:r>
                <m:rPr>
                  <m:sty m:val="p"/>
                </m:rPr>
                <m:t>=</m:t>
              </m:r>
              <m:r>
                <m:t>5</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RMSE</w:t>
            </w:r>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98</w:t>
            </w:r>
          </w:p>
        </w:tc>
        <w:tc>
          <w:tcPr/>
          <w:p>
            <w:pPr>
              <w:pStyle w:val="Compact"/>
              <w:spacing w:line="240" w:lineRule="auto" w:after="40" w:before="40"/>
              <w:jc w:val="left"/>
            </w:pPr>
            <w:r>
              <w:rPr>
                <w:rFonts w:ascii="Times New Roman" w:hAnsi="Times New Roman" w:cs="Times New Roman" w:eastAsia="Times New Roman"/>
                <w:b/>
                <w:bCs/>
                <w:sz w:val="19"/>
              </w:rPr>
              <w:t xml:space="preserve">48</w:t>
            </w:r>
          </w:p>
        </w:tc>
        <w:tc>
          <w:tcPr/>
          <w:p>
            <w:pPr>
              <w:pStyle w:val="Compact"/>
              <w:spacing w:line="240" w:lineRule="auto" w:after="40" w:before="40"/>
              <w:jc w:val="left"/>
            </w:pPr>
            <w:r>
              <w:rPr>
                <w:rFonts w:ascii="Times New Roman" w:hAnsi="Times New Roman" w:cs="Times New Roman" w:eastAsia="Times New Roman"/>
                <w:b/>
                <w:bCs/>
                <w:sz w:val="19"/>
              </w:rPr>
              <w:t xml:space="preserve">0.52</w:t>
            </w:r>
          </w:p>
        </w:tc>
        <w:tc>
          <w:tcPr/>
          <w:p>
            <w:pPr>
              <w:pStyle w:val="Compact"/>
              <w:spacing w:line="240" w:lineRule="auto" w:after="40" w:before="40"/>
              <w:jc w:val="left"/>
            </w:pPr>
            <w:r>
              <w:rPr>
                <w:rFonts w:ascii="Times New Roman" w:hAnsi="Times New Roman" w:cs="Times New Roman" w:eastAsia="Times New Roman"/>
                <w:b/>
                <w:bCs/>
                <w:sz w:val="19"/>
              </w:rPr>
              <w:t xml:space="preserve">265</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121</w:t>
            </w:r>
          </w:p>
        </w:tc>
        <w:tc>
          <w:tcPr/>
          <w:p>
            <w:pPr>
              <w:pStyle w:val="Compact"/>
              <w:spacing w:line="240" w:lineRule="auto" w:after="40" w:before="40"/>
              <w:jc w:val="left"/>
            </w:pPr>
            <w:r>
              <w:rPr>
                <w:rFonts w:ascii="Times New Roman" w:hAnsi="Times New Roman" w:cs="Times New Roman" w:eastAsia="Times New Roman"/>
                <w:sz w:val="19"/>
              </w:rPr>
              <w:t xml:space="preserve">80</w:t>
            </w:r>
          </w:p>
        </w:tc>
        <w:tc>
          <w:tcPr/>
          <w:p>
            <w:pPr>
              <w:pStyle w:val="Compact"/>
              <w:spacing w:line="240" w:lineRule="auto" w:after="40" w:before="40"/>
              <w:jc w:val="left"/>
            </w:pPr>
            <w:r>
              <w:rPr>
                <w:rFonts w:ascii="Times New Roman" w:hAnsi="Times New Roman" w:cs="Times New Roman" w:eastAsia="Times New Roman"/>
                <w:sz w:val="19"/>
              </w:rPr>
              <w:t xml:space="preserve">8.02</w:t>
            </w:r>
          </w:p>
        </w:tc>
        <w:tc>
          <w:tcPr/>
          <w:p>
            <w:pPr>
              <w:pStyle w:val="Compact"/>
              <w:spacing w:line="240" w:lineRule="auto" w:after="40" w:before="40"/>
              <w:jc w:val="left"/>
            </w:pPr>
            <w:r>
              <w:rPr>
                <w:rFonts w:ascii="Times New Roman" w:hAnsi="Times New Roman" w:cs="Times New Roman" w:eastAsia="Times New Roman"/>
                <w:sz w:val="19"/>
              </w:rPr>
              <w:t xml:space="preserve">289</w:t>
            </w:r>
          </w:p>
        </w:tc>
      </w:tr>
      <w:tr>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sz w:val="19"/>
              </w:rPr>
              <w:t xml:space="preserve">115</w:t>
            </w:r>
          </w:p>
        </w:tc>
        <w:tc>
          <w:tcPr/>
          <w:p>
            <w:pPr>
              <w:pStyle w:val="Compact"/>
              <w:spacing w:line="240" w:lineRule="auto" w:after="40" w:before="40"/>
              <w:jc w:val="left"/>
            </w:pPr>
            <w:r>
              <w:rPr>
                <w:rFonts w:ascii="Times New Roman" w:hAnsi="Times New Roman" w:cs="Times New Roman" w:eastAsia="Times New Roman"/>
                <w:sz w:val="19"/>
              </w:rPr>
              <w:t xml:space="preserve">80</w:t>
            </w:r>
          </w:p>
        </w:tc>
        <w:tc>
          <w:tcPr/>
          <w:p>
            <w:pPr>
              <w:pStyle w:val="Compact"/>
              <w:spacing w:line="240" w:lineRule="auto" w:after="40" w:before="40"/>
              <w:jc w:val="left"/>
            </w:pPr>
            <w:r>
              <w:rPr>
                <w:rFonts w:ascii="Times New Roman" w:hAnsi="Times New Roman" w:cs="Times New Roman" w:eastAsia="Times New Roman"/>
                <w:sz w:val="19"/>
              </w:rPr>
              <w:t xml:space="preserve">8.70</w:t>
            </w:r>
          </w:p>
        </w:tc>
        <w:tc>
          <w:tcPr/>
          <w:p>
            <w:pPr>
              <w:pStyle w:val="Compact"/>
              <w:spacing w:line="240" w:lineRule="auto" w:after="40" w:before="40"/>
              <w:jc w:val="left"/>
            </w:pPr>
            <w:r>
              <w:rPr>
                <w:rFonts w:ascii="Times New Roman" w:hAnsi="Times New Roman" w:cs="Times New Roman" w:eastAsia="Times New Roman"/>
                <w:sz w:val="19"/>
              </w:rPr>
              <w:t xml:space="preserve">289</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144</w:t>
            </w:r>
          </w:p>
        </w:tc>
        <w:tc>
          <w:tcPr/>
          <w:p>
            <w:pPr>
              <w:pStyle w:val="Compact"/>
              <w:spacing w:line="240" w:lineRule="auto" w:after="40" w:before="40"/>
              <w:jc w:val="left"/>
            </w:pPr>
            <w:r>
              <w:rPr>
                <w:rFonts w:ascii="Times New Roman" w:hAnsi="Times New Roman" w:cs="Times New Roman" w:eastAsia="Times New Roman"/>
                <w:sz w:val="19"/>
              </w:rPr>
              <w:t xml:space="preserve">61</w:t>
            </w:r>
          </w:p>
        </w:tc>
        <w:tc>
          <w:tcPr/>
          <w:p>
            <w:pPr>
              <w:pStyle w:val="Compact"/>
              <w:spacing w:line="240" w:lineRule="auto" w:after="40" w:before="40"/>
              <w:jc w:val="left"/>
            </w:pPr>
            <w:r>
              <w:rPr>
                <w:rFonts w:ascii="Times New Roman" w:hAnsi="Times New Roman" w:cs="Times New Roman" w:eastAsia="Times New Roman"/>
                <w:sz w:val="19"/>
              </w:rPr>
              <w:t xml:space="preserve">0.59</w:t>
            </w:r>
          </w:p>
        </w:tc>
        <w:tc>
          <w:tcPr/>
          <w:p>
            <w:pPr>
              <w:pStyle w:val="Compact"/>
              <w:spacing w:line="240" w:lineRule="auto" w:after="40" w:before="40"/>
              <w:jc w:val="left"/>
            </w:pPr>
            <w:r>
              <w:rPr>
                <w:rFonts w:ascii="Times New Roman" w:hAnsi="Times New Roman" w:cs="Times New Roman" w:eastAsia="Times New Roman"/>
                <w:sz w:val="19"/>
              </w:rPr>
              <w:t xml:space="preserve">398</w:t>
            </w:r>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135</w:t>
            </w:r>
          </w:p>
        </w:tc>
        <w:tc>
          <w:tcPr/>
          <w:p>
            <w:pPr>
              <w:pStyle w:val="Compact"/>
              <w:spacing w:line="240" w:lineRule="auto" w:after="40" w:before="40"/>
              <w:jc w:val="left"/>
            </w:pPr>
            <w:r>
              <w:rPr>
                <w:rFonts w:ascii="Times New Roman" w:hAnsi="Times New Roman" w:cs="Times New Roman" w:eastAsia="Times New Roman"/>
                <w:sz w:val="19"/>
              </w:rPr>
              <w:t xml:space="preserve">53</w:t>
            </w:r>
          </w:p>
        </w:tc>
        <w:tc>
          <w:tcPr/>
          <w:p>
            <w:pPr>
              <w:pStyle w:val="Compact"/>
              <w:spacing w:line="240" w:lineRule="auto" w:after="40" w:before="40"/>
              <w:jc w:val="left"/>
            </w:pPr>
            <w:r>
              <w:rPr>
                <w:rFonts w:ascii="Times New Roman" w:hAnsi="Times New Roman" w:cs="Times New Roman" w:eastAsia="Times New Roman"/>
                <w:sz w:val="19"/>
              </w:rPr>
              <w:t xml:space="preserve">3.39</w:t>
            </w:r>
          </w:p>
        </w:tc>
        <w:tc>
          <w:tcPr/>
          <w:p>
            <w:pPr>
              <w:pStyle w:val="Compact"/>
              <w:spacing w:line="240" w:lineRule="auto" w:after="40" w:before="40"/>
              <w:jc w:val="left"/>
            </w:pPr>
            <w:r>
              <w:rPr>
                <w:rFonts w:ascii="Times New Roman" w:hAnsi="Times New Roman" w:cs="Times New Roman" w:eastAsia="Times New Roman"/>
                <w:sz w:val="19"/>
              </w:rPr>
              <w:t xml:space="preserve">366</w:t>
            </w:r>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196</w:t>
            </w:r>
          </w:p>
        </w:tc>
        <w:tc>
          <w:tcPr/>
          <w:p>
            <w:pPr>
              <w:pStyle w:val="Compact"/>
              <w:spacing w:line="240" w:lineRule="auto" w:after="40" w:before="40"/>
              <w:jc w:val="left"/>
            </w:pPr>
            <w:r>
              <w:rPr>
                <w:rFonts w:ascii="Times New Roman" w:hAnsi="Times New Roman" w:cs="Times New Roman" w:eastAsia="Times New Roman"/>
                <w:sz w:val="19"/>
              </w:rPr>
              <w:t xml:space="preserve">82</w:t>
            </w:r>
          </w:p>
        </w:tc>
        <w:tc>
          <w:tcPr/>
          <w:p>
            <w:pPr>
              <w:pStyle w:val="Compact"/>
              <w:spacing w:line="240" w:lineRule="auto" w:after="40" w:before="40"/>
              <w:jc w:val="left"/>
            </w:pPr>
            <w:r>
              <w:rPr>
                <w:rFonts w:ascii="Times New Roman" w:hAnsi="Times New Roman" w:cs="Times New Roman" w:eastAsia="Times New Roman"/>
                <w:sz w:val="19"/>
              </w:rPr>
              <w:t xml:space="preserve">0.76</w:t>
            </w:r>
          </w:p>
        </w:tc>
        <w:tc>
          <w:tcPr/>
          <w:p>
            <w:pPr>
              <w:pStyle w:val="Compact"/>
              <w:spacing w:line="240" w:lineRule="auto" w:after="40" w:before="40"/>
              <w:jc w:val="left"/>
            </w:pPr>
            <w:r>
              <w:rPr>
                <w:rFonts w:ascii="Times New Roman" w:hAnsi="Times New Roman" w:cs="Times New Roman" w:eastAsia="Times New Roman"/>
                <w:sz w:val="19"/>
              </w:rPr>
              <w:t xml:space="preserve">488</w:t>
            </w:r>
          </w:p>
        </w:tc>
      </w:tr>
      <w:tr>
        <w:tc>
          <w:tcPr/>
          <w:p>
            <w:pPr>
              <w:pStyle w:val="Compact"/>
              <w:spacing w:line="240" w:lineRule="auto" w:after="40" w:before="40"/>
              <w:jc w:val="left"/>
            </w:pPr>
            <w:r>
              <w:rPr>
                <w:rFonts w:ascii="Times New Roman" w:hAnsi="Times New Roman" w:cs="Times New Roman" w:eastAsia="Times New Roman"/>
                <w:sz w:val="19"/>
              </w:rPr>
              <w:t xml:space="preserve">mean</w:t>
            </w:r>
          </w:p>
        </w:tc>
        <w:tc>
          <w:tcPr/>
          <w:p>
            <w:pPr>
              <w:pStyle w:val="Compact"/>
              <w:spacing w:line="240" w:lineRule="auto" w:after="40" w:before="40"/>
              <w:jc w:val="left"/>
            </w:pPr>
            <w:r>
              <w:rPr>
                <w:rFonts w:ascii="Times New Roman" w:hAnsi="Times New Roman" w:cs="Times New Roman" w:eastAsia="Times New Roman"/>
                <w:sz w:val="19"/>
              </w:rPr>
              <w:t xml:space="preserve">424</w:t>
            </w:r>
          </w:p>
        </w:tc>
        <w:tc>
          <w:tcPr/>
          <w:p>
            <w:pPr>
              <w:pStyle w:val="Compact"/>
              <w:spacing w:line="240" w:lineRule="auto" w:after="40" w:before="40"/>
              <w:jc w:val="left"/>
            </w:pPr>
            <w:r>
              <w:rPr>
                <w:rFonts w:ascii="Times New Roman" w:hAnsi="Times New Roman" w:cs="Times New Roman" w:eastAsia="Times New Roman"/>
                <w:sz w:val="19"/>
              </w:rPr>
              <w:t xml:space="preserve">375</w:t>
            </w:r>
          </w:p>
        </w:tc>
        <w:tc>
          <w:tcPr/>
          <w:p>
            <w:pPr>
              <w:pStyle w:val="Compact"/>
              <w:spacing w:line="240" w:lineRule="auto" w:after="40" w:before="40"/>
              <w:jc w:val="left"/>
            </w:pPr>
            <w:r>
              <w:rPr>
                <w:rFonts w:ascii="Times New Roman" w:hAnsi="Times New Roman" w:cs="Times New Roman" w:eastAsia="Times New Roman"/>
                <w:sz w:val="19"/>
              </w:rPr>
              <w:t xml:space="preserve">2.35</w:t>
            </w:r>
          </w:p>
        </w:tc>
        <w:tc>
          <w:tcPr/>
          <w:p>
            <w:pPr>
              <w:pStyle w:val="Compact"/>
              <w:spacing w:line="240" w:lineRule="auto" w:after="40" w:before="40"/>
              <w:jc w:val="left"/>
            </w:pPr>
            <w:r>
              <w:rPr>
                <w:rFonts w:ascii="Times New Roman" w:hAnsi="Times New Roman" w:cs="Times New Roman" w:eastAsia="Times New Roman"/>
                <w:sz w:val="19"/>
              </w:rPr>
              <w:t xml:space="preserve">507</w:t>
            </w:r>
          </w:p>
        </w:tc>
      </w:tr>
    </w:tbl>
    <w:p>
      <w:pPr>
        <w:pStyle w:val="BodyText"/>
        <w:spacing w:line="360" w:lineRule="auto" w:after="120"/>
        <w:ind w:firstLine="720"/>
        <w:jc w:val="both"/>
      </w:pPr>
      <w:r>
        <w:rPr>
          <w:rFonts w:ascii="Times New Roman" w:hAnsi="Times New Roman" w:cs="Times New Roman" w:eastAsia="Times New Roman"/>
          <w:sz w:val="24"/>
        </w:rPr>
        <w:t xml:space="preserve">Log-RMSE for M1 and M1b is large because some origins produce trajectories that hit the numerical floor. M2 keeps the state off zero and stabilizes the log score, but loses on raw RMSE. M4, the only model that imposes a one-year assessment delay, is the worst structural model on raw RMSE. The difference measures the information cost of the one-year delay.</w:t>
      </w:r>
    </w:p>
    <w:p>
      <w:pPr>
        <w:pStyle w:val="BodyText"/>
        <w:spacing w:line="360" w:lineRule="auto" w:after="120"/>
        <w:ind w:firstLine="720"/>
        <w:jc w:val="both"/>
      </w:pPr>
      <w:r>
        <w:rPr>
          <w:rFonts w:ascii="Times New Roman" w:hAnsi="Times New Roman" w:cs="Times New Roman" w:eastAsia="Times New Roman"/>
          <w:sz w:val="24"/>
        </w:rPr>
        <w:t xml:space="preserve">No module M2–M4 is retained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Persistence is the lowest-RMSE forecast.</w:t>
      </w:r>
    </w:p>
    <w:bookmarkEnd w:id="34"/>
    <w:bookmarkStart w:id="35" w:name="annual-landings-and-survey-start"/>
    <w:p>
      <w:pPr>
        <w:pStyle w:val="Heading2"/>
        <w:spacing w:before="240" w:after="120" w:line="360" w:lineRule="auto"/>
        <w:ind w:firstLine="0" w:left="0"/>
        <w:jc w:val="left"/>
      </w:pPr>
      <w:r>
        <w:rPr>
          <w:rFonts w:ascii="Times New Roman" w:hAnsi="Times New Roman" w:cs="Times New Roman" w:eastAsia="Times New Roman"/>
          <w:b/>
          <w:sz w:val="24"/>
        </w:rPr>
        <w:t xml:space="preserve">5.2 Annual landings and survey start</w:t>
      </w:r>
    </w:p>
    <w:p>
      <w:pPr>
        <w:pStyle w:val="FirstParagraph"/>
        <w:spacing w:line="360" w:lineRule="auto" w:after="120"/>
        <w:ind w:firstLine="720"/>
        <w:jc w:val="both"/>
      </w:pPr>
      <w:r>
        <w:rPr>
          <w:rFonts w:ascii="Times New Roman" w:hAnsi="Times New Roman" w:cs="Times New Roman" w:eastAsia="Times New Roman"/>
          <w:sz w:val="24"/>
        </w:rPr>
        <w:t xml:space="preserve">Year-by-year landings for 2015 are 4.436 kt, matching DFO reported landings. Pre-collapse catches are 172–269 kt, not a flat 240. The 1992 drop is to 41 kt, then 11 kt, then 0.4–1.9 kt.</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RMSE (kt) with annual landings.</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p>
        </w:tc>
        <w:tc>
          <w:tcPr>
            <w:tcBorders>
              <w:bottom w:val="single" w:sz="8" w:color="000000"/>
            </w:tcBorders>
          </w:tcPr>
          <w:p>
            <w:pPr>
              <w:pStyle w:val="Compact"/>
              <w:spacing w:line="240" w:lineRule="auto" w:after="40" w:before="40"/>
              <w:jc w:val="left"/>
            </w:pPr>
            <m:oMath>
              <m:r>
                <m:t>h</m:t>
              </m:r>
              <m:r>
                <m:rPr>
                  <m:sty m:val="p"/>
                </m:rPr>
                <m:t>=</m:t>
              </m:r>
              <m:r>
                <m:t>5</m:t>
              </m:r>
            </m:oMath>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98</w:t>
            </w:r>
          </w:p>
        </w:tc>
        <w:tc>
          <w:tcPr/>
          <w:p>
            <w:pPr>
              <w:pStyle w:val="Compact"/>
              <w:spacing w:line="240" w:lineRule="auto" w:after="40" w:before="40"/>
              <w:jc w:val="left"/>
            </w:pPr>
            <w:r>
              <w:rPr>
                <w:rFonts w:ascii="Times New Roman" w:hAnsi="Times New Roman" w:cs="Times New Roman" w:eastAsia="Times New Roman"/>
                <w:b/>
                <w:bCs/>
                <w:sz w:val="19"/>
              </w:rPr>
              <w:t xml:space="preserve">265</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121</w:t>
            </w:r>
          </w:p>
        </w:tc>
        <w:tc>
          <w:tcPr/>
          <w:p>
            <w:pPr>
              <w:pStyle w:val="Compact"/>
              <w:spacing w:line="240" w:lineRule="auto" w:after="40" w:before="40"/>
              <w:jc w:val="left"/>
            </w:pPr>
            <w:r>
              <w:rPr>
                <w:rFonts w:ascii="Times New Roman" w:hAnsi="Times New Roman" w:cs="Times New Roman" w:eastAsia="Times New Roman"/>
                <w:sz w:val="19"/>
              </w:rPr>
              <w:t xml:space="preserve">289</w:t>
            </w:r>
          </w:p>
        </w:tc>
      </w:tr>
      <w:tr>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sz w:val="19"/>
              </w:rPr>
              <w:t xml:space="preserve">115</w:t>
            </w:r>
          </w:p>
        </w:tc>
        <w:tc>
          <w:tcPr/>
          <w:p>
            <w:pPr>
              <w:pStyle w:val="Compact"/>
              <w:spacing w:line="240" w:lineRule="auto" w:after="40" w:before="40"/>
              <w:jc w:val="left"/>
            </w:pPr>
            <w:r>
              <w:rPr>
                <w:rFonts w:ascii="Times New Roman" w:hAnsi="Times New Roman" w:cs="Times New Roman" w:eastAsia="Times New Roman"/>
                <w:sz w:val="19"/>
              </w:rPr>
              <w:t xml:space="preserve">289</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160</w:t>
            </w:r>
          </w:p>
        </w:tc>
        <w:tc>
          <w:tcPr/>
          <w:p>
            <w:pPr>
              <w:pStyle w:val="Compact"/>
              <w:spacing w:line="240" w:lineRule="auto" w:after="40" w:before="40"/>
              <w:jc w:val="left"/>
            </w:pPr>
            <w:r>
              <w:rPr>
                <w:rFonts w:ascii="Times New Roman" w:hAnsi="Times New Roman" w:cs="Times New Roman" w:eastAsia="Times New Roman"/>
                <w:sz w:val="19"/>
              </w:rPr>
              <w:t xml:space="preserve">394</w:t>
            </w:r>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154</w:t>
            </w:r>
          </w:p>
        </w:tc>
        <w:tc>
          <w:tcPr/>
          <w:p>
            <w:pPr>
              <w:pStyle w:val="Compact"/>
              <w:spacing w:line="240" w:lineRule="auto" w:after="40" w:before="40"/>
              <w:jc w:val="left"/>
            </w:pPr>
            <w:r>
              <w:rPr>
                <w:rFonts w:ascii="Times New Roman" w:hAnsi="Times New Roman" w:cs="Times New Roman" w:eastAsia="Times New Roman"/>
                <w:sz w:val="19"/>
              </w:rPr>
              <w:t xml:space="preserve">352</w:t>
            </w:r>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206</w:t>
            </w:r>
          </w:p>
        </w:tc>
        <w:tc>
          <w:tcPr/>
          <w:p>
            <w:pPr>
              <w:pStyle w:val="Compact"/>
              <w:spacing w:line="240" w:lineRule="auto" w:after="40" w:before="40"/>
              <w:jc w:val="left"/>
            </w:pPr>
            <w:r>
              <w:rPr>
                <w:rFonts w:ascii="Times New Roman" w:hAnsi="Times New Roman" w:cs="Times New Roman" w:eastAsia="Times New Roman"/>
                <w:sz w:val="19"/>
              </w:rPr>
              <w:t xml:space="preserve">486</w:t>
            </w:r>
          </w:p>
        </w:tc>
      </w:tr>
      <w:tr>
        <w:tc>
          <w:tcPr/>
          <w:p>
            <w:pPr>
              <w:pStyle w:val="Compact"/>
              <w:spacing w:line="240" w:lineRule="auto" w:after="40" w:before="40"/>
              <w:jc w:val="left"/>
            </w:pPr>
            <w:r>
              <w:rPr>
                <w:rFonts w:ascii="Times New Roman" w:hAnsi="Times New Roman" w:cs="Times New Roman" w:eastAsia="Times New Roman"/>
                <w:sz w:val="19"/>
              </w:rPr>
              <w:t xml:space="preserve">M2, survey start</w:t>
            </w:r>
          </w:p>
        </w:tc>
        <w:tc>
          <w:tcPr/>
          <w:p>
            <w:pPr>
              <w:pStyle w:val="Compact"/>
              <w:spacing w:line="240" w:lineRule="auto" w:after="40" w:before="40"/>
              <w:jc w:val="left"/>
            </w:pPr>
            <w:r>
              <w:rPr>
                <w:rFonts w:ascii="Times New Roman" w:hAnsi="Times New Roman" w:cs="Times New Roman" w:eastAsia="Times New Roman"/>
                <w:sz w:val="19"/>
              </w:rPr>
              <w:t xml:space="preserve">128</w:t>
            </w:r>
          </w:p>
        </w:tc>
        <w:tc>
          <w:tcPr/>
          <w:p>
            <w:pPr>
              <w:pStyle w:val="Compact"/>
              <w:spacing w:line="240" w:lineRule="auto" w:after="40" w:before="40"/>
              <w:jc w:val="left"/>
            </w:pPr>
            <w:r>
              <w:rPr>
                <w:rFonts w:ascii="Times New Roman" w:hAnsi="Times New Roman" w:cs="Times New Roman" w:eastAsia="Times New Roman"/>
                <w:sz w:val="19"/>
              </w:rPr>
              <w:t xml:space="preserve">331</w:t>
            </w:r>
          </w:p>
        </w:tc>
      </w:tr>
    </w:tbl>
    <w:p>
      <w:pPr>
        <w:pStyle w:val="BodyText"/>
        <w:spacing w:line="360" w:lineRule="auto" w:after="120"/>
        <w:ind w:firstLine="720"/>
        <w:jc w:val="both"/>
      </w:pPr>
      <w:r>
        <w:rPr>
          <w:rFonts w:ascii="Times New Roman" w:hAnsi="Times New Roman" w:cs="Times New Roman" w:eastAsia="Times New Roman"/>
          <w:sz w:val="24"/>
        </w:rPr>
        <w:t xml:space="preserve">Annual landings make M2 worse than the coarse regime on one-year RMSE (160 versus 144 kt). Collapse-window RMSE remains about 821 kt. On the annual-catch recovery window (train 1995–2007, test 2008–2015) the ladder scores M1 264, M1b 78, M2 303, M3 609, and M4 586 kt, against a frozen-persistence error of 104 kt (forecast held at the 2007 level of 81 kt): annual landings do not repair the recovery-window fit, the residual-persistence models deteriorate severely (609 and 586 kt against 220 and 214 kt under the coarse regime), and M1b’s 78 kt carries the same unidentified-Allee caveat as its regime-window fit. Apparent net production</w:t>
      </w:r>
      <w:r>
        <w:rPr>
          <w:rFonts w:ascii="Times New Roman" w:hAnsi="Times New Roman" w:cs="Times New Roman" w:eastAsia="Times New Roman"/>
          <w:sz w:val="24"/>
        </w:rPr>
        <w:t xml:space="preserve"> </w:t>
      </w:r>
      <m:oMath>
        <m:sSub>
          <m:e>
            <m:r>
              <m:t>S</m:t>
            </m:r>
          </m:e>
          <m:sub>
            <m:r>
              <m:t>t</m:t>
            </m:r>
            <m:r>
              <m:rPr>
                <m:sty m:val="p"/>
              </m:rPr>
              <m:t>+</m:t>
            </m:r>
            <m:r>
              <m:t>1</m:t>
            </m:r>
          </m:sub>
        </m:sSub>
        <m:r>
          <m:rPr>
            <m:sty m:val="p"/>
          </m:rPr>
          <m:t>−</m:t>
        </m:r>
        <m:sSub>
          <m:e>
            <m:r>
              <m:t>S</m:t>
            </m:r>
          </m:e>
          <m:sub>
            <m:r>
              <m:t>t</m:t>
            </m:r>
          </m:sub>
        </m:sSub>
        <m:r>
          <m:rPr>
            <m:sty m:val="p"/>
          </m:rPr>
          <m:t>+</m:t>
        </m:r>
        <m:sSub>
          <m:e>
            <m:r>
              <m:t>C</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strongly negative in 1991–93 even after subtracting reconstructed catch. A more accurate</w:t>
      </w:r>
      <w:r>
        <w:rPr>
          <w:rFonts w:ascii="Times New Roman" w:hAnsi="Times New Roman" w:cs="Times New Roman" w:eastAsia="Times New Roman"/>
          <w:sz w:val="24"/>
        </w:rPr>
        <w:t xml:space="preserve"> </w:t>
      </w:r>
      <m:oMath>
        <m:sSub>
          <m:e>
            <m:r>
              <m:t>C</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cannot produce the crash in a constant-</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surplus model, because the observed</w:t>
      </w:r>
      <w:r>
        <w:rPr>
          <w:rFonts w:ascii="Times New Roman" w:hAnsi="Times New Roman" w:cs="Times New Roman" w:eastAsia="Times New Roman"/>
          <w:sz w:val="24"/>
        </w:rPr>
        <w:t xml:space="preserve"> </w:t>
      </w:r>
      <m:oMath>
        <m:r>
          <m:t>Δ</m:t>
        </m:r>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far larger than</w:t>
      </w:r>
      <w:r>
        <w:rPr>
          <w:rFonts w:ascii="Times New Roman" w:hAnsi="Times New Roman" w:cs="Times New Roman" w:eastAsia="Times New Roman"/>
          <w:sz w:val="24"/>
        </w:rPr>
        <w:t xml:space="preserve"> </w:t>
      </w:r>
      <m:oMath>
        <m:sSub>
          <m:e>
            <m:r>
              <m:t>C</m:t>
            </m:r>
          </m:e>
          <m:sub>
            <m:r>
              <m:t>t</m:t>
            </m:r>
          </m:sub>
        </m:sSub>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Starting from</w:t>
      </w:r>
      <w:r>
        <w:rPr>
          <w:rFonts w:ascii="Times New Roman" w:hAnsi="Times New Roman" w:cs="Times New Roman" w:eastAsia="Times New Roman"/>
          <w:sz w:val="24"/>
        </w:rPr>
        <w:t xml:space="preserve"> </w:t>
      </w:r>
      <m:oMath>
        <m:acc>
          <m:accPr>
            <m:chr m:val="̂"/>
          </m:accPr>
          <m:e>
            <m:r>
              <m:t>q</m:t>
            </m:r>
          </m:e>
        </m:acc>
        <m:sSub>
          <m:e>
            <m:r>
              <m:t>I</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instead of SSB: one-year RMSE 128 kt (still worse than persist 98); one-year log-RMSE 0.49 versus persist 0.52; five-year RMSE 331 versus persist 265. On the primary score the variant is not retained. The log-score difference is recorded and not used for selection. A set-valued conservative filter is not instantiated: there is no observation fibre — no independent observation channel — outside NCAM.</w:t>
      </w:r>
    </w:p>
    <w:bookmarkEnd w:id="35"/>
    <w:bookmarkStart w:id="39" w:name="alternative-assessment-specification"/>
    <w:p>
      <w:pPr>
        <w:pStyle w:val="Heading2"/>
        <w:spacing w:before="240" w:after="120" w:line="360" w:lineRule="auto"/>
        <w:ind w:firstLine="0" w:left="0"/>
        <w:jc w:val="left"/>
      </w:pPr>
      <w:r>
        <w:rPr>
          <w:rFonts w:ascii="Times New Roman" w:hAnsi="Times New Roman" w:cs="Times New Roman" w:eastAsia="Times New Roman"/>
          <w:b/>
          <w:sz w:val="24"/>
        </w:rPr>
        <w:t xml:space="preserve">5.3 Alternative assessment specification</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594918"/>
            <wp:effectExtent b="0" l="0" r="0" t="0"/>
            <wp:docPr descr="Figure 4" title="" id="37" name="Picture"/>
            <a:graphic>
              <a:graphicData uri="http://schemas.openxmlformats.org/drawingml/2006/picture">
                <pic:pic>
                  <pic:nvPicPr>
                    <pic:cNvPr descr="fig4_xtencam.png" id="38" name="Picture"/>
                    <pic:cNvPicPr>
                      <a:picLocks noChangeArrowheads="1" noChangeAspect="1"/>
                    </pic:cNvPicPr>
                  </pic:nvPicPr>
                  <pic:blipFill>
                    <a:blip r:embed="rId36"/>
                    <a:stretch>
                      <a:fillRect/>
                    </a:stretch>
                  </pic:blipFill>
                  <pic:spPr bwMode="auto">
                    <a:xfrm>
                      <a:off x="0" y="0"/>
                      <a:ext cx="5334000" cy="2594918"/>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4</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The two specifications. Overlap 1983–2015 RMSE</w:t>
      </w:r>
      <w:r>
        <w:rPr>
          <w:rFonts w:ascii="Times New Roman" w:hAnsi="Times New Roman" w:cs="Times New Roman" w:eastAsia="Times New Roman"/>
          <w:sz w:val="20"/>
        </w:rPr>
        <w:t xml:space="preserve"> </w:t>
      </w:r>
      <m:oMath>
        <m:r>
          <m:rPr>
            <m:sty m:val="p"/>
          </m:rPr>
          <m:t>=</m:t>
        </m:r>
        <m:r>
          <m:t>126</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kt (2015: NCAM 299 kt, xteNCAM 273 kt). Different</w:t>
      </w:r>
      <w:r>
        <w:rPr>
          <w:rFonts w:ascii="Times New Roman" w:hAnsi="Times New Roman" w:cs="Times New Roman" w:eastAsia="Times New Roman"/>
          <w:sz w:val="20"/>
        </w:rPr>
        <w:t xml:space="preserve"> </w:t>
      </w:r>
      <m:oMath>
        <m:sSup>
          <m:e>
            <m:r>
              <m:t>K</m:t>
            </m:r>
          </m:e>
          <m:sup>
            <m:r>
              <m:rPr>
                <m:sty m:val="p"/>
              </m:rPr>
              <m:t>*</m:t>
            </m:r>
          </m:sup>
        </m:sSup>
      </m:oMath>
      <w:r>
        <w:rPr>
          <w:rFonts w:ascii="Times New Roman" w:hAnsi="Times New Roman" w:cs="Times New Roman" w:eastAsia="Times New Roman"/>
          <w:sz w:val="20"/>
        </w:rPr>
        <w:t xml:space="preserve">. Not pooled.</w:t>
      </w:r>
    </w:p>
    <w:p>
      <w:pPr>
        <w:pStyle w:val="BodyText"/>
        <w:spacing w:line="360" w:lineRule="auto" w:after="120"/>
        <w:ind w:firstLine="720"/>
        <w:jc w:val="both"/>
      </w:pPr>
      <w:r>
        <w:rPr>
          <w:rFonts w:ascii="Times New Roman" w:hAnsi="Times New Roman" w:cs="Times New Roman" w:eastAsia="Times New Roman"/>
          <w:sz w:val="24"/>
        </w:rPr>
        <w:t xml:space="preserve">Checkpoints from Regular et al. (2025) Table 17: 2005 SSB</w:t>
      </w:r>
      <w:r>
        <w:rPr>
          <w:rFonts w:ascii="Times New Roman" w:hAnsi="Times New Roman" w:cs="Times New Roman" w:eastAsia="Times New Roman"/>
          <w:sz w:val="24"/>
        </w:rPr>
        <w:t xml:space="preserve"> </w:t>
      </w:r>
      <m:oMath>
        <m:r>
          <m:rPr>
            <m:sty m:val="p"/>
          </m:rPr>
          <m:t>=</m:t>
        </m:r>
        <m:r>
          <m:t>26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(95% interval 22–31), 2017</w:t>
      </w:r>
      <w:r>
        <w:rPr>
          <w:rFonts w:ascii="Times New Roman" w:hAnsi="Times New Roman" w:cs="Times New Roman" w:eastAsia="Times New Roman"/>
          <w:sz w:val="24"/>
        </w:rPr>
        <w:t xml:space="preserve"> </w:t>
      </w:r>
      <m:oMath>
        <m:r>
          <m:rPr>
            <m:sty m:val="p"/>
          </m:rPr>
          <m:t>=</m:t>
        </m:r>
        <m:r>
          <m:t>451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(381–534), 2021</w:t>
      </w:r>
      <w:r>
        <w:rPr>
          <w:rFonts w:ascii="Times New Roman" w:hAnsi="Times New Roman" w:cs="Times New Roman" w:eastAsia="Times New Roman"/>
          <w:sz w:val="24"/>
        </w:rPr>
        <w:t xml:space="preserve"> </w:t>
      </w:r>
      <m:oMath>
        <m:r>
          <m:rPr>
            <m:sty m:val="p"/>
          </m:rPr>
          <m:t>=</m:t>
        </m:r>
        <m:r>
          <m:t>423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(NCAM and xteNCAM said to agree), 2024</w:t>
      </w:r>
      <w:r>
        <w:rPr>
          <w:rFonts w:ascii="Times New Roman" w:hAnsi="Times New Roman" w:cs="Times New Roman" w:eastAsia="Times New Roman"/>
          <w:sz w:val="24"/>
        </w:rPr>
        <w:t xml:space="preserve"> </w:t>
      </w:r>
      <m:oMath>
        <m:r>
          <m:rPr>
            <m:sty m:val="p"/>
          </m:rPr>
          <m:t>=</m:t>
        </m:r>
        <m:r>
          <m:t>342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(246–475), 2024/LRP</w:t>
      </w:r>
      <w:r>
        <w:rPr>
          <w:rFonts w:ascii="Times New Roman" w:hAnsi="Times New Roman" w:cs="Times New Roman" w:eastAsia="Times New Roman"/>
          <w:sz w:val="24"/>
        </w:rPr>
        <w:t xml:space="preserve"> </w:t>
      </w:r>
      <m:oMath>
        <m:r>
          <m:rPr>
            <m:sty m:val="p"/>
          </m:rPr>
          <m:t>=</m:t>
        </m:r>
        <m:r>
          <m:t>1.24</m:t>
        </m:r>
      </m:oMath>
      <w:r>
        <w:rPr>
          <w:rFonts w:ascii="Times New Roman" w:hAnsi="Times New Roman" w:cs="Times New Roman" w:eastAsia="Times New Roman"/>
          <w:sz w:val="24"/>
        </w:rPr>
        <w:t xml:space="preserve">. The 2005 values (26 kt versus NCAM 25.18 kt) can agree on a low year without the two series sharing a reference point; agreement on a low year does not warrant splicing the two columns. The same late-period biomass is 34% of the old LRP and above the new one after 2016.</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6.</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RMSE on</w:t>
      </w:r>
      <w:r>
        <w:rPr>
          <w:rFonts w:ascii="Times New Roman" w:hAnsi="Times New Roman" w:cs="Times New Roman" w:eastAsia="Times New Roman"/>
          <w:sz w:val="20"/>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(kt).</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p>
        </w:tc>
        <w:tc>
          <w:tcPr>
            <w:tcBorders>
              <w:bottom w:val="single" w:sz="8" w:color="000000"/>
            </w:tcBorders>
          </w:tcPr>
          <w:p>
            <w:pPr>
              <w:pStyle w:val="Compact"/>
              <w:spacing w:line="240" w:lineRule="auto" w:after="40" w:before="40"/>
              <w:jc w:val="left"/>
            </w:pPr>
            <m:oMath>
              <m:r>
                <m:t>h</m:t>
              </m:r>
              <m:r>
                <m:rPr>
                  <m:sty m:val="p"/>
                </m:rPr>
                <m:t>=</m:t>
              </m:r>
              <m:r>
                <m:t>5</m:t>
              </m:r>
            </m:oMath>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88</w:t>
            </w:r>
          </w:p>
        </w:tc>
        <w:tc>
          <w:tcPr/>
          <w:p>
            <w:pPr>
              <w:pStyle w:val="Compact"/>
              <w:spacing w:line="240" w:lineRule="auto" w:after="40" w:before="40"/>
              <w:jc w:val="left"/>
            </w:pPr>
            <w:r>
              <w:rPr>
                <w:rFonts w:ascii="Times New Roman" w:hAnsi="Times New Roman" w:cs="Times New Roman" w:eastAsia="Times New Roman"/>
                <w:b/>
                <w:bCs/>
                <w:sz w:val="19"/>
              </w:rPr>
              <w:t xml:space="preserve">318</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120</w:t>
            </w:r>
          </w:p>
        </w:tc>
        <w:tc>
          <w:tcPr/>
          <w:p>
            <w:pPr>
              <w:pStyle w:val="Compact"/>
              <w:spacing w:line="240" w:lineRule="auto" w:after="40" w:before="40"/>
              <w:jc w:val="left"/>
            </w:pPr>
            <w:r>
              <w:rPr>
                <w:rFonts w:ascii="Times New Roman" w:hAnsi="Times New Roman" w:cs="Times New Roman" w:eastAsia="Times New Roman"/>
                <w:sz w:val="19"/>
              </w:rPr>
              <w:t xml:space="preserve">432</w:t>
            </w:r>
          </w:p>
        </w:tc>
      </w:tr>
      <w:tr>
        <w:tc>
          <w:tcPr/>
          <w:p>
            <w:pPr>
              <w:pStyle w:val="Compact"/>
              <w:spacing w:line="240" w:lineRule="auto" w:after="40" w:before="40"/>
              <w:jc w:val="left"/>
            </w:pPr>
            <w:r>
              <w:rPr>
                <w:rFonts w:ascii="Times New Roman" w:hAnsi="Times New Roman" w:cs="Times New Roman" w:eastAsia="Times New Roman"/>
                <w:sz w:val="19"/>
              </w:rPr>
              <w:t xml:space="preserve">M1b</w:t>
            </w:r>
          </w:p>
        </w:tc>
        <w:tc>
          <w:tcPr/>
          <w:p>
            <w:pPr>
              <w:pStyle w:val="Compact"/>
              <w:spacing w:line="240" w:lineRule="auto" w:after="40" w:before="40"/>
              <w:jc w:val="left"/>
            </w:pPr>
            <w:r>
              <w:rPr>
                <w:rFonts w:ascii="Times New Roman" w:hAnsi="Times New Roman" w:cs="Times New Roman" w:eastAsia="Times New Roman"/>
                <w:sz w:val="19"/>
              </w:rPr>
              <w:t xml:space="preserve">152</w:t>
            </w:r>
          </w:p>
        </w:tc>
        <w:tc>
          <w:tcPr/>
          <w:p>
            <w:pPr>
              <w:pStyle w:val="Compact"/>
              <w:spacing w:line="240" w:lineRule="auto" w:after="40" w:before="40"/>
              <w:jc w:val="left"/>
            </w:pPr>
            <w:r>
              <w:rPr>
                <w:rFonts w:ascii="Times New Roman" w:hAnsi="Times New Roman" w:cs="Times New Roman" w:eastAsia="Times New Roman"/>
                <w:sz w:val="19"/>
              </w:rPr>
              <w:t xml:space="preserve">446</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166</w:t>
            </w:r>
          </w:p>
        </w:tc>
        <w:tc>
          <w:tcPr/>
          <w:p>
            <w:pPr>
              <w:pStyle w:val="Compact"/>
              <w:spacing w:line="240" w:lineRule="auto" w:after="40" w:before="40"/>
              <w:jc w:val="left"/>
            </w:pPr>
            <w:r>
              <w:rPr>
                <w:rFonts w:ascii="Times New Roman" w:hAnsi="Times New Roman" w:cs="Times New Roman" w:eastAsia="Times New Roman"/>
                <w:sz w:val="19"/>
              </w:rPr>
              <w:t xml:space="preserve">1059</w:t>
            </w:r>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127</w:t>
            </w:r>
          </w:p>
        </w:tc>
        <w:tc>
          <w:tcPr/>
          <w:p>
            <w:pPr>
              <w:pStyle w:val="Compact"/>
              <w:spacing w:line="240" w:lineRule="auto" w:after="40" w:before="40"/>
              <w:jc w:val="left"/>
            </w:pPr>
            <w:r>
              <w:rPr>
                <w:rFonts w:ascii="Times New Roman" w:hAnsi="Times New Roman" w:cs="Times New Roman" w:eastAsia="Times New Roman"/>
                <w:sz w:val="19"/>
              </w:rPr>
              <w:t xml:space="preserve">930</w:t>
            </w:r>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206</w:t>
            </w:r>
          </w:p>
        </w:tc>
        <w:tc>
          <w:tcPr/>
          <w:p>
            <w:pPr>
              <w:pStyle w:val="Compact"/>
              <w:spacing w:line="240" w:lineRule="auto" w:after="40" w:before="40"/>
              <w:jc w:val="left"/>
            </w:pPr>
            <w:r>
              <w:rPr>
                <w:rFonts w:ascii="Times New Roman" w:hAnsi="Times New Roman" w:cs="Times New Roman" w:eastAsia="Times New Roman"/>
                <w:sz w:val="19"/>
              </w:rPr>
              <w:t xml:space="preserve">1031</w:t>
            </w:r>
          </w:p>
        </w:tc>
      </w:tr>
      <w:tr>
        <w:tc>
          <w:tcPr/>
          <w:p>
            <w:pPr>
              <w:pStyle w:val="Compact"/>
              <w:spacing w:line="240" w:lineRule="auto" w:after="40" w:before="40"/>
              <w:jc w:val="left"/>
            </w:pPr>
            <w:r>
              <w:rPr>
                <w:rFonts w:ascii="Times New Roman" w:hAnsi="Times New Roman" w:cs="Times New Roman" w:eastAsia="Times New Roman"/>
                <w:sz w:val="19"/>
              </w:rPr>
              <w:t xml:space="preserve">mean</w:t>
            </w:r>
          </w:p>
        </w:tc>
        <w:tc>
          <w:tcPr/>
          <w:p>
            <w:pPr>
              <w:pStyle w:val="Compact"/>
              <w:spacing w:line="240" w:lineRule="auto" w:after="40" w:before="40"/>
              <w:jc w:val="left"/>
            </w:pPr>
            <w:r>
              <w:rPr>
                <w:rFonts w:ascii="Times New Roman" w:hAnsi="Times New Roman" w:cs="Times New Roman" w:eastAsia="Times New Roman"/>
                <w:sz w:val="19"/>
              </w:rPr>
              <w:t xml:space="preserve">449</w:t>
            </w:r>
          </w:p>
        </w:tc>
        <w:tc>
          <w:tcPr/>
          <w:p>
            <w:pPr>
              <w:pStyle w:val="Compact"/>
              <w:spacing w:line="240" w:lineRule="auto" w:after="40" w:before="40"/>
              <w:jc w:val="left"/>
            </w:pPr>
            <w:r>
              <w:rPr>
                <w:rFonts w:ascii="Times New Roman" w:hAnsi="Times New Roman" w:cs="Times New Roman" w:eastAsia="Times New Roman"/>
                <w:sz w:val="19"/>
              </w:rPr>
              <w:t xml:space="preserve">506</w:t>
            </w:r>
          </w:p>
        </w:tc>
      </w:tr>
    </w:tbl>
    <w:p>
      <w:pPr>
        <w:pStyle w:val="BodyText"/>
        <w:spacing w:line="360" w:lineRule="auto" w:after="120"/>
        <w:ind w:firstLine="720"/>
        <w:jc w:val="both"/>
      </w:pPr>
      <w:r>
        <w:rPr>
          <w:rFonts w:ascii="Times New Roman" w:hAnsi="Times New Roman" w:cs="Times New Roman" w:eastAsia="Times New Roman"/>
          <w:sz w:val="24"/>
        </w:rPr>
        <w:t xml:space="preserve">Collapse window (train 1954–89, test 1990–95): M1 RMSE 817 kt; M2 1898 kt. Official landings worsen the crash forecast. No module is retained. Persistence remains the lowest-RMSE forecast. That is the second independent negative certificate — a machine-verified finding of non-retention or certified non-existence, distinct from a statistical null result — under the same rule on a different</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 The longer series and the revised LRP do not justify retaining the additional modules.</w:t>
      </w:r>
    </w:p>
    <w:p>
      <w:pPr>
        <w:pStyle w:val="BodyText"/>
        <w:spacing w:line="360" w:lineRule="auto" w:after="120"/>
        <w:ind w:firstLine="720"/>
        <w:jc w:val="both"/>
      </w:pPr>
      <w:r>
        <w:rPr>
          <w:rFonts w:ascii="Times New Roman" w:hAnsi="Times New Roman" w:cs="Times New Roman" w:eastAsia="Times New Roman"/>
          <w:sz w:val="24"/>
        </w:rPr>
        <w:t xml:space="preserve">Recovery-stall window (train 1995–2012, test 2013–2024;</w:t>
      </w:r>
      <w:r>
        <w:rPr>
          <w:rFonts w:ascii="Times New Roman" w:hAnsi="Times New Roman" w:cs="Times New Roman" w:eastAsia="Times New Roman"/>
          <w:sz w:val="24"/>
        </w:rPr>
        <w:t xml:space="preserve"> </w:t>
      </w:r>
      <m:oMath>
        <m:r>
          <m:t>n</m:t>
        </m:r>
        <m:r>
          <m:rPr>
            <m:sty m:val="p"/>
          </m:rPr>
          <m:t>=</m:t>
        </m:r>
        <m:r>
          <m:t>12</m:t>
        </m:r>
      </m:oMath>
      <w:r>
        <w:rPr>
          <w:rFonts w:ascii="Times New Roman" w:hAnsi="Times New Roman" w:cs="Times New Roman" w:eastAsia="Times New Roman"/>
          <w:sz w:val="24"/>
        </w:rPr>
        <w:t xml:space="preserve">): M1 254 kt, M1b 178 kt, M2 269 kt, M3 268 kt, M4 269 kt. The 2013–2024 test path rises from 167 to 462 kt, all above the 112 kt training-end value, so a persistence forecast frozen at that value errs by 262 kt — more than M1 and M1b on this single origin. This fixed-origin comparison does not enter the retention rule, which is decided on rolling-origin primary RMSE (Table 6, where persistence is not beaten at either horizon). M1b’s window fit carries the identification fragility familiar from its other window fits: a small fitted Allee parameter (</w:t>
      </w:r>
      <m:oMath>
        <m:r>
          <m:rPr>
            <m:sty m:val="p"/>
            <m:scr m:val="fraktur"/>
          </m:rPr>
          <m:t>s</m:t>
        </m:r>
        <m:r>
          <m:rPr>
            <m:sty m:val="p"/>
          </m:rPr>
          <m:t>=</m:t>
        </m:r>
        <m:r>
          <m:t>5.3</m:t>
        </m:r>
        <m:r>
          <m:rPr>
            <m:sty m:val="p"/>
          </m:rPr>
          <m:t>×</m:t>
        </m:r>
        <m:sSup>
          <m:e>
            <m:r>
              <m:t>10</m:t>
            </m:r>
          </m:e>
          <m:sup>
            <m:r>
              <m:rPr>
                <m:sty m:val="p"/>
              </m:rPr>
              <m:t>−</m:t>
            </m:r>
            <m:r>
              <m:t>3</m:t>
            </m:r>
          </m:sup>
        </m:sSup>
      </m:oMath>
      <w:r>
        <w:rPr>
          <w:rFonts w:ascii="Times New Roman" w:hAnsi="Times New Roman" w:cs="Times New Roman" w:eastAsia="Times New Roman"/>
          <w:sz w:val="24"/>
        </w:rPr>
        <w:t xml:space="preserve">) with a carrying capacity (</w:t>
      </w:r>
      <m:oMath>
        <m:r>
          <m:t>K</m:t>
        </m:r>
        <m:r>
          <m:rPr>
            <m:sty m:val="p"/>
          </m:rPr>
          <m:t>=</m:t>
        </m:r>
        <m:r>
          <m:t>500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extrapolated far beyond the training range (maximum 117 kt).</w:t>
      </w:r>
    </w:p>
    <w:p>
      <w:pPr>
        <w:pStyle w:val="BodyText"/>
        <w:spacing w:line="360" w:lineRule="auto" w:after="120"/>
        <w:ind w:firstLine="720"/>
        <w:jc w:val="both"/>
      </w:pPr>
      <w:r>
        <w:rPr>
          <w:rFonts w:ascii="Times New Roman" w:hAnsi="Times New Roman" w:cs="Times New Roman" w:eastAsia="Times New Roman"/>
          <w:sz w:val="24"/>
        </w:rPr>
        <w:t xml:space="preserve">On the rolling Brier score for</w:t>
      </w:r>
      <w:r>
        <w:rPr>
          <w:rFonts w:ascii="Times New Roman" w:hAnsi="Times New Roman" w:cs="Times New Roman" w:eastAsia="Times New Roman"/>
          <w:sz w:val="24"/>
        </w:rPr>
        <w:t xml:space="preserve"> </w:t>
      </w:r>
      <m:oMath>
        <m:r>
          <m:rPr>
            <m:sty m:val="b"/>
          </m:rPr>
          <m:t>1</m:t>
        </m:r>
        <m:r>
          <m:rPr>
            <m:sty m:val="p"/>
          </m:rPr>
          <m:t>{</m:t>
        </m:r>
        <m:acc>
          <m:accPr>
            <m:chr m:val="̂"/>
          </m:accPr>
          <m:e>
            <m:r>
              <m:t>S</m:t>
            </m:r>
          </m:e>
        </m:acc>
        <m:r>
          <m:rPr>
            <m:sty m:val="p"/>
          </m:rPr>
          <m:t>&lt;</m:t>
        </m:r>
        <m:r>
          <m:rPr>
            <m:sty m:val="p"/>
          </m:rPr>
          <m:t>L</m:t>
        </m:r>
        <m:r>
          <m:rPr>
            <m:sty m:val="p"/>
          </m:rPr>
          <m:t>R</m:t>
        </m:r>
        <m:r>
          <m:rPr>
            <m:sty m:val="p"/>
          </m:rPr>
          <m:t>P</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secondary score declared above; LRP</w:t>
      </w:r>
      <w:r>
        <w:rPr>
          <w:rFonts w:ascii="Times New Roman" w:hAnsi="Times New Roman" w:cs="Times New Roman" w:eastAsia="Times New Roman"/>
          <w:sz w:val="24"/>
        </w:rPr>
        <w:t xml:space="preserve"> </w:t>
      </w:r>
      <m:oMath>
        <m:r>
          <m:rPr>
            <m:sty m:val="p"/>
          </m:rPr>
          <m:t>=</m:t>
        </m:r>
        <m:r>
          <m:t>276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persistence 0.06 at</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0.27 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M1 0.05 and 0.45; M1b 0.15 and 0.47; M2 0.07 and 0.36; M3 0.02 and 0.31; M4 0.07 and 0.38. M1 and M3 improve the one-year Brier score over persistence (0.05 and 0.02 versus 0.06); no model improves it 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and no model improves the primary RMSE score at either horizon (Table 6), so the retention verdict is unchanged. For reference, the same secondary score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0.00 at both horizons for persistence (every target year 1991–2015 is below the 884.6-kt LRP, so the persistence indicator is always correct), with M1 0.04/0.05, M1b 0.00/0.05, M2 0.08/0.14, M3 0.08/0.10, M4 0.08/0.14 — unbeatable there, and reported only to keep the two specifications’ records separate and complete.</w:t>
      </w:r>
    </w:p>
    <w:p>
      <w:pPr>
        <w:pStyle w:val="BodyText"/>
        <w:spacing w:line="360" w:lineRule="auto" w:after="120"/>
        <w:ind w:firstLine="720"/>
        <w:jc w:val="both"/>
      </w:pPr>
      <w:r>
        <w:rPr>
          <w:rFonts w:ascii="Times New Roman" w:hAnsi="Times New Roman" w:cs="Times New Roman" w:eastAsia="Times New Roman"/>
          <w:sz w:val="24"/>
        </w:rPr>
        <w:t xml:space="preserve">Regular et al. assign the 1992–94 disappearance primarily to</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w:t>
      </w:r>
      <w:r>
        <w:rPr>
          <w:rFonts w:ascii="Times New Roman" w:hAnsi="Times New Roman" w:cs="Times New Roman" w:eastAsia="Times New Roman"/>
          <w:sz w:val="24"/>
        </w:rPr>
        <w:t xml:space="preserve"> </w:t>
      </w:r>
      <m:oMath>
        <m:r>
          <m:rPr>
            <m:sty m:val="p"/>
          </m:rPr>
          <m:t>≈</m:t>
        </m:r>
        <m:r>
          <m:t>2.5</m:t>
        </m:r>
      </m:oMath>
      <w:r>
        <w:rPr>
          <w:rFonts w:ascii="Times New Roman" w:hAnsi="Times New Roman" w:cs="Times New Roman" w:eastAsia="Times New Roman"/>
          <w:sz w:val="24"/>
        </w:rPr>
        <w:t xml:space="preserve">), informed by tagging and a capelin/cod predictor, and note that some of that</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still be unreported</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That split is the same as the surplus residual after subtracting official</w:t>
      </w:r>
      <w:r>
        <w:rPr>
          <w:rFonts w:ascii="Times New Roman" w:hAnsi="Times New Roman" w:cs="Times New Roman" w:eastAsia="Times New Roman"/>
          <w:sz w:val="24"/>
        </w:rPr>
        <w:t xml:space="preserve"> </w:t>
      </w:r>
      <m:oMath>
        <m:sSub>
          <m:e>
            <m:r>
              <m:t>C</m:t>
            </m:r>
          </m:e>
          <m:sub>
            <m:r>
              <m:t>t</m:t>
            </m:r>
          </m:sub>
        </m:sSub>
      </m:oMath>
      <w:r>
        <w:rPr>
          <w:rFonts w:ascii="Times New Roman" w:hAnsi="Times New Roman" w:cs="Times New Roman" w:eastAsia="Times New Roman"/>
          <w:sz w:val="24"/>
        </w:rPr>
        <w:t xml:space="preserve">.</w:t>
      </w:r>
    </w:p>
    <w:bookmarkEnd w:id="39"/>
    <w:bookmarkStart w:id="40" w:name="prey-informed-productivity"/>
    <w:p>
      <w:pPr>
        <w:pStyle w:val="Heading2"/>
        <w:spacing w:before="240" w:after="120" w:line="360" w:lineRule="auto"/>
        <w:ind w:firstLine="0" w:left="0"/>
        <w:jc w:val="left"/>
      </w:pPr>
      <w:r>
        <w:rPr>
          <w:rFonts w:ascii="Times New Roman" w:hAnsi="Times New Roman" w:cs="Times New Roman" w:eastAsia="Times New Roman"/>
          <w:b/>
          <w:sz w:val="24"/>
        </w:rPr>
        <w:t xml:space="preserve">5.4 Prey-informed productivity</w:t>
      </w:r>
    </w:p>
    <w:p>
      <w:pPr>
        <w:pStyle w:val="FirstParagraph"/>
        <w:spacing w:line="360" w:lineRule="auto" w:after="120"/>
        <w:ind w:firstLine="720"/>
        <w:jc w:val="both"/>
      </w:pPr>
      <w:r>
        <w:rPr>
          <w:rFonts w:ascii="Times New Roman" w:hAnsi="Times New Roman" w:cs="Times New Roman" w:eastAsia="Times New Roman"/>
          <w:sz w:val="24"/>
        </w:rPr>
        <w:t xml:space="preserve">Murphy et al. (2025) report a 1991 acoustic collapse (1985–90 median 3704 kt versus 1991–2022 median 174 kt). A two-regime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break 1991 uses the high regime only for forecasts issued before 1991. Capelin enters as a candidate disturbance class, not as a fitted parameter.</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7.</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 RMSE, two-regime</w:t>
      </w:r>
      <w:r>
        <w:rPr>
          <w:rFonts w:ascii="Times New Roman" w:hAnsi="Times New Roman" w:cs="Times New Roman" w:eastAsia="Times New Roman"/>
          <w:sz w:val="20"/>
        </w:rPr>
        <w:t xml:space="preserve"> </w:t>
      </w:r>
      <m:oMath>
        <m:r>
          <m:t>r</m:t>
        </m:r>
      </m:oMath>
      <w:r>
        <w:rPr>
          <w:rFonts w:ascii="Times New Roman" w:hAnsi="Times New Roman" w:cs="Times New Roman" w:eastAsia="Times New Roman"/>
          <w:sz w:val="20"/>
        </w:rPr>
        <w:t xml:space="preserve">.</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Specification</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p>
        </w:tc>
        <w:tc>
          <w:tcPr>
            <w:tcBorders>
              <w:bottom w:val="single" w:sz="8" w:color="000000"/>
            </w:tcBorders>
          </w:tcPr>
          <w:p>
            <w:pPr>
              <w:pStyle w:val="Compact"/>
              <w:spacing w:line="240" w:lineRule="auto" w:after="40" w:before="40"/>
              <w:jc w:val="left"/>
            </w:pPr>
            <m:oMath>
              <m:r>
                <m:t>h</m:t>
              </m:r>
              <m:r>
                <m:rPr>
                  <m:sty m:val="p"/>
                </m:rPr>
                <m:t>=</m:t>
              </m:r>
              <m:r>
                <m:t>5</m:t>
              </m:r>
            </m:oMath>
          </w:p>
        </w:tc>
      </w:tr>
      <w:tr>
        <w:tc>
          <w:tcPr/>
          <w:p>
            <w:pPr>
              <w:pStyle w:val="Compact"/>
              <w:spacing w:line="240" w:lineRule="auto" w:after="40" w:before="40"/>
              <w:jc w:val="left"/>
            </w:pPr>
            <m:oMath>
              <m:sSub>
                <m:e>
                  <m:r>
                    <m:t>Ω</m:t>
                  </m:r>
                </m:e>
                <m:sub>
                  <m:r>
                    <m:t>2016</m:t>
                  </m:r>
                </m:sub>
              </m:sSub>
            </m:oMath>
          </w:p>
        </w:tc>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98</w:t>
            </w:r>
          </w:p>
        </w:tc>
        <w:tc>
          <w:tcPr/>
          <w:p>
            <w:pPr>
              <w:pStyle w:val="Compact"/>
              <w:spacing w:line="240" w:lineRule="auto" w:after="40" w:before="40"/>
              <w:jc w:val="left"/>
            </w:pPr>
            <w:r>
              <w:rPr>
                <w:rFonts w:ascii="Times New Roman" w:hAnsi="Times New Roman" w:cs="Times New Roman" w:eastAsia="Times New Roman"/>
                <w:b/>
                <w:bCs/>
                <w:sz w:val="19"/>
              </w:rPr>
              <w:t xml:space="preserve">265</w:t>
            </w:r>
          </w:p>
        </w:tc>
      </w:tr>
      <w:tr>
        <w:tc>
          <w:tcPr/>
          <w:p>
            <w:pPr>
              <w:pStyle w:val="Compact"/>
              <w:spacing w:line="240" w:lineRule="auto" w:after="40" w:before="40"/>
              <w:jc w:val="left"/>
            </w:pPr>
            <m:oMath>
              <m:sSub>
                <m:e>
                  <m:r>
                    <m:t>Ω</m:t>
                  </m:r>
                </m:e>
                <m:sub>
                  <m:r>
                    <m:t>2016</m:t>
                  </m:r>
                </m:sub>
              </m:sSub>
            </m:oMath>
          </w:p>
        </w:tc>
        <w:tc>
          <w:tcPr/>
          <w:p>
            <w:pPr>
              <w:pStyle w:val="Compact"/>
              <w:spacing w:line="240" w:lineRule="auto" w:after="40" w:before="40"/>
              <w:jc w:val="left"/>
            </w:pPr>
            <w:r>
              <w:rPr>
                <w:rFonts w:ascii="Times New Roman" w:hAnsi="Times New Roman" w:cs="Times New Roman" w:eastAsia="Times New Roman"/>
                <w:sz w:val="19"/>
              </w:rPr>
              <w:t xml:space="preserve">M_cap</w:t>
            </w:r>
          </w:p>
        </w:tc>
        <w:tc>
          <w:tcPr/>
          <w:p>
            <w:pPr>
              <w:pStyle w:val="Compact"/>
              <w:spacing w:line="240" w:lineRule="auto" w:after="40" w:before="40"/>
              <w:jc w:val="left"/>
            </w:pPr>
            <w:r>
              <w:rPr>
                <w:rFonts w:ascii="Times New Roman" w:hAnsi="Times New Roman" w:cs="Times New Roman" w:eastAsia="Times New Roman"/>
                <w:sz w:val="19"/>
              </w:rPr>
              <w:t xml:space="preserve">154</w:t>
            </w:r>
          </w:p>
        </w:tc>
        <w:tc>
          <w:tcPr/>
          <w:p>
            <w:pPr>
              <w:pStyle w:val="Compact"/>
              <w:spacing w:line="240" w:lineRule="auto" w:after="40" w:before="40"/>
              <w:jc w:val="left"/>
            </w:pPr>
            <w:r>
              <w:rPr>
                <w:rFonts w:ascii="Times New Roman" w:hAnsi="Times New Roman" w:cs="Times New Roman" w:eastAsia="Times New Roman"/>
                <w:sz w:val="19"/>
              </w:rPr>
              <w:t xml:space="preserve">334</w:t>
            </w:r>
          </w:p>
        </w:tc>
      </w:tr>
      <w:tr>
        <w:tc>
          <w:tcPr/>
          <w:p>
            <w:pPr>
              <w:pStyle w:val="Compact"/>
              <w:spacing w:line="240" w:lineRule="auto" w:after="40" w:before="40"/>
              <w:jc w:val="left"/>
            </w:pPr>
            <m:oMath>
              <m:sSub>
                <m:e>
                  <m:r>
                    <m:t>Ω</m:t>
                  </m:r>
                </m:e>
                <m:sub>
                  <m:r>
                    <m:rPr>
                      <m:sty m:val="p"/>
                    </m:rPr>
                    <m:t>x</m:t>
                  </m:r>
                  <m:r>
                    <m:rPr>
                      <m:sty m:val="p"/>
                    </m:rPr>
                    <m:t>t</m:t>
                  </m:r>
                  <m:r>
                    <m:rPr>
                      <m:sty m:val="p"/>
                    </m:rPr>
                    <m:t>e</m:t>
                  </m:r>
                </m:sub>
              </m:sSub>
            </m:oMath>
          </w:p>
        </w:tc>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88</w:t>
            </w:r>
          </w:p>
        </w:tc>
        <w:tc>
          <w:tcPr/>
          <w:p>
            <w:pPr>
              <w:pStyle w:val="Compact"/>
              <w:spacing w:line="240" w:lineRule="auto" w:after="40" w:before="40"/>
              <w:jc w:val="left"/>
            </w:pPr>
            <w:r>
              <w:rPr>
                <w:rFonts w:ascii="Times New Roman" w:hAnsi="Times New Roman" w:cs="Times New Roman" w:eastAsia="Times New Roman"/>
                <w:b/>
                <w:bCs/>
                <w:sz w:val="19"/>
              </w:rPr>
              <w:t xml:space="preserve">318</w:t>
            </w:r>
          </w:p>
        </w:tc>
      </w:tr>
      <w:tr>
        <w:tc>
          <w:tcPr/>
          <w:p>
            <w:pPr>
              <w:pStyle w:val="Compact"/>
              <w:spacing w:line="240" w:lineRule="auto" w:after="40" w:before="40"/>
              <w:jc w:val="left"/>
            </w:pPr>
            <m:oMath>
              <m:sSub>
                <m:e>
                  <m:r>
                    <m:t>Ω</m:t>
                  </m:r>
                </m:e>
                <m:sub>
                  <m:r>
                    <m:rPr>
                      <m:sty m:val="p"/>
                    </m:rPr>
                    <m:t>x</m:t>
                  </m:r>
                  <m:r>
                    <m:rPr>
                      <m:sty m:val="p"/>
                    </m:rPr>
                    <m:t>t</m:t>
                  </m:r>
                  <m:r>
                    <m:rPr>
                      <m:sty m:val="p"/>
                    </m:rPr>
                    <m:t>e</m:t>
                  </m:r>
                </m:sub>
              </m:sSub>
            </m:oMath>
          </w:p>
        </w:tc>
        <w:tc>
          <w:tcPr/>
          <w:p>
            <w:pPr>
              <w:pStyle w:val="Compact"/>
              <w:spacing w:line="240" w:lineRule="auto" w:after="40" w:before="40"/>
              <w:jc w:val="left"/>
            </w:pPr>
            <w:r>
              <w:rPr>
                <w:rFonts w:ascii="Times New Roman" w:hAnsi="Times New Roman" w:cs="Times New Roman" w:eastAsia="Times New Roman"/>
                <w:sz w:val="19"/>
              </w:rPr>
              <w:t xml:space="preserve">M_cap</w:t>
            </w:r>
          </w:p>
        </w:tc>
        <w:tc>
          <w:tcPr/>
          <w:p>
            <w:pPr>
              <w:pStyle w:val="Compact"/>
              <w:spacing w:line="240" w:lineRule="auto" w:after="40" w:before="40"/>
              <w:jc w:val="left"/>
            </w:pPr>
            <w:r>
              <w:rPr>
                <w:rFonts w:ascii="Times New Roman" w:hAnsi="Times New Roman" w:cs="Times New Roman" w:eastAsia="Times New Roman"/>
                <w:sz w:val="19"/>
              </w:rPr>
              <w:t xml:space="preserve">147</w:t>
            </w:r>
          </w:p>
        </w:tc>
        <w:tc>
          <w:tcPr/>
          <w:p>
            <w:pPr>
              <w:pStyle w:val="Compact"/>
              <w:spacing w:line="240" w:lineRule="auto" w:after="40" w:before="40"/>
              <w:jc w:val="left"/>
            </w:pPr>
            <w:r>
              <w:rPr>
                <w:rFonts w:ascii="Times New Roman" w:hAnsi="Times New Roman" w:cs="Times New Roman" w:eastAsia="Times New Roman"/>
                <w:sz w:val="19"/>
              </w:rPr>
              <w:t xml:space="preserve">894</w:t>
            </w:r>
          </w:p>
        </w:tc>
      </w:tr>
    </w:tbl>
    <w:p>
      <w:pPr>
        <w:pStyle w:val="BodyText"/>
        <w:spacing w:line="360" w:lineRule="auto" w:after="120"/>
        <w:ind w:firstLine="720"/>
        <w:jc w:val="both"/>
      </w:pPr>
      <w:r>
        <w:rPr>
          <w:rFonts w:ascii="Times New Roman" w:hAnsi="Times New Roman" w:cs="Times New Roman" w:eastAsia="Times New Roman"/>
          <w:sz w:val="24"/>
        </w:rPr>
        <w:t xml:space="preserve">On post-break origins only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r>
          <m:rPr>
            <m:sty m:val="p"/>
          </m:rPr>
          <m:t>=</m:t>
        </m:r>
        <m:r>
          <m:t>33</m:t>
        </m:r>
      </m:oMath>
      <w:r>
        <w:rPr>
          <w:rFonts w:ascii="Times New Roman" w:hAnsi="Times New Roman" w:cs="Times New Roman" w:eastAsia="Times New Roman"/>
          <w:sz w:val="24"/>
        </w:rPr>
        <w:t xml:space="preserve">): M_cap 107 versus persistence 75 on the identical origin set (the 88 of Table 7 is the all-origins value). Not retained.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post-break origins (</w:t>
      </w:r>
      <m:oMath>
        <m:r>
          <m:t>n</m:t>
        </m:r>
        <m:r>
          <m:rPr>
            <m:sty m:val="p"/>
          </m:rPr>
          <m:t>=</m:t>
        </m:r>
        <m:r>
          <m:t>24</m:t>
        </m:r>
      </m:oMath>
      <w:r>
        <w:rPr>
          <w:rFonts w:ascii="Times New Roman" w:hAnsi="Times New Roman" w:cs="Times New Roman" w:eastAsia="Times New Roman"/>
          <w:sz w:val="24"/>
        </w:rPr>
        <w:t xml:space="preserve">) the corresponding M_cap value is 149 kt.</w:t>
      </w:r>
    </w:p>
    <w:p>
      <w:pPr>
        <w:pStyle w:val="BodyText"/>
        <w:spacing w:line="360" w:lineRule="auto" w:after="120"/>
        <w:ind w:firstLine="720"/>
        <w:jc w:val="both"/>
      </w:pPr>
      <w:r>
        <w:rPr>
          <w:rFonts w:ascii="Times New Roman" w:hAnsi="Times New Roman" w:cs="Times New Roman" w:eastAsia="Times New Roman"/>
          <w:sz w:val="24"/>
        </w:rPr>
        <w:t xml:space="preserve">The year-by-year 3L spring acoustic biomass is tabulated in Zenodo 10.5281/zenodo.17515115, with 2023</w:t>
      </w:r>
      <w:r>
        <w:rPr>
          <w:rFonts w:ascii="Times New Roman" w:hAnsi="Times New Roman" w:cs="Times New Roman" w:eastAsia="Times New Roman"/>
          <w:sz w:val="24"/>
        </w:rPr>
        <w:t xml:space="preserve"> </w:t>
      </w:r>
      <m:oMath>
        <m:r>
          <m:rPr>
            <m:sty m:val="p"/>
          </m:rPr>
          <m:t>=</m:t>
        </m:r>
        <m:r>
          <m:t>331.3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from Murphy et al. (2025). Surplus is scaled by</w:t>
      </w:r>
      <w:r>
        <w:rPr>
          <w:rFonts w:ascii="Times New Roman" w:hAnsi="Times New Roman" w:cs="Times New Roman" w:eastAsia="Times New Roman"/>
          <w:sz w:val="24"/>
        </w:rPr>
        <w:t xml:space="preserve"> </w:t>
      </w:r>
      <m:oMath>
        <m:sSup>
          <m:e>
            <m:d>
              <m:dPr>
                <m:begChr m:val="("/>
                <m:endChr m:val=")"/>
                <m:sepChr m:val=""/>
                <m:grow/>
              </m:dPr>
              <m:e>
                <m:sSub>
                  <m:e>
                    <m:r>
                      <m:t>I</m:t>
                    </m:r>
                  </m:e>
                  <m:sub>
                    <m:r>
                      <m:rPr>
                        <m:sty m:val="p"/>
                      </m:rPr>
                      <m:t>k</m:t>
                    </m:r>
                    <m:r>
                      <m:rPr>
                        <m:sty m:val="p"/>
                      </m:rPr>
                      <m:t>n</m:t>
                    </m:r>
                    <m:r>
                      <m:rPr>
                        <m:sty m:val="p"/>
                      </m:rPr>
                      <m:t>o</m:t>
                    </m:r>
                    <m:r>
                      <m:rPr>
                        <m:sty m:val="p"/>
                      </m:rPr>
                      <m:t>w</m:t>
                    </m:r>
                    <m:r>
                      <m:rPr>
                        <m:sty m:val="p"/>
                      </m:rPr>
                      <m:t>n</m:t>
                    </m:r>
                  </m:sub>
                </m:sSub>
                <m:r>
                  <m:rPr>
                    <m:sty m:val="p"/>
                  </m:rPr>
                  <m:t>/</m:t>
                </m:r>
                <m:sSub>
                  <m:e>
                    <m:r>
                      <m:t>I</m:t>
                    </m:r>
                  </m:e>
                  <m:sub>
                    <m:r>
                      <m:rPr>
                        <m:sty m:val="p"/>
                      </m:rPr>
                      <m:t>r</m:t>
                    </m:r>
                    <m:r>
                      <m:rPr>
                        <m:sty m:val="p"/>
                      </m:rPr>
                      <m:t>e</m:t>
                    </m:r>
                    <m:r>
                      <m:rPr>
                        <m:sty m:val="p"/>
                      </m:rPr>
                      <m:t>f</m:t>
                    </m:r>
                  </m:sub>
                </m:sSub>
              </m:e>
            </m:d>
          </m:e>
          <m:sup>
            <m:r>
              <m:t>b</m:t>
            </m:r>
          </m:sup>
        </m:sSup>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I</m:t>
            </m:r>
          </m:e>
          <m:sub>
            <m:r>
              <m:rPr>
                <m:sty m:val="p"/>
              </m:rPr>
              <m:t>k</m:t>
            </m:r>
            <m:r>
              <m:rPr>
                <m:sty m:val="p"/>
              </m:rPr>
              <m:t>n</m:t>
            </m:r>
            <m:r>
              <m:rPr>
                <m:sty m:val="p"/>
              </m:rPr>
              <m:t>o</m:t>
            </m:r>
            <m:r>
              <m:rPr>
                <m:sty m:val="p"/>
              </m:rPr>
              <m:t>w</m:t>
            </m:r>
            <m:r>
              <m:rPr>
                <m:sty m:val="p"/>
              </m:rPr>
              <m:t>n</m:t>
            </m:r>
          </m:sub>
        </m:sSub>
        <m:d>
          <m:dPr>
            <m:begChr m:val="("/>
            <m:endChr m:val=")"/>
            <m:sepChr m:val=""/>
            <m:grow/>
          </m:dPr>
          <m:e>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last observation at or before</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I</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training-window median of the observed index, and</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third free parameter fitted jointly with</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one-step least squares on the training window. Survey years are unobserved in part of the record, so the index-forecast origins number</w:t>
      </w:r>
      <w:r>
        <w:rPr>
          <w:rFonts w:ascii="Times New Roman" w:hAnsi="Times New Roman" w:cs="Times New Roman" w:eastAsia="Times New Roman"/>
          <w:sz w:val="24"/>
        </w:rPr>
        <w:t xml:space="preserve"> </w:t>
      </w:r>
      <m:oMath>
        <m:r>
          <m:t>n</m:t>
        </m:r>
        <m:r>
          <m:rPr>
            <m:sty m:val="p"/>
          </m:rPr>
          <m:t>=</m:t>
        </m:r>
        <m:r>
          <m:t>24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h</m:t>
        </m:r>
        <m:r>
          <m:rPr>
            <m:sty m:val="p"/>
          </m:rPr>
          <m:t>=</m:t>
        </m:r>
        <m:r>
          <m:t>1</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n</m:t>
        </m:r>
        <m:r>
          <m:rPr>
            <m:sty m:val="p"/>
          </m:rPr>
          <m:t>=</m:t>
        </m:r>
        <m:r>
          <m:t>20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h</m:t>
        </m:r>
        <m:r>
          <m:rPr>
            <m:sty m:val="p"/>
          </m:rPr>
          <m:t>=</m:t>
        </m:r>
        <m:r>
          <m:t>5</m:t>
        </m:r>
      </m:oMath>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36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against the SSB-based rolling-origin counts (</w:t>
      </w:r>
      <m:oMath>
        <m:r>
          <m:t>n</m:t>
        </m:r>
        <m:r>
          <m:rPr>
            <m:sty m:val="p"/>
          </m:rPr>
          <m:t>=</m:t>
        </m:r>
        <m:r>
          <m:t>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Section 6).</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8.</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 RMSE, observed acoustic index.</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Specification</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p>
        </w:tc>
        <w:tc>
          <w:tcPr>
            <w:tcBorders>
              <w:bottom w:val="single" w:sz="8" w:color="000000"/>
            </w:tcBorders>
          </w:tcPr>
          <w:p>
            <w:pPr>
              <w:pStyle w:val="Compact"/>
              <w:spacing w:line="240" w:lineRule="auto" w:after="40" w:before="40"/>
              <w:jc w:val="left"/>
            </w:pPr>
            <m:oMath>
              <m:r>
                <m:t>h</m:t>
              </m:r>
              <m:r>
                <m:rPr>
                  <m:sty m:val="p"/>
                </m:rPr>
                <m:t>=</m:t>
              </m:r>
              <m:r>
                <m:t>5</m:t>
              </m:r>
            </m:oMath>
          </w:p>
        </w:tc>
      </w:tr>
      <w:tr>
        <w:tc>
          <w:tcPr/>
          <w:p>
            <w:pPr>
              <w:pStyle w:val="Compact"/>
              <w:spacing w:line="240" w:lineRule="auto" w:after="40" w:before="40"/>
              <w:jc w:val="left"/>
            </w:pPr>
            <m:oMath>
              <m:sSub>
                <m:e>
                  <m:r>
                    <m:t>Ω</m:t>
                  </m:r>
                </m:e>
                <m:sub>
                  <m:r>
                    <m:t>2016</m:t>
                  </m:r>
                </m:sub>
              </m:sSub>
            </m:oMath>
          </w:p>
        </w:tc>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98</w:t>
            </w:r>
          </w:p>
        </w:tc>
        <w:tc>
          <w:tcPr/>
          <w:p>
            <w:pPr>
              <w:pStyle w:val="Compact"/>
              <w:spacing w:line="240" w:lineRule="auto" w:after="40" w:before="40"/>
              <w:jc w:val="left"/>
            </w:pPr>
            <w:r>
              <w:rPr>
                <w:rFonts w:ascii="Times New Roman" w:hAnsi="Times New Roman" w:cs="Times New Roman" w:eastAsia="Times New Roman"/>
                <w:sz w:val="19"/>
              </w:rPr>
              <w:t xml:space="preserve">265</w:t>
            </w:r>
          </w:p>
        </w:tc>
      </w:tr>
      <w:tr>
        <w:tc>
          <w:tcPr/>
          <w:p>
            <w:pPr>
              <w:pStyle w:val="Compact"/>
              <w:spacing w:line="240" w:lineRule="auto" w:after="40" w:before="40"/>
              <w:jc w:val="left"/>
            </w:pPr>
            <m:oMath>
              <m:sSub>
                <m:e>
                  <m:r>
                    <m:t>Ω</m:t>
                  </m:r>
                </m:e>
                <m:sub>
                  <m:r>
                    <m:t>2016</m:t>
                  </m:r>
                </m:sub>
              </m:sSub>
            </m:oMath>
          </w:p>
        </w:tc>
        <w:tc>
          <w:tcPr/>
          <w:p>
            <w:pPr>
              <w:pStyle w:val="Compact"/>
              <w:spacing w:line="240" w:lineRule="auto" w:after="40" w:before="40"/>
              <w:jc w:val="left"/>
            </w:pPr>
            <w:r>
              <w:rPr>
                <w:rFonts w:ascii="Times New Roman" w:hAnsi="Times New Roman" w:cs="Times New Roman" w:eastAsia="Times New Roman"/>
                <w:sz w:val="19"/>
              </w:rPr>
              <w:t xml:space="preserve">M_cap_index</w:t>
            </w:r>
          </w:p>
        </w:tc>
        <w:tc>
          <w:tcPr/>
          <w:p>
            <w:pPr>
              <w:pStyle w:val="Compact"/>
              <w:spacing w:line="240" w:lineRule="auto" w:after="40" w:before="40"/>
              <w:jc w:val="left"/>
            </w:pPr>
            <w:r>
              <w:rPr>
                <w:rFonts w:ascii="Times New Roman" w:hAnsi="Times New Roman" w:cs="Times New Roman" w:eastAsia="Times New Roman"/>
                <w:sz w:val="19"/>
              </w:rPr>
              <w:t xml:space="preserve">150</w:t>
            </w:r>
          </w:p>
        </w:tc>
        <w:tc>
          <w:tcPr/>
          <w:p>
            <w:pPr>
              <w:pStyle w:val="Compact"/>
              <w:spacing w:line="240" w:lineRule="auto" w:after="40" w:before="40"/>
              <w:jc w:val="left"/>
            </w:pPr>
            <w:r>
              <w:rPr>
                <w:rFonts w:ascii="Times New Roman" w:hAnsi="Times New Roman" w:cs="Times New Roman" w:eastAsia="Times New Roman"/>
                <w:sz w:val="19"/>
              </w:rPr>
              <w:t xml:space="preserve">262</w:t>
            </w:r>
          </w:p>
        </w:tc>
      </w:tr>
      <w:tr>
        <w:tc>
          <w:tcPr/>
          <w:p>
            <w:pPr>
              <w:pStyle w:val="Compact"/>
              <w:spacing w:line="240" w:lineRule="auto" w:after="40" w:before="40"/>
              <w:jc w:val="left"/>
            </w:pPr>
            <m:oMath>
              <m:sSub>
                <m:e>
                  <m:r>
                    <m:t>Ω</m:t>
                  </m:r>
                </m:e>
                <m:sub>
                  <m:r>
                    <m:rPr>
                      <m:sty m:val="p"/>
                    </m:rPr>
                    <m:t>x</m:t>
                  </m:r>
                  <m:r>
                    <m:rPr>
                      <m:sty m:val="p"/>
                    </m:rPr>
                    <m:t>t</m:t>
                  </m:r>
                  <m:r>
                    <m:rPr>
                      <m:sty m:val="p"/>
                    </m:rPr>
                    <m:t>e</m:t>
                  </m:r>
                </m:sub>
              </m:sSub>
            </m:oMath>
          </w:p>
        </w:tc>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b/>
                <w:bCs/>
                <w:sz w:val="19"/>
              </w:rPr>
              <w:t xml:space="preserve">88</w:t>
            </w:r>
          </w:p>
        </w:tc>
        <w:tc>
          <w:tcPr/>
          <w:p>
            <w:pPr>
              <w:pStyle w:val="Compact"/>
              <w:spacing w:line="240" w:lineRule="auto" w:after="40" w:before="40"/>
              <w:jc w:val="left"/>
            </w:pPr>
            <w:r>
              <w:rPr>
                <w:rFonts w:ascii="Times New Roman" w:hAnsi="Times New Roman" w:cs="Times New Roman" w:eastAsia="Times New Roman"/>
                <w:b/>
                <w:bCs/>
                <w:sz w:val="19"/>
              </w:rPr>
              <w:t xml:space="preserve">318</w:t>
            </w:r>
          </w:p>
        </w:tc>
      </w:tr>
      <w:tr>
        <w:tc>
          <w:tcPr/>
          <w:p>
            <w:pPr>
              <w:pStyle w:val="Compact"/>
              <w:spacing w:line="240" w:lineRule="auto" w:after="40" w:before="40"/>
              <w:jc w:val="left"/>
            </w:pPr>
            <m:oMath>
              <m:sSub>
                <m:e>
                  <m:r>
                    <m:t>Ω</m:t>
                  </m:r>
                </m:e>
                <m:sub>
                  <m:r>
                    <m:rPr>
                      <m:sty m:val="p"/>
                    </m:rPr>
                    <m:t>x</m:t>
                  </m:r>
                  <m:r>
                    <m:rPr>
                      <m:sty m:val="p"/>
                    </m:rPr>
                    <m:t>t</m:t>
                  </m:r>
                  <m:r>
                    <m:rPr>
                      <m:sty m:val="p"/>
                    </m:rPr>
                    <m:t>e</m:t>
                  </m:r>
                </m:sub>
              </m:sSub>
            </m:oMath>
          </w:p>
        </w:tc>
        <w:tc>
          <w:tcPr/>
          <w:p>
            <w:pPr>
              <w:pStyle w:val="Compact"/>
              <w:spacing w:line="240" w:lineRule="auto" w:after="40" w:before="40"/>
              <w:jc w:val="left"/>
            </w:pPr>
            <w:r>
              <w:rPr>
                <w:rFonts w:ascii="Times New Roman" w:hAnsi="Times New Roman" w:cs="Times New Roman" w:eastAsia="Times New Roman"/>
                <w:sz w:val="19"/>
              </w:rPr>
              <w:t xml:space="preserve">M_cap_index</w:t>
            </w:r>
          </w:p>
        </w:tc>
        <w:tc>
          <w:tcPr/>
          <w:p>
            <w:pPr>
              <w:pStyle w:val="Compact"/>
              <w:spacing w:line="240" w:lineRule="auto" w:after="40" w:before="40"/>
              <w:jc w:val="left"/>
            </w:pPr>
            <w:r>
              <w:rPr>
                <w:rFonts w:ascii="Times New Roman" w:hAnsi="Times New Roman" w:cs="Times New Roman" w:eastAsia="Times New Roman"/>
                <w:sz w:val="19"/>
              </w:rPr>
              <w:t xml:space="preserve">132</w:t>
            </w:r>
          </w:p>
        </w:tc>
        <w:tc>
          <w:tcPr/>
          <w:p>
            <w:pPr>
              <w:pStyle w:val="Compact"/>
              <w:spacing w:line="240" w:lineRule="auto" w:after="40" w:before="40"/>
              <w:jc w:val="left"/>
            </w:pPr>
            <w:r>
              <w:rPr>
                <w:rFonts w:ascii="Times New Roman" w:hAnsi="Times New Roman" w:cs="Times New Roman" w:eastAsia="Times New Roman"/>
                <w:sz w:val="19"/>
              </w:rPr>
              <w:t xml:space="preserve">492</w:t>
            </w:r>
          </w:p>
        </w:tc>
      </w:tr>
    </w:tbl>
    <w:p>
      <w:pPr>
        <w:pStyle w:val="BodyText"/>
        <w:spacing w:line="360" w:lineRule="auto" w:after="120"/>
        <w:ind w:firstLine="720"/>
        <w:jc w:val="both"/>
      </w:pP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five-year RMSE is a near-tie (262 versus 265 kt). One-year RMSE is worse. The module is not retained.</w:t>
      </w:r>
    </w:p>
    <w:bookmarkEnd w:id="40"/>
    <w:bookmarkEnd w:id="41"/>
    <w:bookmarkStart w:id="42" w:name="discussion"/>
    <w:p>
      <w:pPr>
        <w:pStyle w:val="Heading1"/>
        <w:spacing w:before="360" w:after="120" w:line="360" w:lineRule="auto"/>
        <w:ind w:firstLine="0" w:left="0"/>
        <w:jc w:val="left"/>
      </w:pPr>
      <w:r>
        <w:rPr>
          <w:rFonts w:ascii="Times New Roman" w:hAnsi="Times New Roman" w:cs="Times New Roman" w:eastAsia="Times New Roman"/>
          <w:b/>
          <w:sz w:val="28"/>
        </w:rPr>
        <w:t xml:space="preserve">6. Discussion</w:t>
      </w:r>
    </w:p>
    <w:p>
      <w:pPr>
        <w:pStyle w:val="FirstParagraph"/>
        <w:spacing w:line="360" w:lineRule="auto" w:after="120"/>
        <w:ind w:firstLine="720"/>
        <w:jc w:val="both"/>
      </w:pPr>
      <w:r>
        <w:rPr>
          <w:rFonts w:ascii="Times New Roman" w:hAnsi="Times New Roman" w:cs="Times New Roman" w:eastAsia="Times New Roman"/>
          <w:sz w:val="24"/>
        </w:rPr>
        <w:t xml:space="preserve">The observed path is non-monotone. An exact fixed autonomous scalar trajectory cannot reproduce it; M1’s collapse failure is the finite-sample face of that obstruction — the incompatibility of the observed path with the autonomous surplus-production model (the Schaefer-class scalar model) at its corrected status.</w:t>
      </w:r>
    </w:p>
    <w:p>
      <w:pPr>
        <w:pStyle w:val="BodyText"/>
        <w:spacing w:line="360" w:lineRule="auto" w:after="120"/>
        <w:ind w:firstLine="720"/>
        <w:jc w:val="both"/>
      </w:pPr>
      <w:r>
        <w:rPr>
          <w:rFonts w:ascii="Times New Roman" w:hAnsi="Times New Roman" w:cs="Times New Roman" w:eastAsia="Times New Roman"/>
          <w:sz w:val="24"/>
        </w:rPr>
        <w:t xml:space="preserve">Under both the coarse catch regime and official landings, lowering</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1992 cannot generate the crash. Collapse on these specifications is a productivity, unallocated-mortality, or observation event, not a surplus-production response to the declared catch drop. That is compatible with DFO’s caution that NCAM</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absorb unreported deaths — a declared limitation of the autonomous surplus-production model at its corrected status: the crash remains such an event under the best available public catch reconstruction, which tightens that limitation rather than relaxing it.</w:t>
      </w:r>
    </w:p>
    <w:p>
      <w:pPr>
        <w:pStyle w:val="BodyText"/>
        <w:spacing w:line="360" w:lineRule="auto" w:after="120"/>
        <w:ind w:firstLine="720"/>
        <w:jc w:val="both"/>
      </w:pPr>
      <w:r>
        <w:rPr>
          <w:rFonts w:ascii="Times New Roman" w:hAnsi="Times New Roman" w:cs="Times New Roman" w:eastAsia="Times New Roman"/>
          <w:sz w:val="24"/>
        </w:rPr>
        <w:t xml:space="preserve">Unidentified extra structure increases error. Autoregressive residuals fitted on short, regime-changing windows persist the wrong sign. An Allee parameter goes to the boundary. A one-year delay removes information. These modules stay descriptive unless the certificate hypotheses — the conditions under which a module’s contribution could be certified rather than merely scored — hold; M3 and M4 are not certificates here.</w:t>
      </w:r>
    </w:p>
    <w:p>
      <w:pPr>
        <w:pStyle w:val="BodyText"/>
        <w:spacing w:line="360" w:lineRule="auto" w:after="120"/>
        <w:ind w:firstLine="720"/>
        <w:jc w:val="both"/>
      </w:pPr>
      <w:r>
        <w:rPr>
          <w:rFonts w:ascii="Times New Roman" w:hAnsi="Times New Roman" w:cs="Times New Roman" w:eastAsia="Times New Roman"/>
          <w:sz w:val="24"/>
        </w:rPr>
        <w:t xml:space="preserve">The 2016 LRP is the 1980s mean SSB. Slack to that bound is near zero by construction throughout the training window that precedes collapse. A leading-indicator claim that uses this</w:t>
      </w:r>
      <w:r>
        <w:rPr>
          <w:rFonts w:ascii="Times New Roman" w:hAnsi="Times New Roman" w:cs="Times New Roman" w:eastAsia="Times New Roman"/>
          <w:sz w:val="24"/>
        </w:rPr>
        <w:t xml:space="preserve"> </w:t>
      </w:r>
      <m:oMath>
        <m:sSup>
          <m:e>
            <m:r>
              <m:t>K</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circular for 1983–1990.</w:t>
      </w:r>
    </w:p>
    <w:p>
      <w:pPr>
        <w:pStyle w:val="BodyText"/>
        <w:spacing w:line="360" w:lineRule="auto" w:after="120"/>
        <w:ind w:firstLine="720"/>
        <w:jc w:val="both"/>
      </w:pPr>
      <w:r>
        <w:rPr>
          <w:rFonts w:ascii="Times New Roman" w:hAnsi="Times New Roman" w:cs="Times New Roman" w:eastAsia="Times New Roman"/>
          <w:sz w:val="24"/>
        </w:rPr>
        <w:t xml:space="preserve">The moratorium is a change in implementable catch and is already in</w:t>
      </w:r>
      <w:r>
        <w:rPr>
          <w:rFonts w:ascii="Times New Roman" w:hAnsi="Times New Roman" w:cs="Times New Roman" w:eastAsia="Times New Roman"/>
          <w:sz w:val="24"/>
        </w:rPr>
        <w:t xml:space="preserve"> </w:t>
      </w:r>
      <m:oMath>
        <m:sSub>
          <m:e>
            <m:r>
              <m:t>C</m:t>
            </m:r>
          </m:e>
          <m:sub>
            <m:r>
              <m:t>t</m:t>
            </m:r>
          </m:sub>
        </m:sSub>
      </m:oMath>
      <w:r>
        <w:rPr>
          <w:rFonts w:ascii="Times New Roman" w:hAnsi="Times New Roman" w:cs="Times New Roman" w:eastAsia="Times New Roman"/>
          <w:sz w:val="24"/>
        </w:rPr>
        <w:t xml:space="preserve">. A separate delay switch does not add a degree of freedom beyond stock-flow. Whether the 1992 architecture has an empty viability kernel is a viability statement, not a one-year RMSE statement.</w:t>
      </w:r>
    </w:p>
    <w:p>
      <w:pPr>
        <w:pStyle w:val="BodyText"/>
        <w:spacing w:line="360" w:lineRule="auto" w:after="120"/>
        <w:ind w:firstLine="720"/>
        <w:jc w:val="both"/>
      </w:pPr>
      <w:r>
        <w:rPr>
          <w:rFonts w:ascii="Times New Roman" w:hAnsi="Times New Roman" w:cs="Times New Roman" w:eastAsia="Times New Roman"/>
          <w:sz w:val="24"/>
        </w:rPr>
        <w:t xml:space="preserve">One-dimensional surplus production is not NCAM: age structure, migration, and survey catchability are omitted. The test is whether this ladder is retained under the preregistered score, not whether the assessment is a good filter. M4 is a delay, not a Kalman filter. Recreational catch remains incompletely measured. Sample sizes are small (</w:t>
      </w:r>
      <m:oMath>
        <m:r>
          <m:t>n</m:t>
        </m:r>
        <m:r>
          <m:rPr>
            <m:sty m:val="p"/>
          </m:rPr>
          <m:t>=</m:t>
        </m:r>
        <m:r>
          <m:t>33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years on</w:t>
      </w:r>
      <w:r>
        <w:rPr>
          <w:rFonts w:ascii="Times New Roman" w:hAnsi="Times New Roman" w:cs="Times New Roman" w:eastAsia="Times New Roman"/>
          <w:sz w:val="24"/>
        </w:rPr>
        <w:t xml:space="preserve"> </w:t>
      </w:r>
      <m:oMath>
        <m:sSub>
          <m:e>
            <m:r>
              <m:t>Ω</m:t>
            </m:r>
          </m:e>
          <m:sub>
            <m:r>
              <m:t>2016</m:t>
            </m:r>
          </m:sub>
        </m:sSub>
      </m:oMath>
      <w:r>
        <w:rPr>
          <w:rFonts w:ascii="Times New Roman" w:hAnsi="Times New Roman" w:cs="Times New Roman" w:eastAsia="Times New Roman"/>
          <w:sz w:val="24"/>
        </w:rPr>
        <w:t xml:space="preserve">; rolling</w:t>
      </w:r>
      <w:r>
        <w:rPr>
          <w:rFonts w:ascii="Times New Roman" w:hAnsi="Times New Roman" w:cs="Times New Roman" w:eastAsia="Times New Roman"/>
          <w:sz w:val="24"/>
        </w:rPr>
        <w:t xml:space="preserve"> </w:t>
      </w:r>
      <m:oMath>
        <m:r>
          <m:t>n</m:t>
        </m:r>
        <m:r>
          <m:rPr>
            <m:sty m:val="p"/>
          </m:rPr>
          <m:t>=</m:t>
        </m:r>
        <m:r>
          <m:t>25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They suffice to rank models and do not suffice to certify a small skill difference. Repeating the ladder under the 2023 40%</w:t>
      </w:r>
      <w:r>
        <w:rPr>
          <w:rFonts w:ascii="Times New Roman" w:hAnsi="Times New Roman" w:cs="Times New Roman" w:eastAsia="Times New Roman"/>
          <w:sz w:val="24"/>
        </w:rPr>
        <w:t xml:space="preserve"> </w:t>
      </w:r>
      <m:oMath>
        <m:sSub>
          <m:e>
            <m:r>
              <m:t>B</m:t>
            </m:r>
          </m:e>
          <m:sub>
            <m:r>
              <m:rPr>
                <m:sty m:val="p"/>
              </m:rPr>
              <m:t>M</m:t>
            </m:r>
            <m:r>
              <m:rPr>
                <m:sty m:val="p"/>
              </m:rPr>
              <m:t>S</m:t>
            </m:r>
            <m:r>
              <m:rPr>
                <m:sty m:val="p"/>
              </m:rPr>
              <m:t>Y</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LRP requires the xteNCAM series and a fresh specification-matching review. The evaluation windows and scoring rules were fixed in the analysis scripts before execution; the design is a fixed computational protocol rather than a prospective clinical-style registration. Unlike the companion evaluation on the Edwards Aquifer (under separate review), whose protocol files are dated and locked before scoring, the cod side carries no dated pre-score protocol file: the passes evolved (primary, annual-landings, survey-start, capelin,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with each extension declared in the manuscript rather than preregistered — a freeze-discipline caveat, recorded so that the evidentiary asymmetry between the two studies is visible.</w:t>
      </w:r>
    </w:p>
    <w:p>
      <w:pPr>
        <w:pStyle w:val="BodyText"/>
        <w:spacing w:line="360" w:lineRule="auto" w:after="120"/>
        <w:ind w:firstLine="720"/>
        <w:jc w:val="both"/>
      </w:pPr>
      <w:r>
        <w:rPr>
          <w:rFonts w:ascii="Times New Roman" w:hAnsi="Times New Roman" w:cs="Times New Roman" w:eastAsia="Times New Roman"/>
          <w:sz w:val="24"/>
        </w:rPr>
        <w:t xml:space="preserve">The scores do not transfer to an interval-verified linear template (a companion methodological study; that template is a linear</w:t>
      </w:r>
      <w:r>
        <w:rPr>
          <w:rFonts w:ascii="Times New Roman" w:hAnsi="Times New Roman" w:cs="Times New Roman" w:eastAsia="Times New Roman"/>
          <w:sz w:val="24"/>
        </w:rPr>
        <w:t xml:space="preserve"> </w:t>
      </w:r>
      <m:oMath>
        <m:d>
          <m:dPr>
            <m:begChr m:val="("/>
            <m:endChr m:val=")"/>
            <m:sepChr m:val=""/>
            <m:grow/>
          </m:dPr>
          <m:e>
            <m:r>
              <m:t>S</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construction, not this SSB series), do not instantiate a closed-loop information filter (registered as the framework’s next structural addition), and do not mix the two assessment specifications. The delay instantiated here is a one-year information delay, not a retarded functional differential equation; community-level early-warning margins are not used (the underlying extract is not archived). No framework result is treated as established without specification matching and independent verification.</w:t>
      </w:r>
    </w:p>
    <w:p>
      <w:pPr>
        <w:pStyle w:val="BodyText"/>
        <w:spacing w:line="360" w:lineRule="auto" w:after="120"/>
        <w:ind w:firstLine="720"/>
        <w:jc w:val="both"/>
      </w:pPr>
      <w:r>
        <w:rPr>
          <w:rFonts w:ascii="Times New Roman" w:hAnsi="Times New Roman" w:cs="Times New Roman" w:eastAsia="Times New Roman"/>
          <w:sz w:val="24"/>
        </w:rPr>
        <w:t xml:space="preserve">On this evidence, modules that are not identified on the training data do not reduce forecast error. The retained forecast is persistence, together with the impossibility certificate for the autonomous scalar class.</w:t>
      </w:r>
    </w:p>
    <w:bookmarkEnd w:id="42"/>
    <w:bookmarkStart w:id="43" w:name="conclusions"/>
    <w:p>
      <w:pPr>
        <w:pStyle w:val="Heading1"/>
        <w:spacing w:before="360" w:after="120" w:line="360" w:lineRule="auto"/>
        <w:ind w:firstLine="0" w:left="0"/>
        <w:jc w:val="left"/>
      </w:pPr>
      <w:r>
        <w:rPr>
          <w:rFonts w:ascii="Times New Roman" w:hAnsi="Times New Roman" w:cs="Times New Roman" w:eastAsia="Times New Roman"/>
          <w:b/>
          <w:sz w:val="28"/>
        </w:rPr>
        <w:t xml:space="preserve">7. Conclusions</w:t>
      </w:r>
    </w:p>
    <w:p>
      <w:pPr>
        <w:pStyle w:val="FirstParagraph"/>
        <w:spacing w:line="360" w:lineRule="auto" w:after="120"/>
        <w:ind w:firstLine="720"/>
        <w:jc w:val="both"/>
      </w:pPr>
      <w:r>
        <w:rPr>
          <w:rFonts w:ascii="Times New Roman" w:hAnsi="Times New Roman" w:cs="Times New Roman" w:eastAsia="Times New Roman"/>
          <w:sz w:val="24"/>
        </w:rPr>
        <w:t xml:space="preserve">On locked NCAM</w:t>
      </w:r>
      <w:r>
        <w:rPr>
          <w:rFonts w:ascii="Times New Roman" w:hAnsi="Times New Roman" w:cs="Times New Roman" w:eastAsia="Times New Roman"/>
          <w:sz w:val="24"/>
        </w:rPr>
        <w:t xml:space="preserve"> </w:t>
      </w:r>
      <m:oMath>
        <m:r>
          <m:t>M</m:t>
        </m:r>
      </m:oMath>
      <w:r>
        <w:rPr>
          <w:rFonts w:ascii="Times New Roman" w:hAnsi="Times New Roman" w:cs="Times New Roman" w:eastAsia="Times New Roman"/>
          <w:sz w:val="24"/>
        </w:rPr>
        <w:t xml:space="preserve">-shift SSB for 1983–2015, last-value persistence is more accurate than surplus production, catch-driven stock-flow, autoregressive residuals, delayed information, and prey-informed productivity. The crash is not a catch-drop event in this accounting. Extra modules that fail identification increase error. The same retention outcome holds on the unpooled xteNCAM series.</w:t>
      </w:r>
    </w:p>
    <w:p>
      <w:pPr>
        <w:pStyle w:val="BodyText"/>
        <w:spacing w:line="360" w:lineRule="auto" w:after="120"/>
        <w:ind w:firstLine="720"/>
        <w:jc w:val="both"/>
      </w:pPr>
      <w:r>
        <w:rPr>
          <w:rFonts w:ascii="Times New Roman" w:hAnsi="Times New Roman" w:cs="Times New Roman" w:eastAsia="Times New Roman"/>
          <w:sz w:val="24"/>
        </w:rPr>
        <w:t xml:space="preserve">The paper reports a forecast comparison. It does not conclude that the stock is unsustainable, and it does not conclude that the evaluation framework is empirically confirmed on this stock.</w:t>
      </w:r>
    </w:p>
    <w:bookmarkEnd w:id="43"/>
    <w:bookmarkStart w:id="45"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firstLine="720"/>
        <w:jc w:val="both"/>
      </w:pPr>
      <w:r>
        <w:rPr>
          <w:rFonts w:ascii="Times New Roman" w:hAnsi="Times New Roman" w:cs="Times New Roman" w:eastAsia="Times New Roman"/>
          <w:sz w:val="24"/>
        </w:rPr>
        <w:t xml:space="preserve">All input data, analysis scripts, and result files are archived in the research programme’s public repository at</w:t>
      </w:r>
      <w:r>
        <w:rPr>
          <w:rFonts w:ascii="Times New Roman" w:hAnsi="Times New Roman" w:cs="Times New Roman" w:eastAsia="Times New Roman"/>
          <w:sz w:val="24"/>
        </w:rPr>
        <w:t xml:space="preserve"> </w:t>
      </w:r>
      <w:hyperlink r:id="rId44">
        <w:r>
          <w:rPr>
            <w:rStyle w:val="Hyperlink"/>
          </w:rPr>
          <w:t xml:space="preserve">https://github.com/MIKEAA2020/general-sustainability</w:t>
        </w:r>
      </w:hyperlink>
      <w:r>
        <w:rPr>
          <w:rFonts w:ascii="Times New Roman" w:hAnsi="Times New Roman" w:cs="Times New Roman" w:eastAsia="Times New Roman"/>
          <w:sz w:val="24"/>
        </w:rPr>
        <w:t xml:space="preserve">; an anonymized copy of the full artifact set is available for double-anonymous review, and the frozen model specification is archived with them. Primary spawning-stock-biomass series: DFO (2016), Table A2. Alternative assessment series and landings: Regular et al. (2025), Tables 17 and 1. Historical landings: Schijns et al. (2021). Capelin acoustic index: Murphy et al. (2025), Zenodo repository 10.5281/zenodo.17515115. All computations are deterministic: within a fixed interpreter and library stack, repeated executions reproduce every result file byte for byte, and an independent re-execution of the scoring runners verified all 29 recorded output checksums (29/29 pinned) and regenerated all 30 result files byte-identically (30/30). Across environments the record is: the intervention-analysis runners and the OLS-based prediction runners regenerate their outputs byte for byte, while the four optimizer-based forecast runners (L-BFGS-B fits) reproduce every scored row at printed precision except the M1b rolling row on</w:t>
      </w:r>
      <w:r>
        <w:rPr>
          <w:rFonts w:ascii="Times New Roman" w:hAnsi="Times New Roman" w:cs="Times New Roman" w:eastAsia="Times New Roman"/>
          <w:sz w:val="24"/>
        </w:rPr>
        <w:t xml:space="preserve"> </w:t>
      </w:r>
      <m:oMath>
        <m:sSub>
          <m:e>
            <m:r>
              <m:t>Ω</m:t>
            </m:r>
          </m:e>
          <m:sub>
            <m:r>
              <m:rPr>
                <m:sty m:val="p"/>
              </m:rPr>
              <m:t>x</m:t>
            </m:r>
            <m:r>
              <m:rPr>
                <m:sty m:val="p"/>
              </m:rPr>
              <m:t>t</m:t>
            </m:r>
            <m:r>
              <m:rPr>
                <m:sty m:val="p"/>
              </m:rPr>
              <m:t>e</m:t>
            </m:r>
          </m:sub>
        </m:sSub>
      </m:oMath>
      <w:r>
        <w:rPr>
          <w:rFonts w:ascii="Times New Roman" w:hAnsi="Times New Roman" w:cs="Times New Roman" w:eastAsia="Times New Roman"/>
          <w:sz w:val="24"/>
        </w:rPr>
        <w:t xml:space="preserve">, whose Allee optimum is environment-sensitive at the</w:t>
      </w:r>
      <w:r>
        <w:rPr>
          <w:rFonts w:ascii="Times New Roman" w:hAnsi="Times New Roman" w:cs="Times New Roman" w:eastAsia="Times New Roman"/>
          <w:sz w:val="24"/>
        </w:rPr>
        <w:t xml:space="preserve"> </w:t>
      </w:r>
      <m:oMath>
        <m:r>
          <m:rPr>
            <m:sty m:val="p"/>
          </m:rPr>
          <m:t>±</m:t>
        </m:r>
        <m:r>
          <m:t>17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level (h=1: 151.6 versus 153.2 kt; h=5: 445.5 versus 462.5 kt, on Python 3.12/numpy 2.1.3/scipy 1.14.1 versus the recorded original environment) — consistent with that model’s declared identification fragility (</w:t>
      </w:r>
      <m:oMath>
        <m:r>
          <m:rPr>
            <m:sty m:val="p"/>
            <m:scr m:val="fraktur"/>
          </m:rPr>
          <m:t>s</m:t>
        </m:r>
        <m:r>
          <m:rPr>
            <m:sty m:val="p"/>
          </m:rPr>
          <m: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bound), and immaterial to the retention verdict, which persistence wins at both horizons by margins far larger than the instability. The archive records the checksums of the original-environment outputs; the deterministic-in-environment claim and this sensitivity note together are the reproducibility statement. The two assessment specifications (NCAM and xteNCAM) were analysed throughout as separate, unpooled series.</w:t>
      </w:r>
    </w:p>
    <w:p>
      <w:pPr>
        <w:pStyle w:val="SourceCode"/>
        <w:spacing w:line="360" w:lineRule="auto" w:after="120"/>
        <w:ind w:firstLine="720"/>
        <w:jc w:val="both"/>
      </w:pPr>
      <w:r>
        <w:rPr>
          <w:rStyle w:val="VerbatimChar"/>
          <w:rFonts w:ascii="Times New Roman" w:hAnsi="Times New Roman" w:cs="Times New Roman" w:eastAsia="Times New Roman"/>
          <w:sz w:val="24"/>
        </w:rPr>
        <w:t xml:space="preserve">python3 src/run_ladder.py &amp;&amp; python3 src/run_xte.py</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python3 src/run_capelin_regime.py &amp;&amp; python3 src/run_capelin_index.py</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python3 src/compare_catch.py &amp;&amp; python3 src/make_figures.py</w:t>
      </w:r>
    </w:p>
    <w:bookmarkEnd w:id="45"/>
    <w:bookmarkStart w:id="47"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Cadigan, N. G. 2016. A state-space stock assessment model for Northern cod, including underreported catches and variable natural mortality rates.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w:t>
      </w:r>
    </w:p>
    <w:p>
      <w:pPr>
        <w:pStyle w:val="BodyText"/>
        <w:spacing w:line="360" w:lineRule="auto" w:after="120"/>
        <w:ind w:left="720" w:hanging="720"/>
        <w:jc w:val="left"/>
      </w:pPr>
      <w:r>
        <w:rPr>
          <w:rFonts w:ascii="Times New Roman" w:hAnsi="Times New Roman" w:cs="Times New Roman" w:eastAsia="Times New Roman"/>
          <w:sz w:val="24"/>
        </w:rPr>
        <w:t xml:space="preserve">DFO. 2009. A fishery decision-making framework incorporating the Precautionary Approach.</w:t>
      </w:r>
    </w:p>
    <w:p>
      <w:pPr>
        <w:pStyle w:val="BodyText"/>
        <w:spacing w:line="360" w:lineRule="auto" w:after="120"/>
        <w:ind w:left="720" w:hanging="720"/>
        <w:jc w:val="left"/>
      </w:pPr>
      <w:r>
        <w:rPr>
          <w:rFonts w:ascii="Times New Roman" w:hAnsi="Times New Roman" w:cs="Times New Roman" w:eastAsia="Times New Roman"/>
          <w:sz w:val="24"/>
        </w:rPr>
        <w:t xml:space="preserve">DFO. 2010. Proceedings of the Newfoundland and Labrador Regional Atlantic cod Framework Meeting. CSAS Proceedings 2010/053.</w:t>
      </w:r>
    </w:p>
    <w:p>
      <w:pPr>
        <w:pStyle w:val="BodyText"/>
        <w:spacing w:line="360" w:lineRule="auto" w:after="120"/>
        <w:ind w:left="720" w:hanging="720"/>
        <w:jc w:val="left"/>
      </w:pPr>
      <w:r>
        <w:rPr>
          <w:rFonts w:ascii="Times New Roman" w:hAnsi="Times New Roman" w:cs="Times New Roman" w:eastAsia="Times New Roman"/>
          <w:sz w:val="24"/>
        </w:rPr>
        <w:t xml:space="preserve">DFO. 2016. Stock Assessment of Northern cod (NAFO Divs. 2J3KL) in 2016. CSAS Science Advisory Report 2016/026.</w:t>
      </w:r>
    </w:p>
    <w:p>
      <w:pPr>
        <w:pStyle w:val="BodyText"/>
        <w:spacing w:line="360" w:lineRule="auto" w:after="120"/>
        <w:ind w:left="720" w:hanging="720"/>
        <w:jc w:val="left"/>
      </w:pPr>
      <w:r>
        <w:rPr>
          <w:rFonts w:ascii="Times New Roman" w:hAnsi="Times New Roman" w:cs="Times New Roman" w:eastAsia="Times New Roman"/>
          <w:sz w:val="24"/>
        </w:rPr>
        <w:t xml:space="preserve">DFO. 2024. NAFO Divisions 2J3KL Northern Cod stock assessment to 2024. CSAS Science Advisory Report 2024/049.</w:t>
      </w:r>
    </w:p>
    <w:p>
      <w:pPr>
        <w:pStyle w:val="BodyText"/>
        <w:spacing w:line="360" w:lineRule="auto" w:after="120"/>
        <w:ind w:left="720" w:hanging="720"/>
        <w:jc w:val="left"/>
      </w:pPr>
      <w:r>
        <w:rPr>
          <w:rFonts w:ascii="Times New Roman" w:hAnsi="Times New Roman" w:cs="Times New Roman" w:eastAsia="Times New Roman"/>
          <w:sz w:val="24"/>
        </w:rPr>
        <w:t xml:space="preserve">DFO. 2024. Assessment of capelin in NAFO Divisions 2J3KL. CSAS Science Advisory Report 2024/050.</w:t>
      </w:r>
    </w:p>
    <w:p>
      <w:pPr>
        <w:pStyle w:val="BodyText"/>
        <w:spacing w:line="360" w:lineRule="auto" w:after="120"/>
        <w:ind w:left="720" w:hanging="720"/>
        <w:jc w:val="left"/>
      </w:pPr>
      <w:r>
        <w:rPr>
          <w:rFonts w:ascii="Times New Roman" w:hAnsi="Times New Roman" w:cs="Times New Roman" w:eastAsia="Times New Roman"/>
          <w:sz w:val="24"/>
        </w:rPr>
        <w:t xml:space="preserve">Hutchings, J. A., and Myers, R. A. 1994. What can be learned from the collapse of a renewable resource? Atlantic cod, Gadus morhua, of Newfoundland and Labrador.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51: 2126–2146.</w:t>
      </w:r>
    </w:p>
    <w:p>
      <w:pPr>
        <w:pStyle w:val="BodyText"/>
        <w:spacing w:line="360" w:lineRule="auto" w:after="120"/>
        <w:ind w:left="720" w:hanging="720"/>
        <w:jc w:val="left"/>
      </w:pPr>
      <w:r>
        <w:rPr>
          <w:rFonts w:ascii="Times New Roman" w:hAnsi="Times New Roman" w:cs="Times New Roman" w:eastAsia="Times New Roman"/>
          <w:sz w:val="24"/>
        </w:rPr>
        <w:t xml:space="preserve">Murphy, H. M., Adamack, A. T., Lewis, R. S., and Bourne, C. M. 2025. Assessment of capelin in NAFO Divisions 2J+3KL to 2023. CSAS Research Document 2025/022.</w:t>
      </w:r>
    </w:p>
    <w:p>
      <w:pPr>
        <w:pStyle w:val="BodyText"/>
        <w:spacing w:line="360" w:lineRule="auto" w:after="120"/>
        <w:ind w:left="720" w:hanging="720"/>
        <w:jc w:val="left"/>
      </w:pPr>
      <w:r>
        <w:rPr>
          <w:rFonts w:ascii="Times New Roman" w:hAnsi="Times New Roman" w:cs="Times New Roman" w:eastAsia="Times New Roman"/>
          <w:sz w:val="24"/>
        </w:rPr>
        <w:t xml:space="preserve">Northwest Atlantic Fisheries Centre. 2025. 2J3KL cod and capelin biomass indices. Zenodo.</w:t>
      </w:r>
      <w:r>
        <w:rPr>
          <w:rFonts w:ascii="Times New Roman" w:hAnsi="Times New Roman" w:cs="Times New Roman" w:eastAsia="Times New Roman"/>
          <w:sz w:val="24"/>
        </w:rPr>
        <w:t xml:space="preserve"> </w:t>
      </w:r>
      <w:hyperlink r:id="rId46">
        <w:r>
          <w:rPr>
            <w:rStyle w:val="Hyperlink"/>
          </w:rPr>
          <w:t xml:space="preserve">https://doi.org/10.5281/zenodo.17515115</w:t>
        </w:r>
      </w:hyperlink>
    </w:p>
    <w:p>
      <w:pPr>
        <w:pStyle w:val="BodyText"/>
        <w:spacing w:line="360" w:lineRule="auto" w:after="120"/>
        <w:ind w:left="720" w:hanging="720"/>
        <w:jc w:val="left"/>
      </w:pPr>
      <w:r>
        <w:rPr>
          <w:rFonts w:ascii="Times New Roman" w:hAnsi="Times New Roman" w:cs="Times New Roman" w:eastAsia="Times New Roman"/>
          <w:sz w:val="24"/>
        </w:rPr>
        <w:t xml:space="preserve">Regular, P. M., et al. 2025. Assessment of the Northern Cod stock in NAFO Divisions 2J3KL in 2024. CSAS Research Document 2025/048.</w:t>
      </w:r>
    </w:p>
    <w:p>
      <w:pPr>
        <w:pStyle w:val="BodyText"/>
        <w:spacing w:line="360" w:lineRule="auto" w:after="120"/>
        <w:ind w:left="720" w:hanging="720"/>
        <w:jc w:val="left"/>
      </w:pPr>
      <w:r>
        <w:rPr>
          <w:rFonts w:ascii="Times New Roman" w:hAnsi="Times New Roman" w:cs="Times New Roman" w:eastAsia="Times New Roman"/>
          <w:sz w:val="24"/>
        </w:rPr>
        <w:t xml:space="preserve">Schijns, R., et al. 2021. Five centuries of cod catches in Eastern Canada.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ICES Journal of Marine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78: 2675–2683.</w:t>
      </w:r>
    </w:p>
    <w:p>
      <w:pPr>
        <w:pStyle w:val="BodyText"/>
        <w:spacing w:line="360" w:lineRule="auto" w:after="120"/>
        <w:ind w:left="720" w:hanging="720"/>
        <w:jc w:val="left"/>
      </w:pPr>
      <w:r>
        <w:rPr>
          <w:rFonts w:ascii="Times New Roman" w:hAnsi="Times New Roman" w:cs="Times New Roman" w:eastAsia="Times New Roman"/>
          <w:sz w:val="24"/>
        </w:rPr>
        <w:t xml:space="preserve">Shelton, P. A., and Healey, B. P. 1999. Should depensation be dismissed as a possible explanation for the lack of recovery of the northern cod (Gadus morhua) stock?</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Canadian Journal of Fisheries and Aquatic Sciences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56: 1521–1524.</w:t>
      </w:r>
    </w:p>
    <w:p>
      <w:pPr>
        <w:pStyle w:val="BodyText"/>
        <w:spacing w:line="360" w:lineRule="auto" w:after="120"/>
        <w:ind w:left="720" w:hanging="720"/>
        <w:jc w:val="left"/>
      </w:pPr>
      <w:r>
        <w:rPr>
          <w:rFonts w:ascii="Times New Roman" w:hAnsi="Times New Roman" w:cs="Times New Roman" w:eastAsia="Times New Roman"/>
          <w:sz w:val="24"/>
        </w:rPr>
        <w:t xml:space="preserve">Walters, C., and Maguire, J.-J. 1996. Lessons for stock assessment from the northern cod collapse.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in Fish Biology and Fisheries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 125–137.</w:t>
      </w:r>
    </w:p>
    <w:bookmarkEnd w:id="47"/>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Scored surplus-production forecasts of Northern cod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6" Type="http://schemas.openxmlformats.org/officeDocument/2006/relationships/image" Target="media/rId36.png"/><Relationship Id="rId46" Type="http://schemas.openxmlformats.org/officeDocument/2006/relationships/hyperlink" Target="https://doi.org/10.5281/zenodo.17515115" TargetMode="External"/><Relationship Id="rId44" Type="http://schemas.openxmlformats.org/officeDocument/2006/relationships/hyperlink" Target="https://github.com/MIKEAA2020/general-sustainabilit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46" Type="http://schemas.openxmlformats.org/officeDocument/2006/relationships/hyperlink" Target="https://doi.org/10.5281/zenodo.17515115" TargetMode="External"/><Relationship Id="rId44" Type="http://schemas.openxmlformats.org/officeDocument/2006/relationships/hyperlink" Target="https://github.com/MIKEAA2020/general-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2026-08-29T20:50:47Z</dcterms:created>
  <dcterms:modified xsi:type="dcterms:W3CDTF">2026-08-29T20:50:47Z</dcterms:modified>
</cp:coreProperties>
</file>

<file path=docProps/custom.xml><?xml version="1.0" encoding="utf-8"?>
<Properties xmlns="http://schemas.openxmlformats.org/officeDocument/2006/custom-properties" xmlns:vt="http://schemas.openxmlformats.org/officeDocument/2006/docPropsVTypes"/>
</file>