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Does a one-pool water-balance model improve forecasts of Edwards Aquifer head? A scored test at J-17</w:t>
      </w:r>
    </w:p>
    <w:p>
      <w:pPr>
        <w:spacing w:after="120" w:before="0" w:line="240" w:lineRule="auto"/>
        <w:jc w:val="center"/>
      </w:pPr>
      <w:r>
        <w:rPr>
          <w:rFonts w:ascii="Times New Roman" w:hAnsi="Times New Roman" w:cs="Times New Roman" w:eastAsia="Times New Roman"/>
          <w:b w:val="0"/>
          <w:i/>
          <w:sz w:val="24"/>
        </w:rPr>
        <w:t>Research article (empirical forecast evaluation)</w:t>
      </w:r>
    </w:p>
    <w:p>
      <w:pPr>
        <w:spacing w:after="600" w:before="0" w:line="240" w:lineRule="auto"/>
        <w:jc w:val="center"/>
      </w:pPr>
      <w:r>
        <w:rPr>
          <w:rFonts w:ascii="Times New Roman" w:hAnsi="Times New Roman" w:cs="Times New Roman" w:eastAsia="Times New Roman"/>
          <w:b w:val="0"/>
          <w:i w:val="0"/>
          <w:sz w:val="24"/>
        </w:rPr>
        <w:t>Prepared for submission to Groundwater</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A preregistered, scored forecast evaluation on the 1934–2023 J-17 index-well record finds that no causal module beats a simple AR(1) or persistence on out-of-sample RMSE at short horizons, with the information-layer rent quantified by an oracle benchmark.</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viability; forecast evaluation; Edwards Aquifer; J-17; model ablation; persistence</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This evaluation follows a preregistered retention rule: additional model structure is retained only when it improves early warning, out-of-sample prediction, or intervention selection. This paper applies that test to the San Antonio Pool of the Edwards Aquifer, Texas.</w:t>
      </w:r>
    </w:p>
    <w:p>
      <w:pPr>
        <w:pStyle w:val="BodyText"/>
        <w:spacing w:line="360" w:lineRule="auto" w:after="120"/>
        <w:ind w:firstLine="720"/>
        <w:jc w:val="both"/>
      </w:pPr>
      <w:r>
        <w:rPr>
          <w:rFonts w:ascii="Times New Roman" w:hAnsi="Times New Roman" w:cs="Times New Roman" w:eastAsia="Times New Roman"/>
          <w:sz w:val="24"/>
        </w:rPr>
        <w:t xml:space="preserve">The predictand is the calendar-year mean of daily-high water elevation at the J-17 index well (TWDB 6837203), 1934–2023. Nested models issue fixed-window and rolling-origin forecasts. Recharge (USGS/Puente) and well pumpage (Edwards Aquifer Authority Table 1) enter as candidate drivers. Comal Springs discharge is scored only after model retention is frozen.</w:t>
      </w:r>
    </w:p>
    <w:p>
      <w:pPr>
        <w:pStyle w:val="BodyText"/>
        <w:spacing w:line="360" w:lineRule="auto" w:after="120"/>
        <w:ind w:firstLine="720"/>
        <w:jc w:val="both"/>
      </w:pPr>
      <w:r>
        <w:rPr>
          <w:rFonts w:ascii="Times New Roman" w:hAnsi="Times New Roman" w:cs="Times New Roman" w:eastAsia="Times New Roman"/>
          <w:sz w:val="24"/>
        </w:rPr>
        <w:t xml:space="preserve">One-year rolling root-mean-square error (RMSE) is 13.23 ft for last-value persistence and 12.84 ft for a univariate AR(1); the AR(1) is retained as an output-only model, by a margin of 0.39 ft. The causal stock-flow specification, which persists the most recent recharge and pumpage, has RMSE 14.70 ft and is rejected. A climatological stock-flow variant reaches 12.28 ft but is listed only and then declined on class grounds: under constant fluxes it collapses to an affine AR(1), so its numerical advantage is not extra structure. Residual and delayed variants do not improve on persistence. Recharge has lag-1 correlation 0.17; using last year’s recharge as next year’s recharge therefore adds variation that is only weakly related to the increment being forecast. When the same map is given realized future recharge and pumpage, RMSE falls to 7.55 ft — an information-layer rent of nearly half the persistence error that no signal available at the annual origin recovers. Climate-informed recharge forecasts known at the origin — September–November Niño 3.4, lagged climate-division precipitation, and their combination — lie within 0.02–0.13 ft of AR(1) at the one-year horizon, AR(1) on recharge itself being 0.4 ft worse, and all four have higher RMSE than persistence at the five-year horizon (where training-mean climatology, 16.80 ft, beats persistence, 21.11 ft). Contemporaneous precipitation tracks recharge (</w:t>
      </w:r>
      <m:oMath>
        <m:r>
          <m:t>r</m:t>
        </m:r>
        <m:r>
          <m:rPr>
            <m:sty m:val="p"/>
          </m:rPr>
          <m:t>=</m:t>
        </m:r>
        <m:r>
          <m:t>0.78</m:t>
        </m:r>
      </m:oMath>
      <w:r>
        <w:rPr>
          <w:rFonts w:ascii="Times New Roman" w:hAnsi="Times New Roman" w:cs="Times New Roman" w:eastAsia="Times New Roman"/>
          <w:sz w:val="24"/>
        </w:rPr>
        <w:t xml:space="preserve">), but next year’s precipitation is not known at the forecast origin. ENSO and last year’s precipitation are not substitutes for it.</w:t>
      </w:r>
    </w:p>
    <w:p>
      <w:pPr>
        <w:pStyle w:val="BodyText"/>
        <w:spacing w:line="360" w:lineRule="auto" w:after="120"/>
        <w:ind w:firstLine="720"/>
        <w:jc w:val="both"/>
      </w:pPr>
      <w:r>
        <w:rPr>
          <w:rFonts w:ascii="Times New Roman" w:hAnsi="Times New Roman" w:cs="Times New Roman" w:eastAsia="Times New Roman"/>
          <w:sz w:val="24"/>
        </w:rPr>
        <w:t xml:space="preserve">No two-pool, solute, or institutional-kernel claim is made. The evaluated specification is a one-pool approximation of the aquifer’s head map. The two-pool exchange module remains conditionally admissible and is not closed here.</w:t>
      </w:r>
    </w:p>
    <w:bookmarkEnd w:id="20"/>
    <w:bookmarkStart w:id="21" w:name="introduction"/>
    <w:p>
      <w:pPr>
        <w:pStyle w:val="Heading1"/>
        <w:spacing w:before="360" w:after="120" w:line="360" w:lineRule="auto"/>
        <w:ind w:firstLine="0" w:left="0"/>
        <w:jc w:val="left"/>
      </w:pPr>
      <w:r>
        <w:rPr>
          <w:rFonts w:ascii="Times New Roman" w:hAnsi="Times New Roman" w:cs="Times New Roman" w:eastAsia="Times New Roman"/>
          <w:b/>
          <w:sz w:val="28"/>
        </w:rPr>
        <w:t xml:space="preserve">1. Introduction</w:t>
      </w:r>
    </w:p>
    <w:p>
      <w:pPr>
        <w:pStyle w:val="FirstParagraph"/>
        <w:spacing w:line="360" w:lineRule="auto" w:after="120"/>
        <w:ind w:firstLine="720"/>
        <w:jc w:val="both"/>
      </w:pPr>
      <w:r>
        <w:rPr>
          <w:rFonts w:ascii="Times New Roman" w:hAnsi="Times New Roman" w:cs="Times New Roman" w:eastAsia="Times New Roman"/>
          <w:sz w:val="24"/>
        </w:rPr>
        <w:t xml:space="preserve">Forecasting aquifer heads at index wells is a recurring operational problem of groundwater management: drought-stage declarations, springflow protection, and permit adjustments all key on forecasted water levels. The methodological literature has responded with an increasingly rich inventory of groundwater-level forecasting models, from conceptual water balances to data-driven regressions and, prominently, artificial-neural-network and wavelet–neural-network conjunction models trained on measured heads (Daliakopoulos et al. 2005; Adamowski and Chan 2011). Whether added structure improves out-of-sample forecasts — as opposed to in-sample fit — is a separate, testable question, and the general forecasting literature has made the benchmark discipline explicit: across the M4 competition’s 100,000 series, sophisticated methods did not uniformly beat simple statistical baselines (Makridakis et al. 2020). The minimal bar for any proposed module is therefore the forecast that nothing changes — last-value persistence — together with the training mean.</w:t>
      </w:r>
    </w:p>
    <w:p>
      <w:pPr>
        <w:pStyle w:val="BodyText"/>
        <w:spacing w:line="360" w:lineRule="auto" w:after="120"/>
        <w:ind w:firstLine="720"/>
        <w:jc w:val="both"/>
      </w:pPr>
      <w:r>
        <w:rPr>
          <w:rFonts w:ascii="Times New Roman" w:hAnsi="Times New Roman" w:cs="Times New Roman" w:eastAsia="Times New Roman"/>
          <w:sz w:val="24"/>
        </w:rPr>
        <w:t xml:space="preserve">This evaluation follows a preregistered retention rule: additional model structure is retained only when it improves early warning, out-of-sample prediction, or intervention selection. The instrument is a scored model-ablation framework — a ladder of nested water-balance models evaluated against the two naive baselines. Complexity is kept only if it improves a preregistered score, decided on out-of-sample error on the predictand itself.</w:t>
      </w:r>
    </w:p>
    <w:p>
      <w:pPr>
        <w:pStyle w:val="BodyText"/>
        <w:spacing w:line="360" w:lineRule="auto" w:after="120"/>
        <w:ind w:firstLine="720"/>
        <w:jc w:val="both"/>
      </w:pPr>
      <w:r>
        <w:rPr>
          <w:rFonts w:ascii="Times New Roman" w:hAnsi="Times New Roman" w:cs="Times New Roman" w:eastAsia="Times New Roman"/>
          <w:sz w:val="24"/>
        </w:rPr>
        <w:t xml:space="preserve">We selected the Edwards (Balcones Fault Zone) Aquifer J-17 index well because its long (1934–2023) daily head record, its explicit institutional thresholds, and its management relevance make it a natural test bed for scored forecast evaluation. The San Antonio Pool passes each design criterion the evaluation requires: a measured basin state, independent recharge, dated implementable use, a declared threshold, and a measured service series. The aquifer is also a karst system in which regional flow has long been represented — and debated — through equivalent porous media and lumped approaches (Scanlon et al. 2003), which makes the fate of a deliberately simple one-pool water-balance map a live hydrogeologic question rather than a straw man.</w:t>
      </w:r>
    </w:p>
    <w:p>
      <w:pPr>
        <w:pStyle w:val="BodyText"/>
        <w:spacing w:line="360" w:lineRule="auto" w:after="120"/>
        <w:ind w:firstLine="720"/>
        <w:jc w:val="both"/>
      </w:pPr>
      <w:r>
        <w:rPr>
          <w:rFonts w:ascii="Times New Roman" w:hAnsi="Times New Roman" w:cs="Times New Roman" w:eastAsia="Times New Roman"/>
          <w:sz w:val="24"/>
        </w:rPr>
        <w:t xml:space="preserve">The question is whether stock-flow, residual, delay, or climate-informed recharge modules reduce forecast error of J-17 annual-mean head relative to last-value persistence and to a univariate AR(1). The climate modules enter because El Niño/Southern Oscillation (ENSO) phases shift North American precipitation patterns (Ropelewski and Halpert 1986): September–November Niño 3.4 and lagged climate-division precipitation are precisely the signals observable at an annual forecast origin.</w:t>
      </w:r>
    </w:p>
    <w:p>
      <w:pPr>
        <w:pStyle w:val="BodyText"/>
        <w:spacing w:line="360" w:lineRule="auto" w:after="120"/>
        <w:ind w:firstLine="720"/>
        <w:jc w:val="both"/>
      </w:pPr>
      <w:r>
        <w:rPr>
          <w:rFonts w:ascii="Times New Roman" w:hAnsi="Times New Roman" w:cs="Times New Roman" w:eastAsia="Times New Roman"/>
          <w:sz w:val="24"/>
        </w:rPr>
        <w:t xml:space="preserve">A companion study under separate review applies the same scored design to a marine fishery stock (Northern cod, NAFO 2J3KL); the two systems’ scores are never pooled, and no retention verdict is transferred between them. The paper does not assess whether the aquifer is sustainable, does not close the two-pool exchange module’s blocking list, and does not treat springflow or reconstructed storage as co-primary predictands. No solute or water-quality module is opened.</w:t>
      </w:r>
    </w:p>
    <w:p>
      <w:pPr>
        <w:pStyle w:val="BodyText"/>
        <w:spacing w:line="360" w:lineRule="auto" w:after="120"/>
        <w:ind w:firstLine="720"/>
        <w:jc w:val="both"/>
      </w:pPr>
      <w:r>
        <w:rPr>
          <w:rFonts w:ascii="Times New Roman" w:hAnsi="Times New Roman" w:cs="Times New Roman" w:eastAsia="Times New Roman"/>
          <w:sz w:val="24"/>
        </w:rPr>
        <w:t xml:space="preserve">The remainder of this article is organized as follows. Section 2 states the data and the specification. Section 3 defines the one-pool map and the model ladder. Section 4 states the evaluation design — windows, rolling origin, scores, and the retention rule. Section 5 reports the results: the series (Section 5.1), the fixed windows (Section 5.2), the rolling origin (Section 5.3), climate-informed recharge (Section 5.4), and the service series scored after the retention freeze (Section 5.5). Section 6 discusses the findings and their limits, and Section 7 concludes. Data and code availability and the references close the paper.</w:t>
      </w:r>
    </w:p>
    <w:bookmarkEnd w:id="21"/>
    <w:bookmarkStart w:id="22" w:name="data-and-specification"/>
    <w:p>
      <w:pPr>
        <w:pStyle w:val="Heading1"/>
        <w:spacing w:before="360" w:after="120" w:line="360" w:lineRule="auto"/>
        <w:ind w:firstLine="0" w:left="0"/>
        <w:jc w:val="left"/>
      </w:pPr>
      <w:r>
        <w:rPr>
          <w:rFonts w:ascii="Times New Roman" w:hAnsi="Times New Roman" w:cs="Times New Roman" w:eastAsia="Times New Roman"/>
          <w:b/>
          <w:sz w:val="28"/>
        </w:rPr>
        <w:t xml:space="preserve">2. Data and specification</w:t>
      </w:r>
    </w:p>
    <w:p>
      <w:pPr>
        <w:pStyle w:val="FirstParagraph"/>
        <w:spacing w:line="360" w:lineRule="auto" w:before="200" w:after="200"/>
        <w:ind w:firstLine="0"/>
        <w:jc w:val="center"/>
      </w:pPr>
      <w:r>
        <w:rPr>
          <w:rFonts w:ascii="Times New Roman" w:hAnsi="Times New Roman" w:cs="Times New Roman" w:eastAsia="Times New Roman"/>
          <w:sz w:val="20"/>
        </w:rPr>
        <w:t xml:space="preserve">Table 1 types each field as follows: D, data; E, empirical construct; M, model; N, normative threshold.</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Specification</w:t>
      </w:r>
      <w:r>
        <w:rPr>
          <w:rFonts w:ascii="Times New Roman" w:hAnsi="Times New Roman" w:cs="Times New Roman" w:eastAsia="Times New Roman"/>
          <w:sz w:val="20"/>
        </w:rPr>
        <w:t xml:space="preserve"> </w:t>
      </w:r>
      <m:oMath>
        <m:sSub>
          <m:e>
            <m:r>
              <m:t>Ω</m:t>
            </m:r>
          </m:e>
          <m:sub>
            <m:r>
              <m:rPr>
                <m:sty m:val="p"/>
              </m:rPr>
              <m:t>S</m:t>
            </m:r>
            <m:r>
              <m:rPr>
                <m:sty m:val="p"/>
              </m:rPr>
              <m:t>A</m:t>
            </m:r>
          </m:sub>
        </m:sSub>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 the San Antonio Pool specification: J-17 annual-mean elevation, 1934–2023.</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2640"/>
        <w:gridCol w:w="2640"/>
        <w:gridCol w:w="264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Field</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Contents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Type</w:t>
            </w:r>
          </w:p>
        </w:tc>
      </w:tr>
      <w:tr>
        <w:tc>
          <w:tcPr/>
          <w:p>
            <w:pPr>
              <w:pStyle w:val="Compact"/>
              <w:spacing w:line="240" w:lineRule="auto" w:after="40" w:before="40"/>
              <w:jc w:val="left"/>
            </w:pPr>
            <w:r>
              <w:rPr>
                <w:rFonts w:ascii="Times New Roman" w:hAnsi="Times New Roman" w:cs="Times New Roman" w:eastAsia="Times New Roman"/>
                <w:sz w:val="19"/>
              </w:rPr>
              <w:t xml:space="preserve">System</w:t>
            </w:r>
          </w:p>
        </w:tc>
        <w:tc>
          <w:tcPr/>
          <w:p>
            <w:pPr>
              <w:pStyle w:val="Compact"/>
              <w:spacing w:line="240" w:lineRule="auto" w:after="40" w:before="40"/>
              <w:jc w:val="left"/>
            </w:pPr>
            <w:r>
              <w:rPr>
                <w:rFonts w:ascii="Times New Roman" w:hAnsi="Times New Roman" w:cs="Times New Roman" w:eastAsia="Times New Roman"/>
                <w:sz w:val="19"/>
              </w:rPr>
              <w:t xml:space="preserve">Edwards Aquifer, San Antonio Pool, indexed by J-17</w:t>
            </w:r>
          </w:p>
        </w:tc>
        <w:tc>
          <w:tcPr/>
          <w:p>
            <w:pPr>
              <w:pStyle w:val="Compact"/>
              <w:spacing w:line="240" w:lineRule="auto" w:after="40" w:before="40"/>
              <w:jc w:val="left"/>
            </w:pPr>
            <w:r>
              <w:rPr>
                <w:rFonts w:ascii="Times New Roman" w:hAnsi="Times New Roman" w:cs="Times New Roman" w:eastAsia="Times New Roman"/>
                <w:sz w:val="19"/>
              </w:rPr>
              <w:t xml:space="preserve">D</w:t>
            </w:r>
          </w:p>
        </w:tc>
      </w:tr>
      <w:tr>
        <w:tc>
          <w:tcPr/>
          <w:p>
            <w:pPr>
              <w:pStyle w:val="Compact"/>
              <w:spacing w:line="240" w:lineRule="auto" w:after="40" w:before="40"/>
              <w:jc w:val="left"/>
            </w:pPr>
            <m:oMath>
              <m:sSub>
                <m:e>
                  <m:r>
                    <m:t>z</m:t>
                  </m:r>
                </m:e>
                <m:sub>
                  <m:r>
                    <m:t>t</m:t>
                  </m:r>
                </m:sub>
              </m:sSub>
            </m:oMath>
          </w:p>
        </w:tc>
        <w:tc>
          <w:tcPr/>
          <w:p>
            <w:pPr>
              <w:pStyle w:val="Compact"/>
              <w:spacing w:line="240" w:lineRule="auto" w:after="40" w:before="40"/>
              <w:jc w:val="left"/>
            </w:pPr>
            <w:r>
              <w:rPr>
                <w:rFonts w:ascii="Times New Roman" w:hAnsi="Times New Roman" w:cs="Times New Roman" w:eastAsia="Times New Roman"/>
                <w:sz w:val="19"/>
              </w:rPr>
              <w:t xml:space="preserve">Calendar-year mean of daily-high J-17 elevation (ft AMSL)</w:t>
            </w:r>
          </w:p>
        </w:tc>
        <w:tc>
          <w:tcPr/>
          <w:p>
            <w:pPr>
              <w:pStyle w:val="Compact"/>
              <w:spacing w:line="240" w:lineRule="auto" w:after="40" w:before="40"/>
              <w:jc w:val="left"/>
            </w:pPr>
            <w:r>
              <w:rPr>
                <w:rFonts w:ascii="Times New Roman" w:hAnsi="Times New Roman" w:cs="Times New Roman" w:eastAsia="Times New Roman"/>
                <w:sz w:val="19"/>
              </w:rPr>
              <w:t xml:space="preserve">D</w:t>
            </w:r>
          </w:p>
        </w:tc>
      </w:tr>
      <w:tr>
        <w:tc>
          <w:tcPr/>
          <w:p>
            <w:pPr>
              <w:pStyle w:val="Compact"/>
              <w:spacing w:line="240" w:lineRule="auto" w:after="40" w:before="40"/>
              <w:jc w:val="left"/>
            </w:pPr>
            <w:r>
              <w:rPr>
                <w:rFonts w:ascii="Times New Roman" w:hAnsi="Times New Roman" w:cs="Times New Roman" w:eastAsia="Times New Roman"/>
                <w:sz w:val="19"/>
              </w:rPr>
              <w:t xml:space="preserve">Well</w:t>
            </w:r>
          </w:p>
        </w:tc>
        <w:tc>
          <w:tcPr/>
          <w:p>
            <w:pPr>
              <w:pStyle w:val="Compact"/>
              <w:spacing w:line="240" w:lineRule="auto" w:after="40" w:before="40"/>
              <w:jc w:val="left"/>
            </w:pPr>
            <w:r>
              <w:rPr>
                <w:rFonts w:ascii="Times New Roman" w:hAnsi="Times New Roman" w:cs="Times New Roman" w:eastAsia="Times New Roman"/>
                <w:sz w:val="19"/>
              </w:rPr>
              <w:t xml:space="preserve">TWDB 6837203 / EAA AY-68-37-203</w:t>
            </w:r>
          </w:p>
        </w:tc>
        <w:tc>
          <w:tcPr/>
          <w:p>
            <w:pPr>
              <w:pStyle w:val="Compact"/>
              <w:spacing w:line="240" w:lineRule="auto" w:after="40" w:before="40"/>
              <w:jc w:val="left"/>
            </w:pPr>
            <w:r>
              <w:rPr>
                <w:rFonts w:ascii="Times New Roman" w:hAnsi="Times New Roman" w:cs="Times New Roman" w:eastAsia="Times New Roman"/>
                <w:sz w:val="19"/>
              </w:rPr>
              <w:t xml:space="preserve">D</w:t>
            </w:r>
          </w:p>
        </w:tc>
      </w:tr>
      <w:tr>
        <w:tc>
          <w:tcPr/>
          <w:p>
            <w:pPr>
              <w:pStyle w:val="Compact"/>
              <w:spacing w:line="240" w:lineRule="auto" w:after="40" w:before="40"/>
              <w:jc w:val="left"/>
            </w:pPr>
            <w:r>
              <w:rPr>
                <w:rFonts w:ascii="Times New Roman" w:hAnsi="Times New Roman" w:cs="Times New Roman" w:eastAsia="Times New Roman"/>
                <w:sz w:val="19"/>
              </w:rPr>
              <w:t xml:space="preserve">Domain</w:t>
            </w:r>
          </w:p>
        </w:tc>
        <w:tc>
          <w:tcPr/>
          <w:p>
            <w:pPr>
              <w:pStyle w:val="Compact"/>
              <w:spacing w:line="240" w:lineRule="auto" w:after="40" w:before="40"/>
              <w:jc w:val="left"/>
            </w:pPr>
            <w:r>
              <w:rPr>
                <w:rFonts w:ascii="Times New Roman" w:hAnsi="Times New Roman" w:cs="Times New Roman" w:eastAsia="Times New Roman"/>
                <w:sz w:val="19"/>
              </w:rPr>
              <w:t xml:space="preserve">San Antonio Pool; calendar years 1934–2023</w:t>
            </w:r>
          </w:p>
        </w:tc>
        <w:tc>
          <w:tcPr/>
          <w:p>
            <w:pPr>
              <w:pStyle w:val="Compact"/>
              <w:spacing w:line="240" w:lineRule="auto" w:after="40" w:before="40"/>
              <w:jc w:val="left"/>
            </w:pPr>
            <w:r>
              <w:rPr>
                <w:rFonts w:ascii="Times New Roman" w:hAnsi="Times New Roman" w:cs="Times New Roman" w:eastAsia="Times New Roman"/>
                <w:sz w:val="19"/>
              </w:rPr>
              <w:t xml:space="preserve">D</w:t>
            </w:r>
          </w:p>
        </w:tc>
      </w:tr>
      <w:tr>
        <w:tc>
          <w:tcPr/>
          <w:p>
            <w:pPr>
              <w:pStyle w:val="Compact"/>
              <w:spacing w:line="240" w:lineRule="auto" w:after="40" w:before="40"/>
              <w:jc w:val="left"/>
            </w:pPr>
            <w:r>
              <w:rPr>
                <w:rFonts w:ascii="Times New Roman" w:hAnsi="Times New Roman" w:cs="Times New Roman" w:eastAsia="Times New Roman"/>
                <w:sz w:val="19"/>
              </w:rPr>
              <w:t xml:space="preserve">Physical threshold</w:t>
            </w:r>
          </w:p>
        </w:tc>
        <w:tc>
          <w:tcPr/>
          <w:p>
            <w:pPr>
              <w:pStyle w:val="Compact"/>
              <w:spacing w:line="240" w:lineRule="auto" w:after="40" w:before="40"/>
              <w:jc w:val="left"/>
            </w:pPr>
            <w:r>
              <w:rPr>
                <w:rFonts w:ascii="Times New Roman" w:hAnsi="Times New Roman" w:cs="Times New Roman" w:eastAsia="Times New Roman"/>
                <w:sz w:val="19"/>
              </w:rPr>
              <w:t xml:space="preserve">Head high enough that Comal Springs does not cease (</w:t>
            </w:r>
            <m:oMath>
              <m:r>
                <m:rPr>
                  <m:sty m:val="p"/>
                </m:rPr>
                <m:t>≈</m:t>
              </m:r>
              <m:r>
                <m:t>618</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ft; 1956 daily minimum</w:t>
            </w:r>
            <w:r>
              <w:rPr>
                <w:rFonts w:ascii="Times New Roman" w:hAnsi="Times New Roman" w:cs="Times New Roman" w:eastAsia="Times New Roman"/>
                <w:sz w:val="19"/>
              </w:rPr>
              <w:t xml:space="preserve"> </w:t>
            </w:r>
            <m:oMath>
              <m:r>
                <m:t>612.51</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ft)</w:t>
            </w:r>
          </w:p>
        </w:tc>
        <w:tc>
          <w:tcPr/>
          <w:p>
            <w:pPr>
              <w:pStyle w:val="Compact"/>
              <w:spacing w:line="240" w:lineRule="auto" w:after="40" w:before="40"/>
              <w:jc w:val="left"/>
            </w:pPr>
            <w:r>
              <w:rPr>
                <w:rFonts w:ascii="Times New Roman" w:hAnsi="Times New Roman" w:cs="Times New Roman" w:eastAsia="Times New Roman"/>
                <w:sz w:val="19"/>
              </w:rPr>
              <w:t xml:space="preserve">N / E</w:t>
            </w:r>
          </w:p>
        </w:tc>
      </w:tr>
      <w:tr>
        <w:tc>
          <w:tcPr/>
          <w:p>
            <w:pPr>
              <w:pStyle w:val="Compact"/>
              <w:spacing w:line="240" w:lineRule="auto" w:after="40" w:before="40"/>
              <w:jc w:val="left"/>
            </w:pPr>
            <w:r>
              <w:rPr>
                <w:rFonts w:ascii="Times New Roman" w:hAnsi="Times New Roman" w:cs="Times New Roman" w:eastAsia="Times New Roman"/>
                <w:sz w:val="19"/>
              </w:rPr>
              <w:t xml:space="preserve">Institutional threshold</w:t>
            </w:r>
          </w:p>
        </w:tc>
        <w:tc>
          <w:tcPr/>
          <w:p>
            <w:pPr>
              <w:pStyle w:val="Compact"/>
              <w:spacing w:line="240" w:lineRule="auto" w:after="40" w:before="40"/>
              <w:jc w:val="left"/>
            </w:pPr>
            <w:r>
              <w:rPr>
                <w:rFonts w:ascii="Times New Roman" w:hAnsi="Times New Roman" w:cs="Times New Roman" w:eastAsia="Times New Roman"/>
                <w:sz w:val="19"/>
              </w:rPr>
              <w:t xml:space="preserve">EAA Stage I, 10-day mean J-17</w:t>
            </w:r>
            <w:r>
              <w:rPr>
                <w:rFonts w:ascii="Times New Roman" w:hAnsi="Times New Roman" w:cs="Times New Roman" w:eastAsia="Times New Roman"/>
                <w:sz w:val="19"/>
              </w:rPr>
              <w:t xml:space="preserve"> </w:t>
            </w:r>
            <m:oMath>
              <m:r>
                <m:rPr>
                  <m:sty m:val="p"/>
                </m:rPr>
                <m:t>&lt;</m:t>
              </m:r>
              <m:r>
                <m:t>660</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ft (in force after 2007)</w:t>
            </w:r>
          </w:p>
        </w:tc>
        <w:tc>
          <w:tcPr/>
          <w:p>
            <w:pPr>
              <w:pStyle w:val="Compact"/>
              <w:spacing w:line="240" w:lineRule="auto" w:after="40" w:before="40"/>
              <w:jc w:val="left"/>
            </w:pPr>
            <w:r>
              <w:rPr>
                <w:rFonts w:ascii="Times New Roman" w:hAnsi="Times New Roman" w:cs="Times New Roman" w:eastAsia="Times New Roman"/>
                <w:sz w:val="19"/>
              </w:rPr>
              <w:t xml:space="preserve">N</w:t>
            </w:r>
          </w:p>
        </w:tc>
      </w:tr>
      <w:tr>
        <w:tc>
          <w:tcPr/>
          <w:p>
            <w:pPr>
              <w:pStyle w:val="Compact"/>
              <w:spacing w:line="240" w:lineRule="auto" w:after="40" w:before="40"/>
              <w:jc w:val="left"/>
            </w:pPr>
            <w:r>
              <w:rPr>
                <w:rFonts w:ascii="Times New Roman" w:hAnsi="Times New Roman" w:cs="Times New Roman" w:eastAsia="Times New Roman"/>
                <w:sz w:val="19"/>
              </w:rPr>
              <w:t xml:space="preserve">Disturbance</w:t>
            </w:r>
          </w:p>
        </w:tc>
        <w:tc>
          <w:tcPr/>
          <w:p>
            <w:pPr>
              <w:pStyle w:val="Compact"/>
              <w:spacing w:line="240" w:lineRule="auto" w:after="40" w:before="40"/>
              <w:jc w:val="left"/>
            </w:pPr>
            <w:r>
              <w:rPr>
                <w:rFonts w:ascii="Times New Roman" w:hAnsi="Times New Roman" w:cs="Times New Roman" w:eastAsia="Times New Roman"/>
                <w:sz w:val="19"/>
              </w:rPr>
              <w:t xml:space="preserve">Recharge pulses; unmodeled karst; Uvalde–San Antonio exchange</w:t>
            </w:r>
          </w:p>
        </w:tc>
        <w:tc>
          <w:tcPr/>
          <w:p>
            <w:pPr>
              <w:pStyle w:val="Compact"/>
              <w:spacing w:line="240" w:lineRule="auto" w:after="40" w:before="40"/>
              <w:jc w:val="left"/>
            </w:pPr>
            <w:r>
              <w:rPr>
                <w:rFonts w:ascii="Times New Roman" w:hAnsi="Times New Roman" w:cs="Times New Roman" w:eastAsia="Times New Roman"/>
                <w:sz w:val="19"/>
              </w:rPr>
              <w:t xml:space="preserve">M</w:t>
            </w:r>
          </w:p>
        </w:tc>
      </w:tr>
      <w:tr>
        <w:tc>
          <w:tcPr/>
          <w:p>
            <w:pPr>
              <w:pStyle w:val="Compact"/>
              <w:spacing w:line="240" w:lineRule="auto" w:after="40" w:before="40"/>
              <w:jc w:val="left"/>
            </w:pPr>
            <w:r>
              <w:rPr>
                <w:rFonts w:ascii="Times New Roman" w:hAnsi="Times New Roman" w:cs="Times New Roman" w:eastAsia="Times New Roman"/>
                <w:sz w:val="19"/>
              </w:rPr>
              <w:t xml:space="preserve">Implementable use</w:t>
            </w:r>
          </w:p>
        </w:tc>
        <w:tc>
          <w:tcPr/>
          <w:p>
            <w:pPr>
              <w:pStyle w:val="Compact"/>
              <w:spacing w:line="240" w:lineRule="auto" w:after="40" w:before="40"/>
              <w:jc w:val="left"/>
            </w:pPr>
            <w:r>
              <w:rPr>
                <w:rFonts w:ascii="Times New Roman" w:hAnsi="Times New Roman" w:cs="Times New Roman" w:eastAsia="Times New Roman"/>
                <w:sz w:val="19"/>
              </w:rPr>
              <w:t xml:space="preserve">Pre-EAA pumping; post-1996/2007 permits and critical-period management</w:t>
            </w:r>
          </w:p>
        </w:tc>
        <w:tc>
          <w:tcPr/>
          <w:p>
            <w:pPr>
              <w:pStyle w:val="Compact"/>
              <w:spacing w:line="240" w:lineRule="auto" w:after="40" w:before="40"/>
              <w:jc w:val="left"/>
            </w:pPr>
            <w:r>
              <w:rPr>
                <w:rFonts w:ascii="Times New Roman" w:hAnsi="Times New Roman" w:cs="Times New Roman" w:eastAsia="Times New Roman"/>
                <w:sz w:val="19"/>
              </w:rPr>
              <w:t xml:space="preserve">E</w:t>
            </w:r>
          </w:p>
        </w:tc>
      </w:tr>
      <w:tr>
        <w:tc>
          <w:tcPr/>
          <w:p>
            <w:pPr>
              <w:pStyle w:val="Compact"/>
              <w:spacing w:line="240" w:lineRule="auto" w:after="40" w:before="40"/>
              <w:jc w:val="left"/>
            </w:pPr>
            <w:r>
              <w:rPr>
                <w:rFonts w:ascii="Times New Roman" w:hAnsi="Times New Roman" w:cs="Times New Roman" w:eastAsia="Times New Roman"/>
                <w:sz w:val="19"/>
              </w:rPr>
              <w:t xml:space="preserve">Service series</w:t>
            </w:r>
          </w:p>
        </w:tc>
        <w:tc>
          <w:tcPr/>
          <w:p>
            <w:pPr>
              <w:pStyle w:val="Compact"/>
              <w:spacing w:line="240" w:lineRule="auto" w:after="40" w:before="40"/>
              <w:jc w:val="left"/>
            </w:pPr>
            <w:r>
              <w:rPr>
                <w:rFonts w:ascii="Times New Roman" w:hAnsi="Times New Roman" w:cs="Times New Roman" w:eastAsia="Times New Roman"/>
                <w:sz w:val="19"/>
              </w:rPr>
              <w:t xml:space="preserve">USGS 08168710 Comal Springs annual mean discharge (cfs)</w:t>
            </w:r>
          </w:p>
        </w:tc>
        <w:tc>
          <w:tcPr/>
          <w:p>
            <w:pPr>
              <w:pStyle w:val="Compact"/>
              <w:spacing w:line="240" w:lineRule="auto" w:after="40" w:before="40"/>
              <w:jc w:val="left"/>
            </w:pPr>
            <w:r>
              <w:rPr>
                <w:rFonts w:ascii="Times New Roman" w:hAnsi="Times New Roman" w:cs="Times New Roman" w:eastAsia="Times New Roman"/>
                <w:sz w:val="19"/>
              </w:rPr>
              <w:t xml:space="preserve">D</w:t>
            </w:r>
          </w:p>
        </w:tc>
      </w:tr>
    </w:tbl>
    <w:p>
      <w:pPr>
        <w:pStyle w:val="BodyText"/>
        <w:spacing w:line="360" w:lineRule="auto" w:after="120"/>
        <w:ind w:firstLine="720"/>
        <w:jc w:val="both"/>
      </w:pPr>
      <w:r>
        <w:rPr>
          <w:rFonts w:ascii="Times New Roman" w:hAnsi="Times New Roman" w:cs="Times New Roman" w:eastAsia="Times New Roman"/>
          <w:sz w:val="24"/>
        </w:rPr>
        <w:t xml:space="preserve">The predictand is a measured well series. It is not a GRACE or G3P storage reconstruction, a MODFLOW or GWSIM inversion, EAA reconstructed storage, the J-27 Uvalde index, San Marcos Springs, or total spring discharge.</w:t>
      </w:r>
    </w:p>
    <w:p>
      <w:pPr>
        <w:pStyle w:val="BodyText"/>
        <w:spacing w:line="360" w:lineRule="auto" w:after="120"/>
        <w:ind w:firstLine="720"/>
        <w:jc w:val="both"/>
      </w:pPr>
      <w:r>
        <w:rPr>
          <w:rFonts w:ascii="Times New Roman" w:hAnsi="Times New Roman" w:cs="Times New Roman" w:eastAsia="Times New Roman"/>
          <w:sz w:val="24"/>
        </w:rPr>
        <w:t xml:space="preserve">Stage I at 660 ft is a 2007 institutional rule and is not applied as if it existed in 1956. Cessation of Comal Springs near 618 ft is a physical service bound. The indicator</w:t>
      </w:r>
      <w:r>
        <w:rPr>
          <w:rFonts w:ascii="Times New Roman" w:hAnsi="Times New Roman" w:cs="Times New Roman" w:eastAsia="Times New Roman"/>
          <w:sz w:val="24"/>
        </w:rPr>
        <w:t xml:space="preserve"> </w:t>
      </w:r>
      <m:oMath>
        <m:r>
          <m:rPr>
            <m:sty m:val="b"/>
          </m:rPr>
          <m:t>1</m:t>
        </m:r>
        <m:r>
          <m:rPr>
            <m:sty m:val="p"/>
          </m:rPr>
          <m:t>{</m:t>
        </m:r>
        <m:r>
          <m:t>H</m:t>
        </m:r>
        <m:r>
          <m:rPr>
            <m:sty m:val="p"/>
          </m:rPr>
          <m:t>&lt;</m:t>
        </m:r>
        <m:r>
          <m:t>660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the annual mean is a coarse Brier proxy, not the Authority’s 10-day declaration.</w:t>
      </w:r>
    </w:p>
    <w:p>
      <w:pPr>
        <w:pStyle w:val="BodyText"/>
        <w:spacing w:line="360" w:lineRule="auto" w:after="120"/>
        <w:ind w:firstLine="720"/>
        <w:jc w:val="both"/>
      </w:pPr>
      <w:r>
        <w:rPr>
          <w:rFonts w:ascii="Times New Roman" w:hAnsi="Times New Roman" w:cs="Times New Roman" w:eastAsia="Times New Roman"/>
          <w:sz w:val="24"/>
        </w:rPr>
        <w:t xml:space="preserve">Annual means use all available daily highs. Years with fewer than 240 observations are dropped. 1935 (</w:t>
      </w:r>
      <m:oMath>
        <m:r>
          <m:t>n</m:t>
        </m:r>
        <m:r>
          <m:rPr>
            <m:sty m:val="p"/>
          </m:rPr>
          <m:t>=</m:t>
        </m:r>
        <m:r>
          <m:t>258</m:t>
        </m:r>
      </m:oMath>
      <w:r>
        <w:rPr>
          <w:rFonts w:ascii="Times New Roman" w:hAnsi="Times New Roman" w:cs="Times New Roman" w:eastAsia="Times New Roman"/>
          <w:sz w:val="24"/>
        </w:rPr>
        <w:t xml:space="preserve">) and 1939 (</w:t>
      </w:r>
      <m:oMath>
        <m:r>
          <m:t>n</m:t>
        </m:r>
        <m:r>
          <m:rPr>
            <m:sty m:val="p"/>
          </m:rPr>
          <m:t>=</m:t>
        </m:r>
        <m:r>
          <m:t>242</m:t>
        </m:r>
      </m:oMath>
      <w:r>
        <w:rPr>
          <w:rFonts w:ascii="Times New Roman" w:hAnsi="Times New Roman" w:cs="Times New Roman" w:eastAsia="Times New Roman"/>
          <w:sz w:val="24"/>
        </w:rPr>
        <w:t xml:space="preserve">) are incomplete-coverage means. Missing days are not interpolated. The published pre-continuous composite (Beverly Lodges extension) is used as issued. Values from 2023 onward include provisional TWDB status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w:t>
      </w:r>
      <w:r>
        <w:rPr>
          <w:rFonts w:ascii="Times New Roman" w:hAnsi="Times New Roman" w:cs="Times New Roman" w:eastAsia="Times New Roman"/>
          <w:sz w:val="24"/>
        </w:rPr>
        <w:t xml:space="preserve">. The complete estimation panel ends in 2023.</w:t>
      </w:r>
    </w:p>
    <w:p>
      <w:pPr>
        <w:pStyle w:val="BodyText"/>
        <w:spacing w:line="360" w:lineRule="auto" w:after="120"/>
        <w:ind w:firstLine="720"/>
        <w:jc w:val="both"/>
      </w:pPr>
      <w:r>
        <w:rPr>
          <w:rFonts w:ascii="Times New Roman" w:hAnsi="Times New Roman" w:cs="Times New Roman" w:eastAsia="Times New Roman"/>
          <w:sz w:val="24"/>
        </w:rPr>
        <w:t xml:space="preserve">Recharge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USGS total San Antonio-area recharge (</w:t>
      </w:r>
      <m:oMath>
        <m:sSup>
          <m:e>
            <m:r>
              <m:t>10</m:t>
            </m:r>
          </m:e>
          <m:sup>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acre-ft yr</w:t>
      </w:r>
      <m:oMath>
        <m:sSup>
          <m:e>
            <m:r>
              <m:t>​</m:t>
            </m:r>
          </m:e>
          <m:sup>
            <m:r>
              <m:rPr>
                <m:sty m:val="p"/>
              </m:rPr>
              <m:t>−</m:t>
            </m:r>
            <m:r>
              <m:t>1</m:t>
            </m:r>
          </m:sup>
        </m:sSup>
      </m:oMath>
      <w:r>
        <w:rPr>
          <w:rFonts w:ascii="Times New Roman" w:hAnsi="Times New Roman" w:cs="Times New Roman" w:eastAsia="Times New Roman"/>
          <w:sz w:val="24"/>
        </w:rPr>
        <w:t xml:space="preserve">), estimated by the Puente (1978) stream-loss method and independent of J-17 (Umphres and Choi 2025). Pumpage</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well discharge from Edwards Aquifer Authority Table 1. Total spring discharge is stored and is not used as a driver. Climate predictors, used only in Section 5.4, are September–November Niño 3.4 (HadISST, anomaly relative to 1991–2020) and calendar-year precipitation in Texas climate divisions 06 and 07 (NCEI nClimDiv).</w:t>
      </w:r>
    </w:p>
    <w:bookmarkEnd w:id="22"/>
    <w:bookmarkStart w:id="23" w:name="forecast-models"/>
    <w:p>
      <w:pPr>
        <w:pStyle w:val="Heading1"/>
        <w:spacing w:before="360" w:after="120" w:line="360" w:lineRule="auto"/>
        <w:ind w:firstLine="0" w:left="0"/>
        <w:jc w:val="left"/>
      </w:pPr>
      <w:r>
        <w:rPr>
          <w:rFonts w:ascii="Times New Roman" w:hAnsi="Times New Roman" w:cs="Times New Roman" w:eastAsia="Times New Roman"/>
          <w:b/>
          <w:sz w:val="28"/>
        </w:rPr>
        <w:t xml:space="preserve">3. Forecast models</w:t>
      </w:r>
    </w:p>
    <w:p>
      <w:pPr>
        <w:pStyle w:val="FirstParagraph"/>
        <w:spacing w:line="360" w:lineRule="auto" w:after="120"/>
        <w:ind w:firstLine="720"/>
        <w:jc w:val="both"/>
      </w:pPr>
      <w:r>
        <w:rPr>
          <w:rFonts w:ascii="Times New Roman" w:hAnsi="Times New Roman" w:cs="Times New Roman" w:eastAsia="Times New Roman"/>
          <w:sz w:val="24"/>
        </w:rPr>
        <w:t xml:space="preserve">The one-pool map, with head clipped to</w:t>
      </w:r>
      <w:r>
        <w:rPr>
          <w:rFonts w:ascii="Times New Roman" w:hAnsi="Times New Roman" w:cs="Times New Roman" w:eastAsia="Times New Roman"/>
          <w:sz w:val="24"/>
        </w:rPr>
        <w:t xml:space="preserve"> </w:t>
      </w:r>
      <m:oMath>
        <m:d>
          <m:dPr>
            <m:begChr m:val="["/>
            <m:endChr m:val="]"/>
            <m:sepChr m:val=""/>
            <m:grow/>
          </m:dPr>
          <m:e>
            <m:r>
              <m:t>610</m:t>
            </m:r>
            <m:r>
              <m:rPr>
                <m:sty m:val="p"/>
              </m:rPr>
              <m:t>,</m:t>
            </m:r>
            <m:r>
              <m:t>710</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ft, is</w:t>
      </w:r>
    </w:p>
    <w:p>
      <w:pPr>
        <w:pStyle w:val="BodyText"/>
        <w:spacing w:line="360" w:lineRule="auto" w:before="120" w:after="120"/>
        <w:ind w:firstLine="0"/>
        <w:jc w:val="center"/>
      </w:pPr>
      <m:oMathPara>
        <m:oMathParaPr>
          <m:jc m:val="center"/>
        </m:oMathParaPr>
        <m:oMath>
          <m:sSub>
            <m:e>
              <m:r>
                <m:t>H</m:t>
              </m:r>
            </m:e>
            <m:sub>
              <m:r>
                <m:t>t</m:t>
              </m:r>
              <m:r>
                <m:rPr>
                  <m:sty m:val="p"/>
                </m:rPr>
                <m:t>+</m:t>
              </m:r>
              <m:r>
                <m:t>1</m:t>
              </m:r>
            </m:sub>
          </m:sSub>
          <m:r>
            <m:rPr>
              <m:sty m:val="p"/>
            </m:rPr>
            <m:t>=</m:t>
          </m:r>
          <m:r>
            <m:rPr>
              <m:sty m:val="p"/>
            </m:rPr>
            <m:t>[</m:t>
          </m:r>
          <m:sSub>
            <m:e>
              <m:r>
                <m:t>H</m:t>
              </m:r>
            </m:e>
            <m:sub>
              <m:r>
                <m:t>t</m:t>
              </m:r>
            </m:sub>
          </m:sSub>
          <m:r>
            <m:rPr>
              <m:sty m:val="p"/>
            </m:rPr>
            <m:t>+</m:t>
          </m:r>
          <m:r>
            <m:t>α</m:t>
          </m:r>
          <m:r>
            <m:rPr>
              <m:sty m:val="p"/>
            </m:rPr>
            <m:t>+</m:t>
          </m:r>
          <m:r>
            <m:t>β</m:t>
          </m:r>
          <m:sSub>
            <m:e>
              <m:acc>
                <m:accPr>
                  <m:chr m:val="̃"/>
                </m:accPr>
                <m:e>
                  <m:r>
                    <m:t>R</m:t>
                  </m:r>
                </m:e>
              </m:acc>
            </m:e>
            <m:sub>
              <m:r>
                <m:t>t</m:t>
              </m:r>
              <m:r>
                <m:rPr>
                  <m:sty m:val="p"/>
                </m:rPr>
                <m:t>+</m:t>
              </m:r>
              <m:r>
                <m:t>1</m:t>
              </m:r>
            </m:sub>
          </m:sSub>
          <m:r>
            <m:rPr>
              <m:sty m:val="p"/>
            </m:rPr>
            <m:t>+</m:t>
          </m:r>
          <m:r>
            <m:t>γ</m:t>
          </m:r>
          <m:sSub>
            <m:e>
              <m:acc>
                <m:accPr>
                  <m:chr m:val="̃"/>
                </m:accPr>
                <m:e>
                  <m:r>
                    <m:t>P</m:t>
                  </m:r>
                </m:e>
              </m:acc>
            </m:e>
            <m:sub>
              <m:r>
                <m:t>t</m:t>
              </m:r>
              <m:r>
                <m:rPr>
                  <m:sty m:val="p"/>
                </m:rPr>
                <m:t>+</m:t>
              </m:r>
              <m:r>
                <m:t>1</m:t>
              </m:r>
            </m:sub>
          </m:sSub>
          <m:r>
            <m:rPr>
              <m:sty m:val="p"/>
            </m:rPr>
            <m:t>+</m:t>
          </m:r>
          <m:r>
            <m:t>δ</m:t>
          </m:r>
          <m:sSub>
            <m:e>
              <m:r>
                <m:t>H</m:t>
              </m:r>
            </m:e>
            <m:sub>
              <m:r>
                <m:t>t</m:t>
              </m:r>
            </m:sub>
          </m:sSub>
          <m:sSub>
            <m:e>
              <m:r>
                <m:rPr>
                  <m:sty m:val="p"/>
                </m:rPr>
                <m:t>]</m:t>
              </m:r>
            </m:e>
            <m:sub>
              <m:r>
                <m:rPr>
                  <m:sty m:val="p"/>
                </m:rPr>
                <m:t>c</m:t>
              </m:r>
              <m:r>
                <m:rPr>
                  <m:sty m:val="p"/>
                </m:rPr>
                <m:t>l</m:t>
              </m:r>
              <m:r>
                <m:rPr>
                  <m:sty m:val="p"/>
                </m:rPr>
                <m:t>i</m:t>
              </m:r>
              <m:r>
                <m:rPr>
                  <m:sty m:val="p"/>
                </m:rPr>
                <m:t>p</m:t>
              </m:r>
            </m:sub>
          </m:sSub>
          <m:r>
            <m:rPr>
              <m:sty m:val="p"/>
            </m:rPr>
            <m:t>.</m:t>
          </m:r>
        </m:oMath>
      </m:oMathPara>
    </w:p>
    <w:p>
      <w:pPr>
        <w:pStyle w:val="FirstParagraph"/>
        <w:spacing w:line="360" w:lineRule="auto" w:after="120"/>
        <w:ind w:firstLine="720"/>
        <w:jc w:val="both"/>
      </w:pPr>
      <w:r>
        <w:rPr>
          <w:rFonts w:ascii="Times New Roman" w:hAnsi="Times New Roman" w:cs="Times New Roman" w:eastAsia="Times New Roman"/>
          <w:sz w:val="24"/>
        </w:rPr>
        <w:t xml:space="preserve">Forecasts are issued at the end of year</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w:t>
      </w:r>
      <w:r>
        <w:rPr>
          <w:rFonts w:ascii="Times New Roman" w:hAnsi="Times New Roman" w:cs="Times New Roman" w:eastAsia="Times New Roman"/>
          <w:sz w:val="24"/>
        </w:rPr>
        <w:t xml:space="preserve"> </w:t>
      </w:r>
      <m:oMath>
        <m:d>
          <m:dPr>
            <m:begChr m:val="("/>
            <m:endChr m:val=")"/>
            <m:sepChr m:val=""/>
            <m:grow/>
          </m:dPr>
          <m:e>
            <m:r>
              <m:t>H</m:t>
            </m:r>
            <m:r>
              <m:rPr>
                <m:sty m:val="p"/>
              </m:rPr>
              <m:t>,</m:t>
            </m:r>
            <m:r>
              <m:t>R</m:t>
            </m:r>
            <m:r>
              <m:rPr>
                <m:sty m:val="p"/>
              </m:rPr>
              <m:t>,</m:t>
            </m:r>
            <m:r>
              <m:t>P</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Model ladder.</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ID</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Class</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Fluxes at</w:t>
            </w:r>
            <w:r>
              <w:rPr>
                <w:rFonts w:ascii="Times New Roman" w:hAnsi="Times New Roman" w:cs="Times New Roman" w:eastAsia="Times New Roman"/>
                <w:b/>
                <w:sz w:val="19"/>
              </w:rPr>
              <w:t xml:space="preserve"> </w:t>
            </w:r>
            <m:oMath>
              <m:r>
                <m:t>t</m:t>
              </m:r>
              <m:r>
                <m:rPr>
                  <m:sty m:val="p"/>
                </m:rPr>
                <m:t>+</m:t>
              </m:r>
              <m:r>
                <m:t>k</m:t>
              </m:r>
            </m:oMath>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Role</w:t>
            </w:r>
          </w:p>
        </w:tc>
      </w:tr>
      <w:tr>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sz w:val="19"/>
              </w:rPr>
              <w:t xml:space="preserve">baseline</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m:oMath>
              <m:sSub>
                <m:e>
                  <m:acc>
                    <m:accPr>
                      <m:chr m:val="̂"/>
                    </m:accPr>
                    <m:e>
                      <m:r>
                        <m:t>H</m:t>
                      </m:r>
                    </m:e>
                  </m:acc>
                </m:e>
                <m:sub>
                  <m:r>
                    <m:t>t</m:t>
                  </m:r>
                  <m:r>
                    <m:rPr>
                      <m:sty m:val="p"/>
                    </m:rPr>
                    <m:t>+</m:t>
                  </m:r>
                  <m:r>
                    <m:t>h</m:t>
                  </m:r>
                </m:sub>
              </m:sSub>
              <m:r>
                <m:rPr>
                  <m:sty m:val="p"/>
                </m:rPr>
                <m:t>=</m:t>
              </m:r>
              <m:sSub>
                <m:e>
                  <m:r>
                    <m:t>H</m:t>
                  </m:r>
                </m:e>
                <m:sub>
                  <m:r>
                    <m:t>t</m:t>
                  </m:r>
                </m:sub>
              </m:sSub>
            </m:oMath>
          </w:p>
        </w:tc>
      </w:tr>
      <w:tr>
        <w:tc>
          <w:tcPr/>
          <w:p>
            <w:pPr>
              <w:pStyle w:val="Compact"/>
              <w:spacing w:line="240" w:lineRule="auto" w:after="40" w:before="40"/>
              <w:jc w:val="left"/>
            </w:pPr>
            <w:r>
              <w:rPr>
                <w:rFonts w:ascii="Times New Roman" w:hAnsi="Times New Roman" w:cs="Times New Roman" w:eastAsia="Times New Roman"/>
                <w:sz w:val="19"/>
              </w:rPr>
              <w:t xml:space="preserve">mean</w:t>
            </w:r>
          </w:p>
        </w:tc>
        <w:tc>
          <w:tcPr/>
          <w:p>
            <w:pPr>
              <w:pStyle w:val="Compact"/>
              <w:spacing w:line="240" w:lineRule="auto" w:after="40" w:before="40"/>
              <w:jc w:val="left"/>
            </w:pPr>
            <w:r>
              <w:rPr>
                <w:rFonts w:ascii="Times New Roman" w:hAnsi="Times New Roman" w:cs="Times New Roman" w:eastAsia="Times New Roman"/>
                <w:sz w:val="19"/>
              </w:rPr>
              <w:t xml:space="preserve">baseline</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training-window mean</w:t>
            </w:r>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autonomous</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m:oMath>
              <m:sSub>
                <m:e>
                  <m:r>
                    <m:t>H</m:t>
                  </m:r>
                </m:e>
                <m:sub>
                  <m:r>
                    <m:t>t</m:t>
                  </m:r>
                  <m:r>
                    <m:rPr>
                      <m:sty m:val="p"/>
                    </m:rPr>
                    <m:t>+</m:t>
                  </m:r>
                  <m:r>
                    <m:t>1</m:t>
                  </m:r>
                </m:sub>
              </m:sSub>
              <m:r>
                <m:rPr>
                  <m:sty m:val="p"/>
                </m:rPr>
                <m:t>=</m:t>
              </m:r>
              <m:r>
                <m:t>a</m:t>
              </m:r>
              <m:r>
                <m:rPr>
                  <m:sty m:val="p"/>
                </m:rPr>
                <m:t>+</m:t>
              </m:r>
              <m:r>
                <m:t>φ</m:t>
              </m:r>
              <m:sSub>
                <m:e>
                  <m:r>
                    <m:t>H</m:t>
                  </m:r>
                </m:e>
                <m:sub>
                  <m:r>
                    <m:t>t</m:t>
                  </m:r>
                </m:sub>
              </m:sSub>
            </m:oMath>
          </w:p>
        </w:tc>
      </w:tr>
      <w:tr>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causal stock-flow</w:t>
            </w:r>
          </w:p>
        </w:tc>
        <w:tc>
          <w:tcPr/>
          <w:p>
            <w:pPr>
              <w:pStyle w:val="Compact"/>
              <w:spacing w:line="240" w:lineRule="auto" w:after="40" w:before="40"/>
              <w:jc w:val="left"/>
            </w:pPr>
            <w:r>
              <w:rPr>
                <w:rFonts w:ascii="Times New Roman" w:hAnsi="Times New Roman" w:cs="Times New Roman" w:eastAsia="Times New Roman"/>
                <w:sz w:val="19"/>
              </w:rPr>
              <w:t xml:space="preserve">last</w:t>
            </w:r>
            <w:r>
              <w:rPr>
                <w:rFonts w:ascii="Times New Roman" w:hAnsi="Times New Roman" w:cs="Times New Roman" w:eastAsia="Times New Roman"/>
                <w:sz w:val="19"/>
              </w:rPr>
              <w:t xml:space="preserve"> </w:t>
            </w:r>
            <m:oMath>
              <m:d>
                <m:dPr>
                  <m:begChr m:val="("/>
                  <m:endChr m:val=")"/>
                  <m:sepChr m:val=""/>
                  <m:grow/>
                </m:dPr>
                <m:e>
                  <m:sSub>
                    <m:e>
                      <m:r>
                        <m:t>R</m:t>
                      </m:r>
                    </m:e>
                    <m:sub>
                      <m:r>
                        <m:t>t</m:t>
                      </m:r>
                    </m:sub>
                  </m:sSub>
                  <m:r>
                    <m:rPr>
                      <m:sty m:val="p"/>
                    </m:rPr>
                    <m:t>,</m:t>
                  </m:r>
                  <m:sSub>
                    <m:e>
                      <m:r>
                        <m:t>P</m:t>
                      </m:r>
                    </m:e>
                    <m:sub>
                      <m:r>
                        <m:t>t</m:t>
                      </m:r>
                    </m:sub>
                  </m:sSub>
                </m:e>
              </m:d>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persisted</w:t>
            </w:r>
          </w:p>
        </w:tc>
        <w:tc>
          <w:tcPr/>
          <w:p>
            <w:pPr>
              <w:pStyle w:val="Compact"/>
              <w:spacing w:line="240" w:lineRule="auto" w:after="40" w:before="40"/>
              <w:jc w:val="left"/>
            </w:pPr>
            <w:r>
              <w:rPr>
                <w:rFonts w:ascii="Times New Roman" w:hAnsi="Times New Roman" w:cs="Times New Roman" w:eastAsia="Times New Roman"/>
                <w:sz w:val="19"/>
              </w:rPr>
              <w:t xml:space="preserve">candidate for retention</w:t>
            </w:r>
          </w:p>
        </w:tc>
      </w:tr>
      <w:tr>
        <w:tc>
          <w:tcPr/>
          <w:p>
            <w:pPr>
              <w:pStyle w:val="Compact"/>
              <w:spacing w:line="240" w:lineRule="auto" w:after="40" w:before="40"/>
              <w:jc w:val="left"/>
            </w:pPr>
            <w:r>
              <w:rPr>
                <w:rFonts w:ascii="Times New Roman" w:hAnsi="Times New Roman" w:cs="Times New Roman" w:eastAsia="Times New Roman"/>
                <w:sz w:val="19"/>
              </w:rPr>
              <w:t xml:space="preserve">M2m</w:t>
            </w:r>
          </w:p>
        </w:tc>
        <w:tc>
          <w:tcPr/>
          <w:p>
            <w:pPr>
              <w:pStyle w:val="Compact"/>
              <w:spacing w:line="240" w:lineRule="auto" w:after="40" w:before="40"/>
              <w:jc w:val="left"/>
            </w:pPr>
            <w:r>
              <w:rPr>
                <w:rFonts w:ascii="Times New Roman" w:hAnsi="Times New Roman" w:cs="Times New Roman" w:eastAsia="Times New Roman"/>
                <w:sz w:val="19"/>
              </w:rPr>
              <w:t xml:space="preserve">climatological stock-flow</w:t>
            </w:r>
          </w:p>
        </w:tc>
        <w:tc>
          <w:tcPr/>
          <w:p>
            <w:pPr>
              <w:pStyle w:val="Compact"/>
              <w:spacing w:line="240" w:lineRule="auto" w:after="40" w:before="40"/>
              <w:jc w:val="left"/>
            </w:pPr>
            <w:r>
              <w:rPr>
                <w:rFonts w:ascii="Times New Roman" w:hAnsi="Times New Roman" w:cs="Times New Roman" w:eastAsia="Times New Roman"/>
                <w:sz w:val="19"/>
              </w:rPr>
              <w:t xml:space="preserve">training-mean</w:t>
            </w:r>
            <w:r>
              <w:rPr>
                <w:rFonts w:ascii="Times New Roman" w:hAnsi="Times New Roman" w:cs="Times New Roman" w:eastAsia="Times New Roman"/>
                <w:sz w:val="19"/>
              </w:rPr>
              <w:t xml:space="preserve"> </w:t>
            </w:r>
            <m:oMath>
              <m:d>
                <m:dPr>
                  <m:begChr m:val="("/>
                  <m:endChr m:val=")"/>
                  <m:sepChr m:val=""/>
                  <m:grow/>
                </m:dPr>
                <m:e>
                  <m:r>
                    <m:t>R</m:t>
                  </m:r>
                  <m:r>
                    <m:rPr>
                      <m:sty m:val="p"/>
                    </m:rPr>
                    <m:t>,</m:t>
                  </m:r>
                  <m:r>
                    <m:t>P</m:t>
                  </m:r>
                </m:e>
              </m:d>
            </m:oMath>
          </w:p>
        </w:tc>
        <w:tc>
          <w:tcPr/>
          <w:p>
            <w:pPr>
              <w:pStyle w:val="Compact"/>
              <w:spacing w:line="240" w:lineRule="auto" w:after="40" w:before="40"/>
              <w:jc w:val="left"/>
            </w:pPr>
            <w:r>
              <w:rPr>
                <w:rFonts w:ascii="Times New Roman" w:hAnsi="Times New Roman" w:cs="Times New Roman" w:eastAsia="Times New Roman"/>
                <w:sz w:val="19"/>
              </w:rPr>
              <w:t xml:space="preserve">affine AR(1)</w:t>
            </w:r>
          </w:p>
        </w:tc>
      </w:tr>
      <w:tr>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residual</w:t>
            </w:r>
          </w:p>
        </w:tc>
        <w:tc>
          <w:tcPr/>
          <w:p>
            <w:pPr>
              <w:pStyle w:val="Compact"/>
              <w:spacing w:line="240" w:lineRule="auto" w:after="40" w:before="40"/>
              <w:jc w:val="left"/>
            </w:pPr>
            <w:r>
              <w:rPr>
                <w:rFonts w:ascii="Times New Roman" w:hAnsi="Times New Roman" w:cs="Times New Roman" w:eastAsia="Times New Roman"/>
                <w:sz w:val="19"/>
              </w:rPr>
              <w:t xml:space="preserve">as M2</w:t>
            </w:r>
          </w:p>
        </w:tc>
        <w:tc>
          <w:tcPr/>
          <w:p>
            <w:pPr>
              <w:pStyle w:val="Compact"/>
              <w:spacing w:line="240" w:lineRule="auto" w:after="40" w:before="40"/>
              <w:jc w:val="left"/>
            </w:pPr>
            <w:r>
              <w:rPr>
                <w:rFonts w:ascii="Times New Roman" w:hAnsi="Times New Roman" w:cs="Times New Roman" w:eastAsia="Times New Roman"/>
                <w:sz w:val="19"/>
              </w:rPr>
              <w:t xml:space="preserve">AR(1) residual on</w:t>
            </w:r>
            <w:r>
              <w:rPr>
                <w:rFonts w:ascii="Times New Roman" w:hAnsi="Times New Roman" w:cs="Times New Roman" w:eastAsia="Times New Roman"/>
                <w:sz w:val="19"/>
              </w:rPr>
              <w:t xml:space="preserve"> </w:t>
            </w:r>
            <m:oMath>
              <m:r>
                <m:t>Δ</m:t>
              </m:r>
              <m:r>
                <m:t>H</m:t>
              </m:r>
            </m:oMath>
          </w:p>
        </w:tc>
      </w:tr>
      <w:tr>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delay</w:t>
            </w:r>
          </w:p>
        </w:tc>
        <w:tc>
          <w:tcPr/>
          <w:p>
            <w:pPr>
              <w:pStyle w:val="Compact"/>
              <w:spacing w:line="240" w:lineRule="auto" w:after="40" w:before="40"/>
              <w:jc w:val="left"/>
            </w:pPr>
            <w:r>
              <w:rPr>
                <w:rFonts w:ascii="Times New Roman" w:hAnsi="Times New Roman" w:cs="Times New Roman" w:eastAsia="Times New Roman"/>
                <w:sz w:val="19"/>
              </w:rPr>
              <w:t xml:space="preserve">as M2</w:t>
            </w:r>
          </w:p>
        </w:tc>
        <w:tc>
          <w:tcPr/>
          <w:p>
            <w:pPr>
              <w:pStyle w:val="Compact"/>
              <w:spacing w:line="240" w:lineRule="auto" w:after="40" w:before="40"/>
              <w:jc w:val="left"/>
            </w:pPr>
            <w:r>
              <w:rPr>
                <w:rFonts w:ascii="Times New Roman" w:hAnsi="Times New Roman" w:cs="Times New Roman" w:eastAsia="Times New Roman"/>
                <w:sz w:val="19"/>
              </w:rPr>
              <w:t xml:space="preserve">starts from</w:t>
            </w:r>
            <w:r>
              <w:rPr>
                <w:rFonts w:ascii="Times New Roman" w:hAnsi="Times New Roman" w:cs="Times New Roman" w:eastAsia="Times New Roman"/>
                <w:sz w:val="19"/>
              </w:rPr>
              <w:t xml:space="preserve"> </w:t>
            </w:r>
            <m:oMath>
              <m:sSub>
                <m:e>
                  <m:r>
                    <m:t>H</m:t>
                  </m:r>
                </m:e>
                <m:sub>
                  <m:r>
                    <m:t>t</m:t>
                  </m:r>
                  <m:r>
                    <m:rPr>
                      <m:sty m:val="p"/>
                    </m:rPr>
                    <m:t>−</m:t>
                  </m:r>
                  <m:r>
                    <m:t>1</m:t>
                  </m:r>
                </m:sub>
              </m:sSub>
            </m:oMath>
          </w:p>
        </w:tc>
      </w:tr>
      <w:tr>
        <w:tc>
          <w:tcPr/>
          <w:p>
            <w:pPr>
              <w:pStyle w:val="Compact"/>
              <w:spacing w:line="240" w:lineRule="auto" w:after="40" w:before="40"/>
              <w:jc w:val="left"/>
            </w:pPr>
            <w:r>
              <w:rPr>
                <w:rFonts w:ascii="Times New Roman" w:hAnsi="Times New Roman" w:cs="Times New Roman" w:eastAsia="Times New Roman"/>
                <w:sz w:val="19"/>
              </w:rPr>
              <w:t xml:space="preserve">M2_oracle</w:t>
            </w:r>
          </w:p>
        </w:tc>
        <w:tc>
          <w:tcPr/>
          <w:p>
            <w:pPr>
              <w:pStyle w:val="Compact"/>
              <w:spacing w:line="240" w:lineRule="auto" w:after="40" w:before="40"/>
              <w:jc w:val="left"/>
            </w:pPr>
            <w:r>
              <w:rPr>
                <w:rFonts w:ascii="Times New Roman" w:hAnsi="Times New Roman" w:cs="Times New Roman" w:eastAsia="Times New Roman"/>
                <w:sz w:val="19"/>
              </w:rPr>
              <w:t xml:space="preserve">diagnostic</w:t>
            </w:r>
          </w:p>
        </w:tc>
        <w:tc>
          <w:tcPr/>
          <w:p>
            <w:pPr>
              <w:pStyle w:val="Compact"/>
              <w:spacing w:line="240" w:lineRule="auto" w:after="40" w:before="40"/>
              <w:jc w:val="left"/>
            </w:pPr>
            <w:r>
              <w:rPr>
                <w:rFonts w:ascii="Times New Roman" w:hAnsi="Times New Roman" w:cs="Times New Roman" w:eastAsia="Times New Roman"/>
                <w:sz w:val="19"/>
              </w:rPr>
              <w:t xml:space="preserve">realized future</w:t>
            </w:r>
            <w:r>
              <w:rPr>
                <w:rFonts w:ascii="Times New Roman" w:hAnsi="Times New Roman" w:cs="Times New Roman" w:eastAsia="Times New Roman"/>
                <w:sz w:val="19"/>
              </w:rPr>
              <w:t xml:space="preserve"> </w:t>
            </w:r>
            <m:oMath>
              <m:r>
                <m:t>R</m:t>
              </m:r>
              <m:r>
                <m:rPr>
                  <m:sty m:val="p"/>
                </m:rPr>
                <m:t>,</m:t>
              </m:r>
              <m:r>
                <m:t>P</m:t>
              </m:r>
            </m:oMath>
          </w:p>
        </w:tc>
        <w:tc>
          <w:tcPr/>
          <w:p>
            <w:pPr>
              <w:pStyle w:val="Compact"/>
              <w:spacing w:line="240" w:lineRule="auto" w:after="40" w:before="40"/>
              <w:jc w:val="left"/>
            </w:pPr>
            <w:r>
              <w:rPr>
                <w:rFonts w:ascii="Times New Roman" w:hAnsi="Times New Roman" w:cs="Times New Roman" w:eastAsia="Times New Roman"/>
                <w:sz w:val="19"/>
              </w:rPr>
              <w:t xml:space="preserve">excluded from retention</w:t>
            </w:r>
          </w:p>
        </w:tc>
      </w:tr>
    </w:tbl>
    <w:p>
      <w:pPr>
        <w:pStyle w:val="BodyText"/>
        <w:spacing w:line="360" w:lineRule="auto" w:after="120"/>
        <w:ind w:firstLine="720"/>
        <w:jc w:val="both"/>
      </w:pPr>
      <w:r>
        <w:rPr>
          <w:rFonts w:ascii="Times New Roman" w:hAnsi="Times New Roman" w:cs="Times New Roman" w:eastAsia="Times New Roman"/>
          <w:sz w:val="24"/>
        </w:rPr>
        <w:t xml:space="preserve">With constant fluxes, M2m reduces to</w:t>
      </w:r>
      <w:r>
        <w:rPr>
          <w:rFonts w:ascii="Times New Roman" w:hAnsi="Times New Roman" w:cs="Times New Roman" w:eastAsia="Times New Roman"/>
          <w:sz w:val="24"/>
        </w:rPr>
        <w:t xml:space="preserve"> </w:t>
      </w:r>
      <m:oMath>
        <m:sSub>
          <m:e>
            <m:r>
              <m:t>H</m:t>
            </m:r>
          </m:e>
          <m:sub>
            <m:r>
              <m:t>t</m:t>
            </m:r>
            <m:r>
              <m:rPr>
                <m:sty m:val="p"/>
              </m:rPr>
              <m:t>+</m:t>
            </m:r>
            <m:r>
              <m:t>1</m:t>
            </m:r>
          </m:sub>
        </m:sSub>
        <m:r>
          <m:rPr>
            <m:sty m:val="p"/>
          </m:rPr>
          <m:t>=</m:t>
        </m:r>
        <m:d>
          <m:dPr>
            <m:begChr m:val="("/>
            <m:endChr m:val=")"/>
            <m:sepChr m:val=""/>
            <m:grow/>
          </m:dPr>
          <m:e>
            <m:r>
              <m:t>1</m:t>
            </m:r>
            <m:r>
              <m:rPr>
                <m:sty m:val="p"/>
              </m:rPr>
              <m:t>+</m:t>
            </m:r>
            <m:r>
              <m:t>δ</m:t>
            </m:r>
          </m:e>
        </m:d>
        <m:sSub>
          <m:e>
            <m:r>
              <m:t>H</m:t>
            </m:r>
          </m:e>
          <m:sub>
            <m:r>
              <m:t>t</m:t>
            </m:r>
          </m:sub>
        </m:sSub>
        <m:r>
          <m:rPr>
            <m:sty m:val="p"/>
          </m:rPr>
          <m:t>+</m:t>
        </m:r>
        <m:r>
          <m:rPr>
            <m:sty m:val="p"/>
          </m:rPr>
          <m:t>c</m:t>
        </m:r>
        <m:r>
          <m:rPr>
            <m:sty m:val="p"/>
          </m:rPr>
          <m:t>o</m:t>
        </m:r>
        <m:r>
          <m:rPr>
            <m:sty m:val="p"/>
          </m:rPr>
          <m:t>n</m:t>
        </m:r>
        <m:r>
          <m:rPr>
            <m:sty m:val="p"/>
          </m:rPr>
          <m:t>s</m:t>
        </m:r>
        <m:r>
          <m:rPr>
            <m:sty m:val="p"/>
          </m:rP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is therefore the same affine class as M1. A numerical advantage for M2m is not extra structure.</w:t>
      </w:r>
    </w:p>
    <w:p>
      <w:pPr>
        <w:pStyle w:val="BodyText"/>
        <w:spacing w:line="360" w:lineRule="auto" w:after="120"/>
        <w:ind w:firstLine="720"/>
        <w:jc w:val="both"/>
      </w:pPr>
      <w:r>
        <w:rPr>
          <w:rFonts w:ascii="Times New Roman" w:hAnsi="Times New Roman" w:cs="Times New Roman" w:eastAsia="Times New Roman"/>
          <w:sz w:val="24"/>
        </w:rPr>
        <w:t xml:space="preserve">Climate-informed variants (Section 5.4) replace persisted</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a one-step forecast of</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information known at</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AR(1) 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lagged Niño 3.4, lagged climate-division precipitation, or all three. A precipitation-oracle variant uses year</w:t>
      </w:r>
      <w:r>
        <w:rPr>
          <w:rFonts w:ascii="Times New Roman" w:hAnsi="Times New Roman" w:cs="Times New Roman" w:eastAsia="Times New Roman"/>
          <w:sz w:val="24"/>
        </w:rPr>
        <w:t xml:space="preserve"> </w:t>
      </w:r>
      <m:oMath>
        <m:r>
          <m:t>t</m:t>
        </m:r>
        <m:r>
          <m:rPr>
            <m:sty m:val="p"/>
          </m:rPr>
          <m:t>+</m:t>
        </m:r>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precipitation and is excluded from retention. For horizons</w:t>
      </w:r>
      <w:r>
        <w:rPr>
          <w:rFonts w:ascii="Times New Roman" w:hAnsi="Times New Roman" w:cs="Times New Roman" w:eastAsia="Times New Roman"/>
          <w:sz w:val="24"/>
        </w:rPr>
        <w:t xml:space="preserve"> </w:t>
      </w:r>
      <m:oMath>
        <m:r>
          <m:t>h</m:t>
        </m:r>
        <m:r>
          <m:rPr>
            <m:sty m:val="p"/>
          </m:rPr>
          <m:t>&gt;</m:t>
        </m:r>
        <m:r>
          <m:t>1</m:t>
        </m:r>
      </m:oMath>
      <w:r>
        <w:rPr>
          <w:rFonts w:ascii="Times New Roman" w:hAnsi="Times New Roman" w:cs="Times New Roman" w:eastAsia="Times New Roman"/>
          <w:sz w:val="24"/>
        </w:rPr>
        <w:t xml:space="preserve">, the one-step recharge forecast is held constant.</w:t>
      </w:r>
    </w:p>
    <w:bookmarkEnd w:id="23"/>
    <w:bookmarkStart w:id="24" w:name="evaluation"/>
    <w:p>
      <w:pPr>
        <w:pStyle w:val="Heading1"/>
        <w:spacing w:before="360" w:after="120" w:line="360" w:lineRule="auto"/>
        <w:ind w:firstLine="0" w:left="0"/>
        <w:jc w:val="left"/>
      </w:pPr>
      <w:r>
        <w:rPr>
          <w:rFonts w:ascii="Times New Roman" w:hAnsi="Times New Roman" w:cs="Times New Roman" w:eastAsia="Times New Roman"/>
          <w:b/>
          <w:sz w:val="28"/>
        </w:rPr>
        <w:t xml:space="preserve">4. Evaluation</w:t>
      </w:r>
    </w:p>
    <w:p>
      <w:pPr>
        <w:pStyle w:val="FirstParagraph"/>
        <w:spacing w:line="360" w:lineRule="auto" w:after="120"/>
        <w:ind w:firstLine="720"/>
        <w:jc w:val="both"/>
      </w:pPr>
      <w:r>
        <w:rPr>
          <w:rFonts w:ascii="Times New Roman" w:hAnsi="Times New Roman" w:cs="Times New Roman" w:eastAsia="Times New Roman"/>
          <w:sz w:val="24"/>
        </w:rPr>
        <w:t xml:space="preserve">The primary score is RMSE of annual-mean J-17, in feet. Secondary scores are mean absolute error; Brier score for</w:t>
      </w:r>
      <w:r>
        <w:rPr>
          <w:rFonts w:ascii="Times New Roman" w:hAnsi="Times New Roman" w:cs="Times New Roman" w:eastAsia="Times New Roman"/>
          <w:sz w:val="24"/>
        </w:rPr>
        <w:t xml:space="preserve"> </w:t>
      </w:r>
      <m:oMath>
        <m:r>
          <m:rPr>
            <m:sty m:val="b"/>
          </m:rPr>
          <m:t>1</m:t>
        </m:r>
        <m:r>
          <m:rPr>
            <m:sty m:val="p"/>
          </m:rPr>
          <m:t>{</m:t>
        </m:r>
        <m:acc>
          <m:accPr>
            <m:chr m:val="̂"/>
          </m:accPr>
          <m:e>
            <m:r>
              <m:t>H</m:t>
            </m:r>
          </m:e>
        </m:acc>
        <m:r>
          <m:rPr>
            <m:sty m:val="p"/>
          </m:rPr>
          <m:t>&lt;</m:t>
        </m:r>
        <m:r>
          <m:t>660</m:t>
        </m:r>
        <m:r>
          <m:rPr>
            <m:sty m:val="p"/>
          </m:rPr>
          <m:t>}</m:t>
        </m:r>
      </m:oMath>
      <w:r>
        <w:rPr>
          <w:rFonts w:ascii="Times New Roman" w:hAnsi="Times New Roman" w:cs="Times New Roman" w:eastAsia="Times New Roman"/>
          <w:sz w:val="24"/>
        </w:rPr>
        <w:t xml:space="preserve">, interpreted only for origins</w:t>
      </w:r>
      <w:r>
        <w:rPr>
          <w:rFonts w:ascii="Times New Roman" w:hAnsi="Times New Roman" w:cs="Times New Roman" w:eastAsia="Times New Roman"/>
          <w:sz w:val="24"/>
        </w:rPr>
        <w:t xml:space="preserve"> </w:t>
      </w:r>
      <m:oMath>
        <m:r>
          <m:rPr>
            <m:sty m:val="p"/>
          </m:rPr>
          <m:t>≥</m:t>
        </m:r>
        <m:r>
          <m:t>2007</m:t>
        </m:r>
      </m:oMath>
      <w:r>
        <w:rPr>
          <w:rFonts w:ascii="Times New Roman" w:hAnsi="Times New Roman" w:cs="Times New Roman" w:eastAsia="Times New Roman"/>
          <w:sz w:val="24"/>
        </w:rPr>
        <w:t xml:space="preserve">; and the sign-hit rate of</w:t>
      </w:r>
      <w:r>
        <w:rPr>
          <w:rFonts w:ascii="Times New Roman" w:hAnsi="Times New Roman" w:cs="Times New Roman" w:eastAsia="Times New Roman"/>
          <w:sz w:val="24"/>
        </w:rPr>
        <w:t xml:space="preserve"> </w:t>
      </w:r>
      <m:oMath>
        <m:r>
          <m:t>Δ</m:t>
        </m:r>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fixed windows.</w:t>
      </w:r>
    </w:p>
    <w:p>
      <w:pPr>
        <w:pStyle w:val="BodyText"/>
        <w:spacing w:line="360" w:lineRule="auto" w:after="120"/>
        <w:ind w:firstLine="720"/>
        <w:jc w:val="both"/>
      </w:pPr>
      <w:r>
        <w:rPr>
          <w:rFonts w:ascii="Times New Roman" w:hAnsi="Times New Roman" w:cs="Times New Roman" w:eastAsia="Times New Roman"/>
          <w:sz w:val="24"/>
        </w:rPr>
        <w:t xml:space="preserve">Fixed windows:</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Drought of record, drawdown: train 1934–1950, test 1951–1956.</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Drought of record, recovery: train 1934–1956, test 1957–1961.</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Pre-permit wet interval: train 1980–1990, test 1991–1995.</w:t>
      </w:r>
    </w:p>
    <w:p>
      <w:pPr>
        <w:pStyle w:val="Compact"/>
        <w:numPr>
          <w:ilvl w:val="0"/>
          <w:numId w:val="1001"/>
        </w:numPr>
        <w:spacing w:line="360" w:lineRule="auto" w:after="80"/>
        <w:ind w:firstLine="0"/>
        <w:jc w:val="left"/>
      </w:pPr>
      <w:r>
        <w:rPr>
          <w:rFonts w:ascii="Times New Roman" w:hAnsi="Times New Roman" w:cs="Times New Roman" w:eastAsia="Times New Roman"/>
          <w:sz w:val="24"/>
        </w:rPr>
        <w:t xml:space="preserve">Critical-period era: train 1997–2014, test 2015–2023.</w:t>
      </w:r>
    </w:p>
    <w:p>
      <w:pPr>
        <w:pStyle w:val="FirstParagraph"/>
        <w:spacing w:line="360" w:lineRule="auto" w:after="120"/>
        <w:ind w:firstLine="720"/>
        <w:jc w:val="both"/>
      </w:pPr>
      <w:r>
        <w:rPr>
          <w:rFonts w:ascii="Times New Roman" w:hAnsi="Times New Roman" w:cs="Times New Roman" w:eastAsia="Times New Roman"/>
          <w:sz w:val="24"/>
        </w:rPr>
        <w:t xml:space="preserve">Rolling origin: minimum 15 training years; horizons</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n</m:t>
        </m:r>
        <m:r>
          <m:rPr>
            <m:sty m:val="p"/>
          </m:rPr>
          <m:t>=</m:t>
        </m:r>
        <m:r>
          <m:t>75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n</m:t>
        </m:r>
        <m:r>
          <m:rPr>
            <m:sty m:val="p"/>
          </m:rPr>
          <m:t>=</m:t>
        </m:r>
        <m:r>
          <m:t>71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respectively.</w:t>
      </w:r>
    </w:p>
    <w:p>
      <w:pPr>
        <w:pStyle w:val="BodyText"/>
        <w:spacing w:line="360" w:lineRule="auto" w:after="120"/>
        <w:ind w:firstLine="720"/>
        <w:jc w:val="both"/>
      </w:pPr>
      <w:r>
        <w:rPr>
          <w:rFonts w:ascii="Times New Roman" w:hAnsi="Times New Roman" w:cs="Times New Roman" w:eastAsia="Times New Roman"/>
          <w:sz w:val="24"/>
        </w:rPr>
        <w:t xml:space="preserve">A causal module is retained only if its primary RMSE is strictly less than that of persistence and strictly less than that of the next-simpler causal model. Diagnostic oracles are excluded from retention. The Comal series is excluded from retention. Retention is decided on</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the service series is scored after that decision is frozen.</w:t>
      </w:r>
    </w:p>
    <w:p>
      <w:pPr>
        <w:pStyle w:val="BodyText"/>
        <w:spacing w:line="360" w:lineRule="auto" w:after="120"/>
        <w:ind w:firstLine="720"/>
        <w:jc w:val="both"/>
      </w:pPr>
      <w:r>
        <w:rPr>
          <w:rFonts w:ascii="Times New Roman" w:hAnsi="Times New Roman" w:cs="Times New Roman" w:eastAsia="Times New Roman"/>
          <w:sz w:val="24"/>
        </w:rPr>
        <w:t xml:space="preserve">The scoring protocols for Pass 1 and Pass 2 were frozen and dated (2026-08-25) before the corresponding RMSE tables were computed; the frozen protocol documents are archived with the analysis code. The design is a fixed computational protocol rather than a prospective clinical-style registration.</w:t>
      </w:r>
    </w:p>
    <w:bookmarkEnd w:id="24"/>
    <w:bookmarkStart w:id="45" w:name="results"/>
    <w:p>
      <w:pPr>
        <w:pStyle w:val="Heading1"/>
        <w:spacing w:before="360" w:after="120" w:line="360" w:lineRule="auto"/>
        <w:ind w:firstLine="0" w:left="0"/>
        <w:jc w:val="left"/>
      </w:pPr>
      <w:r>
        <w:rPr>
          <w:rFonts w:ascii="Times New Roman" w:hAnsi="Times New Roman" w:cs="Times New Roman" w:eastAsia="Times New Roman"/>
          <w:b/>
          <w:sz w:val="28"/>
        </w:rPr>
        <w:t xml:space="preserve">5. Results</w:t>
      </w:r>
    </w:p>
    <w:bookmarkStart w:id="28" w:name="series"/>
    <w:p>
      <w:pPr>
        <w:pStyle w:val="Heading2"/>
        <w:spacing w:before="240" w:after="120" w:line="360" w:lineRule="auto"/>
        <w:ind w:firstLine="0" w:left="0"/>
        <w:jc w:val="left"/>
      </w:pPr>
      <w:r>
        <w:rPr>
          <w:rFonts w:ascii="Times New Roman" w:hAnsi="Times New Roman" w:cs="Times New Roman" w:eastAsia="Times New Roman"/>
          <w:b/>
          <w:sz w:val="24"/>
        </w:rPr>
        <w:t xml:space="preserve">5.1 Series</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800937"/>
            <wp:effectExtent b="0" l="0" r="0" t="0"/>
            <wp:docPr descr="Figure 1" title="" id="26" name="Picture"/>
            <a:graphic>
              <a:graphicData uri="http://schemas.openxmlformats.org/drawingml/2006/picture">
                <pic:pic>
                  <pic:nvPicPr>
                    <pic:cNvPr descr="fig1_series.png" id="27" name="Picture"/>
                    <pic:cNvPicPr>
                      <a:picLocks noChangeArrowheads="1" noChangeAspect="1"/>
                    </pic:cNvPicPr>
                  </pic:nvPicPr>
                  <pic:blipFill>
                    <a:blip r:embed="rId25"/>
                    <a:stretch>
                      <a:fillRect/>
                    </a:stretch>
                  </pic:blipFill>
                  <pic:spPr bwMode="auto">
                    <a:xfrm>
                      <a:off x="0" y="0"/>
                      <a:ext cx="5334000" cy="2800937"/>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1</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J-17 annual mean and daily-high range. 1956 mean</w:t>
      </w:r>
      <w:r>
        <w:rPr>
          <w:rFonts w:ascii="Times New Roman" w:hAnsi="Times New Roman" w:cs="Times New Roman" w:eastAsia="Times New Roman"/>
          <w:sz w:val="20"/>
        </w:rPr>
        <w:t xml:space="preserve"> </w:t>
      </w:r>
      <m:oMath>
        <m:r>
          <m:t>623.15</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ft, daily minimum</w:t>
      </w:r>
      <w:r>
        <w:rPr>
          <w:rFonts w:ascii="Times New Roman" w:hAnsi="Times New Roman" w:cs="Times New Roman" w:eastAsia="Times New Roman"/>
          <w:sz w:val="20"/>
        </w:rPr>
        <w:t xml:space="preserve"> </w:t>
      </w:r>
      <m:oMath>
        <m:r>
          <m:t>612.51</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ft. 1992 mean</w:t>
      </w:r>
      <w:r>
        <w:rPr>
          <w:rFonts w:ascii="Times New Roman" w:hAnsi="Times New Roman" w:cs="Times New Roman" w:eastAsia="Times New Roman"/>
          <w:sz w:val="20"/>
        </w:rPr>
        <w:t xml:space="preserve"> </w:t>
      </w:r>
      <m:oMath>
        <m:r>
          <m:t>691.96</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ft, daily maximum</w:t>
      </w:r>
      <w:r>
        <w:rPr>
          <w:rFonts w:ascii="Times New Roman" w:hAnsi="Times New Roman" w:cs="Times New Roman" w:eastAsia="Times New Roman"/>
          <w:sz w:val="20"/>
        </w:rPr>
        <w:t xml:space="preserve"> </w:t>
      </w:r>
      <m:oMath>
        <m:r>
          <m:t>703.31</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ft. 2023 mean</w:t>
      </w:r>
      <w:r>
        <w:rPr>
          <w:rFonts w:ascii="Times New Roman" w:hAnsi="Times New Roman" w:cs="Times New Roman" w:eastAsia="Times New Roman"/>
          <w:sz w:val="20"/>
        </w:rPr>
        <w:t xml:space="preserve"> </w:t>
      </w:r>
      <m:oMath>
        <m:r>
          <m:t>635.68</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ft. Annual mean is below 660 ft in 31 of 90 years. Daily minimum is below 618 ft in one year (1956).</w:t>
      </w:r>
    </w:p>
    <w:bookmarkEnd w:id="28"/>
    <w:bookmarkStart w:id="32" w:name="fixed-windows"/>
    <w:p>
      <w:pPr>
        <w:pStyle w:val="Heading2"/>
        <w:spacing w:before="240" w:after="120" w:line="360" w:lineRule="auto"/>
        <w:ind w:firstLine="0" w:left="0"/>
        <w:jc w:val="left"/>
      </w:pPr>
      <w:r>
        <w:rPr>
          <w:rFonts w:ascii="Times New Roman" w:hAnsi="Times New Roman" w:cs="Times New Roman" w:eastAsia="Times New Roman"/>
          <w:b/>
          <w:sz w:val="24"/>
        </w:rPr>
        <w:t xml:space="preserve">5.2 Fixed windows</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3607250"/>
            <wp:effectExtent b="0" l="0" r="0" t="0"/>
            <wp:docPr descr="Figure 2" title="" id="30" name="Picture"/>
            <a:graphic>
              <a:graphicData uri="http://schemas.openxmlformats.org/drawingml/2006/picture">
                <pic:pic>
                  <pic:nvPicPr>
                    <pic:cNvPr descr="fig2_windows.png" id="31" name="Picture"/>
                    <pic:cNvPicPr>
                      <a:picLocks noChangeArrowheads="1" noChangeAspect="1"/>
                    </pic:cNvPicPr>
                  </pic:nvPicPr>
                  <pic:blipFill>
                    <a:blip r:embed="rId29"/>
                    <a:stretch>
                      <a:fillRect/>
                    </a:stretch>
                  </pic:blipFill>
                  <pic:spPr bwMode="auto">
                    <a:xfrm>
                      <a:off x="0" y="0"/>
                      <a:ext cx="5334000" cy="3607250"/>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2</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2.</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Multi-step forecasts from the end of each training window. The oracle (dashed) is diagnostic.</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3.</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Fixed-window RMSE (ft).</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678"/>
        <w:gridCol w:w="905"/>
        <w:gridCol w:w="905"/>
        <w:gridCol w:w="905"/>
        <w:gridCol w:w="905"/>
        <w:gridCol w:w="905"/>
        <w:gridCol w:w="905"/>
        <w:gridCol w:w="905"/>
        <w:gridCol w:w="905"/>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Window</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persist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mean</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M1</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M2</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M2m</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M3</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M4</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oracle</w:t>
            </w:r>
          </w:p>
        </w:tc>
      </w:tr>
      <w:tr>
        <w:tc>
          <w:tcPr/>
          <w:p>
            <w:pPr>
              <w:pStyle w:val="Compact"/>
              <w:spacing w:line="240" w:lineRule="auto" w:after="40" w:before="40"/>
              <w:jc w:val="left"/>
            </w:pPr>
            <w:r>
              <w:rPr>
                <w:rFonts w:ascii="Times New Roman" w:hAnsi="Times New Roman" w:cs="Times New Roman" w:eastAsia="Times New Roman"/>
                <w:sz w:val="19"/>
              </w:rPr>
              <w:t xml:space="preserve">Drawdown 1951–56</w:t>
            </w:r>
          </w:p>
        </w:tc>
        <w:tc>
          <w:tcPr/>
          <w:p>
            <w:pPr>
              <w:pStyle w:val="Compact"/>
              <w:spacing w:line="240" w:lineRule="auto" w:after="40" w:before="40"/>
              <w:jc w:val="left"/>
            </w:pPr>
            <w:r>
              <w:rPr>
                <w:rFonts w:ascii="Times New Roman" w:hAnsi="Times New Roman" w:cs="Times New Roman" w:eastAsia="Times New Roman"/>
                <w:sz w:val="19"/>
              </w:rPr>
              <w:t xml:space="preserve">23.75</w:t>
            </w:r>
          </w:p>
        </w:tc>
        <w:tc>
          <w:tcPr/>
          <w:p>
            <w:pPr>
              <w:pStyle w:val="Compact"/>
              <w:spacing w:line="240" w:lineRule="auto" w:after="40" w:before="40"/>
              <w:jc w:val="left"/>
            </w:pPr>
            <w:r>
              <w:rPr>
                <w:rFonts w:ascii="Times New Roman" w:hAnsi="Times New Roman" w:cs="Times New Roman" w:eastAsia="Times New Roman"/>
                <w:sz w:val="19"/>
              </w:rPr>
              <w:t xml:space="preserve">35.19</w:t>
            </w:r>
          </w:p>
        </w:tc>
        <w:tc>
          <w:tcPr/>
          <w:p>
            <w:pPr>
              <w:pStyle w:val="Compact"/>
              <w:spacing w:line="240" w:lineRule="auto" w:after="40" w:before="40"/>
              <w:jc w:val="left"/>
            </w:pPr>
            <w:r>
              <w:rPr>
                <w:rFonts w:ascii="Times New Roman" w:hAnsi="Times New Roman" w:cs="Times New Roman" w:eastAsia="Times New Roman"/>
                <w:sz w:val="19"/>
              </w:rPr>
              <w:t xml:space="preserve">30.94</w:t>
            </w:r>
          </w:p>
        </w:tc>
        <w:tc>
          <w:tcPr/>
          <w:p>
            <w:pPr>
              <w:pStyle w:val="Compact"/>
              <w:spacing w:line="240" w:lineRule="auto" w:after="40" w:before="40"/>
              <w:jc w:val="left"/>
            </w:pPr>
            <w:r>
              <w:rPr>
                <w:rFonts w:ascii="Times New Roman" w:hAnsi="Times New Roman" w:cs="Times New Roman" w:eastAsia="Times New Roman"/>
                <w:b/>
                <w:bCs/>
                <w:sz w:val="19"/>
              </w:rPr>
              <w:t xml:space="preserve">18.11</w:t>
            </w:r>
          </w:p>
        </w:tc>
        <w:tc>
          <w:tcPr/>
          <w:p>
            <w:pPr>
              <w:pStyle w:val="Compact"/>
              <w:spacing w:line="240" w:lineRule="auto" w:after="40" w:before="40"/>
              <w:jc w:val="left"/>
            </w:pPr>
            <w:r>
              <w:rPr>
                <w:rFonts w:ascii="Times New Roman" w:hAnsi="Times New Roman" w:cs="Times New Roman" w:eastAsia="Times New Roman"/>
                <w:sz w:val="19"/>
              </w:rPr>
              <w:t xml:space="preserve">27.44</w:t>
            </w:r>
          </w:p>
        </w:tc>
        <w:tc>
          <w:tcPr/>
          <w:p>
            <w:pPr>
              <w:pStyle w:val="Compact"/>
              <w:spacing w:line="240" w:lineRule="auto" w:after="40" w:before="40"/>
              <w:jc w:val="left"/>
            </w:pPr>
            <w:r>
              <w:rPr>
                <w:rFonts w:ascii="Times New Roman" w:hAnsi="Times New Roman" w:cs="Times New Roman" w:eastAsia="Times New Roman"/>
                <w:sz w:val="19"/>
              </w:rPr>
              <w:t xml:space="preserve">18.12</w:t>
            </w:r>
          </w:p>
        </w:tc>
        <w:tc>
          <w:tcPr/>
          <w:p>
            <w:pPr>
              <w:pStyle w:val="Compact"/>
              <w:spacing w:line="240" w:lineRule="auto" w:after="40" w:before="40"/>
              <w:jc w:val="left"/>
            </w:pPr>
            <w:r>
              <w:rPr>
                <w:rFonts w:ascii="Times New Roman" w:hAnsi="Times New Roman" w:cs="Times New Roman" w:eastAsia="Times New Roman"/>
                <w:sz w:val="19"/>
              </w:rPr>
              <w:t xml:space="preserve">18.23</w:t>
            </w:r>
          </w:p>
        </w:tc>
        <w:tc>
          <w:tcPr/>
          <w:p>
            <w:pPr>
              <w:pStyle w:val="Compact"/>
              <w:spacing w:line="240" w:lineRule="auto" w:after="40" w:before="40"/>
              <w:jc w:val="left"/>
            </w:pPr>
            <w:r>
              <w:rPr>
                <w:rFonts w:ascii="Times New Roman" w:hAnsi="Times New Roman" w:cs="Times New Roman" w:eastAsia="Times New Roman"/>
                <w:sz w:val="19"/>
              </w:rPr>
              <w:t xml:space="preserve">19.69</w:t>
            </w:r>
          </w:p>
        </w:tc>
      </w:tr>
      <w:tr>
        <w:tc>
          <w:tcPr/>
          <w:p>
            <w:pPr>
              <w:pStyle w:val="Compact"/>
              <w:spacing w:line="240" w:lineRule="auto" w:after="40" w:before="40"/>
              <w:jc w:val="left"/>
            </w:pPr>
            <w:r>
              <w:rPr>
                <w:rFonts w:ascii="Times New Roman" w:hAnsi="Times New Roman" w:cs="Times New Roman" w:eastAsia="Times New Roman"/>
                <w:sz w:val="19"/>
              </w:rPr>
              <w:t xml:space="preserve">Recovery 1957–61</w:t>
            </w:r>
          </w:p>
        </w:tc>
        <w:tc>
          <w:tcPr/>
          <w:p>
            <w:pPr>
              <w:pStyle w:val="Compact"/>
              <w:spacing w:line="240" w:lineRule="auto" w:after="40" w:before="40"/>
              <w:jc w:val="left"/>
            </w:pPr>
            <w:r>
              <w:rPr>
                <w:rFonts w:ascii="Times New Roman" w:hAnsi="Times New Roman" w:cs="Times New Roman" w:eastAsia="Times New Roman"/>
                <w:sz w:val="19"/>
              </w:rPr>
              <w:t xml:space="preserve">43.62</w:t>
            </w:r>
          </w:p>
        </w:tc>
        <w:tc>
          <w:tcPr/>
          <w:p>
            <w:pPr>
              <w:pStyle w:val="Compact"/>
              <w:spacing w:line="240" w:lineRule="auto" w:after="40" w:before="40"/>
              <w:jc w:val="left"/>
            </w:pPr>
            <w:r>
              <w:rPr>
                <w:rFonts w:ascii="Times New Roman" w:hAnsi="Times New Roman" w:cs="Times New Roman" w:eastAsia="Times New Roman"/>
                <w:sz w:val="19"/>
              </w:rPr>
              <w:t xml:space="preserve">14.07</w:t>
            </w:r>
          </w:p>
        </w:tc>
        <w:tc>
          <w:tcPr/>
          <w:p>
            <w:pPr>
              <w:pStyle w:val="Compact"/>
              <w:spacing w:line="240" w:lineRule="auto" w:after="40" w:before="40"/>
              <w:jc w:val="left"/>
            </w:pPr>
            <w:r>
              <w:rPr>
                <w:rFonts w:ascii="Times New Roman" w:hAnsi="Times New Roman" w:cs="Times New Roman" w:eastAsia="Times New Roman"/>
                <w:sz w:val="19"/>
              </w:rPr>
              <w:t xml:space="preserve">56.24</w:t>
            </w:r>
          </w:p>
        </w:tc>
        <w:tc>
          <w:tcPr/>
          <w:p>
            <w:pPr>
              <w:pStyle w:val="Compact"/>
              <w:spacing w:line="240" w:lineRule="auto" w:after="40" w:before="40"/>
              <w:jc w:val="left"/>
            </w:pPr>
            <w:r>
              <w:rPr>
                <w:rFonts w:ascii="Times New Roman" w:hAnsi="Times New Roman" w:cs="Times New Roman" w:eastAsia="Times New Roman"/>
                <w:sz w:val="19"/>
              </w:rPr>
              <w:t xml:space="preserve">55.32</w:t>
            </w:r>
          </w:p>
        </w:tc>
        <w:tc>
          <w:tcPr/>
          <w:p>
            <w:pPr>
              <w:pStyle w:val="Compact"/>
              <w:spacing w:line="240" w:lineRule="auto" w:after="40" w:before="40"/>
              <w:jc w:val="left"/>
            </w:pPr>
            <w:r>
              <w:rPr>
                <w:rFonts w:ascii="Times New Roman" w:hAnsi="Times New Roman" w:cs="Times New Roman" w:eastAsia="Times New Roman"/>
                <w:sz w:val="19"/>
              </w:rPr>
              <w:t xml:space="preserve">37.74</w:t>
            </w:r>
          </w:p>
        </w:tc>
        <w:tc>
          <w:tcPr/>
          <w:p>
            <w:pPr>
              <w:pStyle w:val="Compact"/>
              <w:spacing w:line="240" w:lineRule="auto" w:after="40" w:before="40"/>
              <w:jc w:val="left"/>
            </w:pPr>
            <w:r>
              <w:rPr>
                <w:rFonts w:ascii="Times New Roman" w:hAnsi="Times New Roman" w:cs="Times New Roman" w:eastAsia="Times New Roman"/>
                <w:sz w:val="19"/>
              </w:rPr>
              <w:t xml:space="preserve">55.28</w:t>
            </w:r>
          </w:p>
        </w:tc>
        <w:tc>
          <w:tcPr/>
          <w:p>
            <w:pPr>
              <w:pStyle w:val="Compact"/>
              <w:spacing w:line="240" w:lineRule="auto" w:after="40" w:before="40"/>
              <w:jc w:val="left"/>
            </w:pPr>
            <w:r>
              <w:rPr>
                <w:rFonts w:ascii="Times New Roman" w:hAnsi="Times New Roman" w:cs="Times New Roman" w:eastAsia="Times New Roman"/>
                <w:sz w:val="19"/>
              </w:rPr>
              <w:t xml:space="preserve">55.12</w:t>
            </w:r>
          </w:p>
        </w:tc>
        <w:tc>
          <w:tcPr/>
          <w:p>
            <w:pPr>
              <w:pStyle w:val="Compact"/>
              <w:spacing w:line="240" w:lineRule="auto" w:after="40" w:before="40"/>
              <w:jc w:val="left"/>
            </w:pPr>
            <w:r>
              <w:rPr>
                <w:rFonts w:ascii="Times New Roman" w:hAnsi="Times New Roman" w:cs="Times New Roman" w:eastAsia="Times New Roman"/>
                <w:b/>
                <w:bCs/>
                <w:sz w:val="19"/>
              </w:rPr>
              <w:t xml:space="preserve">12.26</w:t>
            </w:r>
          </w:p>
        </w:tc>
      </w:tr>
      <w:tr>
        <w:tc>
          <w:tcPr/>
          <w:p>
            <w:pPr>
              <w:pStyle w:val="Compact"/>
              <w:spacing w:line="240" w:lineRule="auto" w:after="40" w:before="40"/>
              <w:jc w:val="left"/>
            </w:pPr>
            <w:r>
              <w:rPr>
                <w:rFonts w:ascii="Times New Roman" w:hAnsi="Times New Roman" w:cs="Times New Roman" w:eastAsia="Times New Roman"/>
                <w:sz w:val="19"/>
              </w:rPr>
              <w:t xml:space="preserve">Pre-permit wet 1991–95</w:t>
            </w:r>
          </w:p>
        </w:tc>
        <w:tc>
          <w:tcPr/>
          <w:p>
            <w:pPr>
              <w:pStyle w:val="Compact"/>
              <w:spacing w:line="240" w:lineRule="auto" w:after="40" w:before="40"/>
              <w:jc w:val="left"/>
            </w:pPr>
            <w:r>
              <w:rPr>
                <w:rFonts w:ascii="Times New Roman" w:hAnsi="Times New Roman" w:cs="Times New Roman" w:eastAsia="Times New Roman"/>
                <w:sz w:val="19"/>
              </w:rPr>
              <w:t xml:space="preserve">30.13</w:t>
            </w:r>
          </w:p>
        </w:tc>
        <w:tc>
          <w:tcPr/>
          <w:p>
            <w:pPr>
              <w:pStyle w:val="Compact"/>
              <w:spacing w:line="240" w:lineRule="auto" w:after="40" w:before="40"/>
              <w:jc w:val="left"/>
            </w:pPr>
            <w:r>
              <w:rPr>
                <w:rFonts w:ascii="Times New Roman" w:hAnsi="Times New Roman" w:cs="Times New Roman" w:eastAsia="Times New Roman"/>
                <w:sz w:val="19"/>
              </w:rPr>
              <w:t xml:space="preserve">18.24</w:t>
            </w:r>
          </w:p>
        </w:tc>
        <w:tc>
          <w:tcPr/>
          <w:p>
            <w:pPr>
              <w:pStyle w:val="Compact"/>
              <w:spacing w:line="240" w:lineRule="auto" w:after="40" w:before="40"/>
              <w:jc w:val="left"/>
            </w:pPr>
            <w:r>
              <w:rPr>
                <w:rFonts w:ascii="Times New Roman" w:hAnsi="Times New Roman" w:cs="Times New Roman" w:eastAsia="Times New Roman"/>
                <w:sz w:val="19"/>
              </w:rPr>
              <w:t xml:space="preserve">20.02</w:t>
            </w:r>
          </w:p>
        </w:tc>
        <w:tc>
          <w:tcPr/>
          <w:p>
            <w:pPr>
              <w:pStyle w:val="Compact"/>
              <w:spacing w:line="240" w:lineRule="auto" w:after="40" w:before="40"/>
              <w:jc w:val="left"/>
            </w:pPr>
            <w:r>
              <w:rPr>
                <w:rFonts w:ascii="Times New Roman" w:hAnsi="Times New Roman" w:cs="Times New Roman" w:eastAsia="Times New Roman"/>
                <w:sz w:val="19"/>
              </w:rPr>
              <w:t xml:space="preserve">16.67</w:t>
            </w:r>
          </w:p>
        </w:tc>
        <w:tc>
          <w:tcPr/>
          <w:p>
            <w:pPr>
              <w:pStyle w:val="Compact"/>
              <w:spacing w:line="240" w:lineRule="auto" w:after="40" w:before="40"/>
              <w:jc w:val="left"/>
            </w:pPr>
            <w:r>
              <w:rPr>
                <w:rFonts w:ascii="Times New Roman" w:hAnsi="Times New Roman" w:cs="Times New Roman" w:eastAsia="Times New Roman"/>
                <w:sz w:val="19"/>
              </w:rPr>
              <w:t xml:space="preserve">23.47</w:t>
            </w:r>
          </w:p>
        </w:tc>
        <w:tc>
          <w:tcPr/>
          <w:p>
            <w:pPr>
              <w:pStyle w:val="Compact"/>
              <w:spacing w:line="240" w:lineRule="auto" w:after="40" w:before="40"/>
              <w:jc w:val="left"/>
            </w:pPr>
            <w:r>
              <w:rPr>
                <w:rFonts w:ascii="Times New Roman" w:hAnsi="Times New Roman" w:cs="Times New Roman" w:eastAsia="Times New Roman"/>
                <w:sz w:val="19"/>
              </w:rPr>
              <w:t xml:space="preserve">16.41</w:t>
            </w:r>
          </w:p>
        </w:tc>
        <w:tc>
          <w:tcPr/>
          <w:p>
            <w:pPr>
              <w:pStyle w:val="Compact"/>
              <w:spacing w:line="240" w:lineRule="auto" w:after="40" w:before="40"/>
              <w:jc w:val="left"/>
            </w:pPr>
            <w:r>
              <w:rPr>
                <w:rFonts w:ascii="Times New Roman" w:hAnsi="Times New Roman" w:cs="Times New Roman" w:eastAsia="Times New Roman"/>
                <w:sz w:val="19"/>
              </w:rPr>
              <w:t xml:space="preserve">15.26</w:t>
            </w:r>
          </w:p>
        </w:tc>
        <w:tc>
          <w:tcPr/>
          <w:p>
            <w:pPr>
              <w:pStyle w:val="Compact"/>
              <w:spacing w:line="240" w:lineRule="auto" w:after="40" w:before="40"/>
              <w:jc w:val="left"/>
            </w:pPr>
            <w:r>
              <w:rPr>
                <w:rFonts w:ascii="Times New Roman" w:hAnsi="Times New Roman" w:cs="Times New Roman" w:eastAsia="Times New Roman"/>
                <w:b/>
                <w:bCs/>
                <w:sz w:val="19"/>
              </w:rPr>
              <w:t xml:space="preserve">7.18</w:t>
            </w:r>
          </w:p>
        </w:tc>
      </w:tr>
      <w:tr>
        <w:tc>
          <w:tcPr/>
          <w:p>
            <w:pPr>
              <w:pStyle w:val="Compact"/>
              <w:spacing w:line="240" w:lineRule="auto" w:after="40" w:before="40"/>
              <w:jc w:val="left"/>
            </w:pPr>
            <w:r>
              <w:rPr>
                <w:rFonts w:ascii="Times New Roman" w:hAnsi="Times New Roman" w:cs="Times New Roman" w:eastAsia="Times New Roman"/>
                <w:sz w:val="19"/>
              </w:rPr>
              <w:t xml:space="preserve">Critical-period era 2015–23</w:t>
            </w:r>
          </w:p>
        </w:tc>
        <w:tc>
          <w:tcPr/>
          <w:p>
            <w:pPr>
              <w:pStyle w:val="Compact"/>
              <w:spacing w:line="240" w:lineRule="auto" w:after="40" w:before="40"/>
              <w:jc w:val="left"/>
            </w:pPr>
            <w:r>
              <w:rPr>
                <w:rFonts w:ascii="Times New Roman" w:hAnsi="Times New Roman" w:cs="Times New Roman" w:eastAsia="Times New Roman"/>
                <w:sz w:val="19"/>
              </w:rPr>
              <w:t xml:space="preserve">27.41</w:t>
            </w:r>
          </w:p>
        </w:tc>
        <w:tc>
          <w:tcPr/>
          <w:p>
            <w:pPr>
              <w:pStyle w:val="Compact"/>
              <w:spacing w:line="240" w:lineRule="auto" w:after="40" w:before="40"/>
              <w:jc w:val="left"/>
            </w:pPr>
            <w:r>
              <w:rPr>
                <w:rFonts w:ascii="Times New Roman" w:hAnsi="Times New Roman" w:cs="Times New Roman" w:eastAsia="Times New Roman"/>
                <w:sz w:val="19"/>
              </w:rPr>
              <w:t xml:space="preserve">14.77</w:t>
            </w:r>
          </w:p>
        </w:tc>
        <w:tc>
          <w:tcPr/>
          <w:p>
            <w:pPr>
              <w:pStyle w:val="Compact"/>
              <w:spacing w:line="240" w:lineRule="auto" w:after="40" w:before="40"/>
              <w:jc w:val="left"/>
            </w:pPr>
            <w:r>
              <w:rPr>
                <w:rFonts w:ascii="Times New Roman" w:hAnsi="Times New Roman" w:cs="Times New Roman" w:eastAsia="Times New Roman"/>
                <w:sz w:val="19"/>
              </w:rPr>
              <w:t xml:space="preserve">15.62</w:t>
            </w:r>
          </w:p>
        </w:tc>
        <w:tc>
          <w:tcPr/>
          <w:p>
            <w:pPr>
              <w:pStyle w:val="Compact"/>
              <w:spacing w:line="240" w:lineRule="auto" w:after="40" w:before="40"/>
              <w:jc w:val="left"/>
            </w:pPr>
            <w:r>
              <w:rPr>
                <w:rFonts w:ascii="Times New Roman" w:hAnsi="Times New Roman" w:cs="Times New Roman" w:eastAsia="Times New Roman"/>
                <w:sz w:val="19"/>
              </w:rPr>
              <w:t xml:space="preserve">23.37</w:t>
            </w:r>
          </w:p>
        </w:tc>
        <w:tc>
          <w:tcPr/>
          <w:p>
            <w:pPr>
              <w:pStyle w:val="Compact"/>
              <w:spacing w:line="240" w:lineRule="auto" w:after="40" w:before="40"/>
              <w:jc w:val="left"/>
            </w:pPr>
            <w:r>
              <w:rPr>
                <w:rFonts w:ascii="Times New Roman" w:hAnsi="Times New Roman" w:cs="Times New Roman" w:eastAsia="Times New Roman"/>
                <w:sz w:val="19"/>
              </w:rPr>
              <w:t xml:space="preserve">14.79</w:t>
            </w:r>
          </w:p>
        </w:tc>
        <w:tc>
          <w:tcPr/>
          <w:p>
            <w:pPr>
              <w:pStyle w:val="Compact"/>
              <w:spacing w:line="240" w:lineRule="auto" w:after="40" w:before="40"/>
              <w:jc w:val="left"/>
            </w:pPr>
            <w:r>
              <w:rPr>
                <w:rFonts w:ascii="Times New Roman" w:hAnsi="Times New Roman" w:cs="Times New Roman" w:eastAsia="Times New Roman"/>
                <w:sz w:val="19"/>
              </w:rPr>
              <w:t xml:space="preserve">22.84</w:t>
            </w:r>
          </w:p>
        </w:tc>
        <w:tc>
          <w:tcPr/>
          <w:p>
            <w:pPr>
              <w:pStyle w:val="Compact"/>
              <w:spacing w:line="240" w:lineRule="auto" w:after="40" w:before="40"/>
              <w:jc w:val="left"/>
            </w:pPr>
            <w:r>
              <w:rPr>
                <w:rFonts w:ascii="Times New Roman" w:hAnsi="Times New Roman" w:cs="Times New Roman" w:eastAsia="Times New Roman"/>
                <w:sz w:val="19"/>
              </w:rPr>
              <w:t xml:space="preserve">22.17</w:t>
            </w:r>
          </w:p>
        </w:tc>
        <w:tc>
          <w:tcPr/>
          <w:p>
            <w:pPr>
              <w:pStyle w:val="Compact"/>
              <w:spacing w:line="240" w:lineRule="auto" w:after="40" w:before="40"/>
              <w:jc w:val="left"/>
            </w:pPr>
            <w:r>
              <w:rPr>
                <w:rFonts w:ascii="Times New Roman" w:hAnsi="Times New Roman" w:cs="Times New Roman" w:eastAsia="Times New Roman"/>
                <w:b/>
                <w:bCs/>
                <w:sz w:val="19"/>
              </w:rPr>
              <w:t xml:space="preserve">8.70</w:t>
            </w:r>
          </w:p>
        </w:tc>
      </w:tr>
    </w:tbl>
    <w:p>
      <w:pPr>
        <w:pStyle w:val="BodyText"/>
        <w:spacing w:line="360" w:lineRule="auto" w:after="120"/>
        <w:ind w:firstLine="720"/>
        <w:jc w:val="both"/>
      </w:pPr>
      <w:r>
        <w:rPr>
          <w:rFonts w:ascii="Times New Roman" w:hAnsi="Times New Roman" w:cs="Times New Roman" w:eastAsia="Times New Roman"/>
          <w:sz w:val="24"/>
        </w:rPr>
        <w:t xml:space="preserve">Bold marks the best model of the window (on the drawdown window the best causal model, M2, also beats the oracle). The train-mean baseline is the best non-oracle forecast on the recovery window (14.07 ft) and on the critical-period era (14.77 ft), consistent with its rolling five-year win; the residual-persistence rungs M3/M4 track M2 on the drawdown (18.12/18.23 versus 18.11 ft), M4 is the best causal model on the pre-permit wet window (15.26 ft), and both fail with the causal family on the recovery and critical-period windows.</w:t>
      </w:r>
    </w:p>
    <w:p>
      <w:pPr>
        <w:pStyle w:val="BodyText"/>
        <w:spacing w:line="360" w:lineRule="auto" w:after="120"/>
        <w:ind w:firstLine="720"/>
        <w:jc w:val="both"/>
      </w:pPr>
      <w:r>
        <w:rPr>
          <w:rFonts w:ascii="Times New Roman" w:hAnsi="Times New Roman" w:cs="Times New Roman" w:eastAsia="Times New Roman"/>
          <w:sz w:val="24"/>
        </w:rPr>
        <w:t xml:space="preserve">The 1950s drawdown is a continuing low-recharge path. The last observed</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already low, so causal M2 has lower RMSE than persistence (18 versus 24 ft) and also lower RMSE than the oracle. The linear map trained on 1934–1950 has the wrong sign on pumpage (</w:t>
      </w:r>
      <m:oMath>
        <m:r>
          <m:t>γ</m:t>
        </m:r>
        <m:r>
          <m:rPr>
            <m:sty m:val="p"/>
          </m:rPr>
          <m:t>=</m:t>
        </m:r>
        <m:r>
          <m:rPr>
            <m:sty m:val="p"/>
          </m:rPr>
          <m:t>+</m:t>
        </m:r>
        <m:r>
          <m:t>0.021</m:t>
        </m:r>
      </m:oMath>
      <w:r>
        <w:rPr>
          <w:rFonts w:ascii="Times New Roman" w:hAnsi="Times New Roman" w:cs="Times New Roman" w:eastAsia="Times New Roman"/>
          <w:sz w:val="24"/>
        </w:rPr>
        <w:t xml:space="preserve">): pumping rose as the drought deepened, so the short window cannot identify a supply response.</w:t>
      </w:r>
    </w:p>
    <w:p>
      <w:pPr>
        <w:pStyle w:val="BodyText"/>
        <w:spacing w:line="360" w:lineRule="auto" w:after="120"/>
        <w:ind w:firstLine="720"/>
        <w:jc w:val="both"/>
      </w:pPr>
      <w:r>
        <w:rPr>
          <w:rFonts w:ascii="Times New Roman" w:hAnsi="Times New Roman" w:cs="Times New Roman" w:eastAsia="Times New Roman"/>
          <w:sz w:val="24"/>
        </w:rPr>
        <w:t xml:space="preserve">The 1957–61 recovery is a recharge pulse (</w:t>
      </w:r>
      <m:oMath>
        <m:sSub>
          <m:e>
            <m:r>
              <m:t>R</m:t>
            </m:r>
          </m:e>
          <m:sub>
            <m:r>
              <m:t>1956</m:t>
            </m:r>
          </m:sub>
        </m:sSub>
        <m:r>
          <m:rPr>
            <m:sty m:val="p"/>
          </m:rPr>
          <m:t>=</m:t>
        </m:r>
        <m:r>
          <m:t>43.7</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R</m:t>
            </m:r>
          </m:e>
          <m:sub>
            <m:r>
              <m:t>1957</m:t>
            </m:r>
          </m:sub>
        </m:sSub>
        <m:r>
          <m:rPr>
            <m:sty m:val="p"/>
          </m:rPr>
          <m:t>=</m:t>
        </m:r>
        <m:r>
          <m:t>1142.6</m:t>
        </m:r>
      </m:oMath>
      <w:r>
        <w:rPr>
          <w:rFonts w:ascii="Times New Roman" w:hAnsi="Times New Roman" w:cs="Times New Roman" w:eastAsia="Times New Roman"/>
          <w:sz w:val="24"/>
        </w:rPr>
        <w:t xml:space="preserve">). Persistence stays at the 1956 floor (RMSE 44 ft). Causal M2 persists drought recharge and falls further (RMSE 55 ft). The oracle, given the 1957 flood year, tracks the rise (RMSE 12 ft). Recoveries on this specification are recharge events, not autonomous mean reversion and not a change in the pumping regime.</w:t>
      </w:r>
    </w:p>
    <w:p>
      <w:pPr>
        <w:pStyle w:val="BodyText"/>
        <w:spacing w:line="360" w:lineRule="auto" w:after="120"/>
        <w:ind w:firstLine="720"/>
        <w:jc w:val="both"/>
      </w:pPr>
      <w:r>
        <w:rPr>
          <w:rFonts w:ascii="Times New Roman" w:hAnsi="Times New Roman" w:cs="Times New Roman" w:eastAsia="Times New Roman"/>
          <w:sz w:val="24"/>
        </w:rPr>
        <w:t xml:space="preserve">The 1992 peak and the 2015–23 window repeat the same split: the oracle follows the recharge year; persistence and persisted recharge do not.</w:t>
      </w:r>
    </w:p>
    <w:bookmarkEnd w:id="32"/>
    <w:bookmarkStart w:id="36" w:name="rolling-origin"/>
    <w:p>
      <w:pPr>
        <w:pStyle w:val="Heading2"/>
        <w:spacing w:before="240" w:after="120" w:line="360" w:lineRule="auto"/>
        <w:ind w:firstLine="0" w:left="0"/>
        <w:jc w:val="left"/>
      </w:pPr>
      <w:r>
        <w:rPr>
          <w:rFonts w:ascii="Times New Roman" w:hAnsi="Times New Roman" w:cs="Times New Roman" w:eastAsia="Times New Roman"/>
          <w:b/>
          <w:sz w:val="24"/>
        </w:rPr>
        <w:t xml:space="preserve">5.3 Rolling origin</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764335"/>
            <wp:effectExtent b="0" l="0" r="0" t="0"/>
            <wp:docPr descr="Figure 3" title="" id="34" name="Picture"/>
            <a:graphic>
              <a:graphicData uri="http://schemas.openxmlformats.org/drawingml/2006/picture">
                <pic:pic>
                  <pic:nvPicPr>
                    <pic:cNvPr descr="fig3_rmse.png" id="35" name="Picture"/>
                    <pic:cNvPicPr>
                      <a:picLocks noChangeArrowheads="1" noChangeAspect="1"/>
                    </pic:cNvPicPr>
                  </pic:nvPicPr>
                  <pic:blipFill>
                    <a:blip r:embed="rId33"/>
                    <a:stretch>
                      <a:fillRect/>
                    </a:stretch>
                  </pic:blipFill>
                  <pic:spPr bwMode="auto">
                    <a:xfrm>
                      <a:off x="0" y="0"/>
                      <a:ext cx="5334000" cy="2764335"/>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3</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3.</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Rolling-origin RMSE. The oracle is excluded from retention.</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4.</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Rolling-origin summary (ft).</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m:oMath>
              <m:r>
                <m:t>h</m:t>
              </m:r>
              <m:r>
                <m:rPr>
                  <m:sty m:val="p"/>
                </m:rPr>
                <m:t>=</m:t>
              </m:r>
              <m:r>
                <m:t>1</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RMSE</w:t>
            </w:r>
          </w:p>
        </w:tc>
        <w:tc>
          <w:tcPr>
            <w:tcBorders>
              <w:bottom w:val="single" w:sz="8" w:color="000000"/>
            </w:tcBorders>
          </w:tcPr>
          <w:p>
            <w:pPr>
              <w:pStyle w:val="Compact"/>
              <w:spacing w:line="240" w:lineRule="auto" w:after="40" w:before="40"/>
              <w:jc w:val="left"/>
            </w:pPr>
            <m:oMath>
              <m:r>
                <m:t>h</m:t>
              </m:r>
              <m:r>
                <m:rPr>
                  <m:sty m:val="p"/>
                </m:rPr>
                <m:t>=</m:t>
              </m:r>
              <m:r>
                <m:t>1</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MAE</w:t>
            </w:r>
          </w:p>
        </w:tc>
        <w:tc>
          <w:tcPr>
            <w:tcBorders>
              <w:bottom w:val="single" w:sz="8" w:color="000000"/>
            </w:tcBorders>
          </w:tcPr>
          <w:p>
            <w:pPr>
              <w:pStyle w:val="Compact"/>
              <w:spacing w:line="240" w:lineRule="auto" w:after="40" w:before="40"/>
              <w:jc w:val="left"/>
            </w:pPr>
            <m:oMath>
              <m:r>
                <m:t>h</m:t>
              </m:r>
              <m:r>
                <m:rPr>
                  <m:sty m:val="p"/>
                </m:rPr>
                <m:t>=</m:t>
              </m:r>
              <m:r>
                <m:t>5</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RMSE</w:t>
            </w:r>
          </w:p>
        </w:tc>
      </w:tr>
      <w:tr>
        <w:tc>
          <w:tcPr/>
          <w:p>
            <w:pPr>
              <w:pStyle w:val="Compact"/>
              <w:spacing w:line="240" w:lineRule="auto" w:after="40" w:before="40"/>
              <w:jc w:val="left"/>
            </w:pPr>
            <w:r>
              <w:rPr>
                <w:rFonts w:ascii="Times New Roman" w:hAnsi="Times New Roman" w:cs="Times New Roman" w:eastAsia="Times New Roman"/>
                <w:sz w:val="19"/>
              </w:rPr>
              <w:t xml:space="preserve">persist</w:t>
            </w:r>
          </w:p>
        </w:tc>
        <w:tc>
          <w:tcPr/>
          <w:p>
            <w:pPr>
              <w:pStyle w:val="Compact"/>
              <w:spacing w:line="240" w:lineRule="auto" w:after="40" w:before="40"/>
              <w:jc w:val="left"/>
            </w:pPr>
            <w:r>
              <w:rPr>
                <w:rFonts w:ascii="Times New Roman" w:hAnsi="Times New Roman" w:cs="Times New Roman" w:eastAsia="Times New Roman"/>
                <w:sz w:val="19"/>
              </w:rPr>
              <w:t xml:space="preserve">13.23</w:t>
            </w:r>
          </w:p>
        </w:tc>
        <w:tc>
          <w:tcPr/>
          <w:p>
            <w:pPr>
              <w:pStyle w:val="Compact"/>
              <w:spacing w:line="240" w:lineRule="auto" w:after="40" w:before="40"/>
              <w:jc w:val="left"/>
            </w:pPr>
            <w:r>
              <w:rPr>
                <w:rFonts w:ascii="Times New Roman" w:hAnsi="Times New Roman" w:cs="Times New Roman" w:eastAsia="Times New Roman"/>
                <w:sz w:val="19"/>
              </w:rPr>
              <w:t xml:space="preserve">10.73</w:t>
            </w:r>
          </w:p>
        </w:tc>
        <w:tc>
          <w:tcPr/>
          <w:p>
            <w:pPr>
              <w:pStyle w:val="Compact"/>
              <w:spacing w:line="240" w:lineRule="auto" w:after="40" w:before="40"/>
              <w:jc w:val="left"/>
            </w:pPr>
            <w:r>
              <w:rPr>
                <w:rFonts w:ascii="Times New Roman" w:hAnsi="Times New Roman" w:cs="Times New Roman" w:eastAsia="Times New Roman"/>
                <w:sz w:val="19"/>
              </w:rPr>
              <w:t xml:space="preserve">21.11</w:t>
            </w:r>
          </w:p>
        </w:tc>
      </w:tr>
      <w:tr>
        <w:tc>
          <w:tcPr/>
          <w:p>
            <w:pPr>
              <w:pStyle w:val="Compact"/>
              <w:spacing w:line="240" w:lineRule="auto" w:after="40" w:before="40"/>
              <w:jc w:val="left"/>
            </w:pPr>
            <w:r>
              <w:rPr>
                <w:rFonts w:ascii="Times New Roman" w:hAnsi="Times New Roman" w:cs="Times New Roman" w:eastAsia="Times New Roman"/>
                <w:sz w:val="19"/>
              </w:rPr>
              <w:t xml:space="preserve">mean</w:t>
            </w:r>
          </w:p>
        </w:tc>
        <w:tc>
          <w:tcPr/>
          <w:p>
            <w:pPr>
              <w:pStyle w:val="Compact"/>
              <w:spacing w:line="240" w:lineRule="auto" w:after="40" w:before="40"/>
              <w:jc w:val="left"/>
            </w:pPr>
            <w:r>
              <w:rPr>
                <w:rFonts w:ascii="Times New Roman" w:hAnsi="Times New Roman" w:cs="Times New Roman" w:eastAsia="Times New Roman"/>
                <w:sz w:val="19"/>
              </w:rPr>
              <w:t xml:space="preserve">16.17</w:t>
            </w:r>
          </w:p>
        </w:tc>
        <w:tc>
          <w:tcPr/>
          <w:p>
            <w:pPr>
              <w:pStyle w:val="Compact"/>
              <w:spacing w:line="240" w:lineRule="auto" w:after="40" w:before="40"/>
              <w:jc w:val="left"/>
            </w:pPr>
            <w:r>
              <w:rPr>
                <w:rFonts w:ascii="Times New Roman" w:hAnsi="Times New Roman" w:cs="Times New Roman" w:eastAsia="Times New Roman"/>
                <w:sz w:val="19"/>
              </w:rPr>
              <w:t xml:space="preserve">13.17</w:t>
            </w:r>
          </w:p>
        </w:tc>
        <w:tc>
          <w:tcPr/>
          <w:p>
            <w:pPr>
              <w:pStyle w:val="Compact"/>
              <w:spacing w:line="240" w:lineRule="auto" w:after="40" w:before="40"/>
              <w:jc w:val="left"/>
            </w:pPr>
            <w:r>
              <w:rPr>
                <w:rFonts w:ascii="Times New Roman" w:hAnsi="Times New Roman" w:cs="Times New Roman" w:eastAsia="Times New Roman"/>
                <w:b/>
                <w:bCs/>
                <w:sz w:val="19"/>
              </w:rPr>
              <w:t xml:space="preserve">16.80</w:t>
            </w:r>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12.84</w:t>
            </w:r>
          </w:p>
        </w:tc>
        <w:tc>
          <w:tcPr/>
          <w:p>
            <w:pPr>
              <w:pStyle w:val="Compact"/>
              <w:spacing w:line="240" w:lineRule="auto" w:after="40" w:before="40"/>
              <w:jc w:val="left"/>
            </w:pPr>
            <w:r>
              <w:rPr>
                <w:rFonts w:ascii="Times New Roman" w:hAnsi="Times New Roman" w:cs="Times New Roman" w:eastAsia="Times New Roman"/>
                <w:sz w:val="19"/>
              </w:rPr>
              <w:t xml:space="preserve">10.72</w:t>
            </w:r>
          </w:p>
        </w:tc>
        <w:tc>
          <w:tcPr/>
          <w:p>
            <w:pPr>
              <w:pStyle w:val="Compact"/>
              <w:spacing w:line="240" w:lineRule="auto" w:after="40" w:before="40"/>
              <w:jc w:val="left"/>
            </w:pPr>
            <w:r>
              <w:rPr>
                <w:rFonts w:ascii="Times New Roman" w:hAnsi="Times New Roman" w:cs="Times New Roman" w:eastAsia="Times New Roman"/>
                <w:sz w:val="19"/>
              </w:rPr>
              <w:t xml:space="preserve">21.25</w:t>
            </w:r>
          </w:p>
        </w:tc>
      </w:tr>
      <w:tr>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w:r>
              <w:rPr>
                <w:rFonts w:ascii="Times New Roman" w:hAnsi="Times New Roman" w:cs="Times New Roman" w:eastAsia="Times New Roman"/>
                <w:sz w:val="19"/>
              </w:rPr>
              <w:t xml:space="preserve">14.70</w:t>
            </w:r>
          </w:p>
        </w:tc>
        <w:tc>
          <w:tcPr/>
          <w:p>
            <w:pPr>
              <w:pStyle w:val="Compact"/>
              <w:spacing w:line="240" w:lineRule="auto" w:after="40" w:before="40"/>
              <w:jc w:val="left"/>
            </w:pPr>
            <w:r>
              <w:rPr>
                <w:rFonts w:ascii="Times New Roman" w:hAnsi="Times New Roman" w:cs="Times New Roman" w:eastAsia="Times New Roman"/>
                <w:sz w:val="19"/>
              </w:rPr>
              <w:t xml:space="preserve">11.45</w:t>
            </w:r>
          </w:p>
        </w:tc>
        <w:tc>
          <w:tcPr/>
          <w:p>
            <w:pPr>
              <w:pStyle w:val="Compact"/>
              <w:spacing w:line="240" w:lineRule="auto" w:after="40" w:before="40"/>
              <w:jc w:val="left"/>
            </w:pPr>
            <w:r>
              <w:rPr>
                <w:rFonts w:ascii="Times New Roman" w:hAnsi="Times New Roman" w:cs="Times New Roman" w:eastAsia="Times New Roman"/>
                <w:sz w:val="19"/>
              </w:rPr>
              <w:t xml:space="preserve">33.49</w:t>
            </w:r>
          </w:p>
        </w:tc>
      </w:tr>
      <w:tr>
        <w:tc>
          <w:tcPr/>
          <w:p>
            <w:pPr>
              <w:pStyle w:val="Compact"/>
              <w:spacing w:line="240" w:lineRule="auto" w:after="40" w:before="40"/>
              <w:jc w:val="left"/>
            </w:pPr>
            <w:r>
              <w:rPr>
                <w:rFonts w:ascii="Times New Roman" w:hAnsi="Times New Roman" w:cs="Times New Roman" w:eastAsia="Times New Roman"/>
                <w:sz w:val="19"/>
              </w:rPr>
              <w:t xml:space="preserve">M2m</w:t>
            </w:r>
          </w:p>
        </w:tc>
        <w:tc>
          <w:tcPr/>
          <w:p>
            <w:pPr>
              <w:pStyle w:val="Compact"/>
              <w:spacing w:line="240" w:lineRule="auto" w:after="40" w:before="40"/>
              <w:jc w:val="left"/>
            </w:pPr>
            <w:r>
              <w:rPr>
                <w:rFonts w:ascii="Times New Roman" w:hAnsi="Times New Roman" w:cs="Times New Roman" w:eastAsia="Times New Roman"/>
                <w:sz w:val="19"/>
              </w:rPr>
              <w:t xml:space="preserve">12.28</w:t>
            </w:r>
          </w:p>
        </w:tc>
        <w:tc>
          <w:tcPr/>
          <w:p>
            <w:pPr>
              <w:pStyle w:val="Compact"/>
              <w:spacing w:line="240" w:lineRule="auto" w:after="40" w:before="40"/>
              <w:jc w:val="left"/>
            </w:pPr>
            <w:r>
              <w:rPr>
                <w:rFonts w:ascii="Times New Roman" w:hAnsi="Times New Roman" w:cs="Times New Roman" w:eastAsia="Times New Roman"/>
                <w:sz w:val="19"/>
              </w:rPr>
              <w:t xml:space="preserve">10.22</w:t>
            </w:r>
          </w:p>
        </w:tc>
        <w:tc>
          <w:tcPr/>
          <w:p>
            <w:pPr>
              <w:pStyle w:val="Compact"/>
              <w:spacing w:line="240" w:lineRule="auto" w:after="40" w:before="40"/>
              <w:jc w:val="left"/>
            </w:pPr>
            <w:r>
              <w:rPr>
                <w:rFonts w:ascii="Times New Roman" w:hAnsi="Times New Roman" w:cs="Times New Roman" w:eastAsia="Times New Roman"/>
                <w:sz w:val="19"/>
              </w:rPr>
              <w:t xml:space="preserve">17.44</w:t>
            </w:r>
          </w:p>
        </w:tc>
      </w:tr>
      <w:tr>
        <w:tc>
          <w:tcPr/>
          <w:p>
            <w:pPr>
              <w:pStyle w:val="Compact"/>
              <w:spacing w:line="240" w:lineRule="auto" w:after="40" w:before="40"/>
              <w:jc w:val="left"/>
            </w:pPr>
            <w:r>
              <w:rPr>
                <w:rFonts w:ascii="Times New Roman" w:hAnsi="Times New Roman" w:cs="Times New Roman" w:eastAsia="Times New Roman"/>
                <w:sz w:val="19"/>
              </w:rPr>
              <w:t xml:space="preserve">M3</w:t>
            </w:r>
          </w:p>
        </w:tc>
        <w:tc>
          <w:tcPr/>
          <w:p>
            <w:pPr>
              <w:pStyle w:val="Compact"/>
              <w:spacing w:line="240" w:lineRule="auto" w:after="40" w:before="40"/>
              <w:jc w:val="left"/>
            </w:pPr>
            <w:r>
              <w:rPr>
                <w:rFonts w:ascii="Times New Roman" w:hAnsi="Times New Roman" w:cs="Times New Roman" w:eastAsia="Times New Roman"/>
                <w:sz w:val="19"/>
              </w:rPr>
              <w:t xml:space="preserve">14.46</w:t>
            </w:r>
          </w:p>
        </w:tc>
        <w:tc>
          <w:tcPr/>
          <w:p>
            <w:pPr>
              <w:pStyle w:val="Compact"/>
              <w:spacing w:line="240" w:lineRule="auto" w:after="40" w:before="40"/>
              <w:jc w:val="left"/>
            </w:pPr>
            <w:r>
              <w:rPr>
                <w:rFonts w:ascii="Times New Roman" w:hAnsi="Times New Roman" w:cs="Times New Roman" w:eastAsia="Times New Roman"/>
                <w:sz w:val="19"/>
              </w:rPr>
              <w:t xml:space="preserve">11.12</w:t>
            </w:r>
          </w:p>
        </w:tc>
        <w:tc>
          <w:tcPr/>
          <w:p>
            <w:pPr>
              <w:pStyle w:val="Compact"/>
              <w:spacing w:line="240" w:lineRule="auto" w:after="40" w:before="40"/>
              <w:jc w:val="left"/>
            </w:pPr>
            <w:r>
              <w:rPr>
                <w:rFonts w:ascii="Times New Roman" w:hAnsi="Times New Roman" w:cs="Times New Roman" w:eastAsia="Times New Roman"/>
                <w:sz w:val="19"/>
              </w:rPr>
              <w:t xml:space="preserve">33.46</w:t>
            </w:r>
          </w:p>
        </w:tc>
      </w:tr>
      <w:tr>
        <w:tc>
          <w:tcPr/>
          <w:p>
            <w:pPr>
              <w:pStyle w:val="Compact"/>
              <w:spacing w:line="240" w:lineRule="auto" w:after="40" w:before="40"/>
              <w:jc w:val="left"/>
            </w:pPr>
            <w:r>
              <w:rPr>
                <w:rFonts w:ascii="Times New Roman" w:hAnsi="Times New Roman" w:cs="Times New Roman" w:eastAsia="Times New Roman"/>
                <w:sz w:val="19"/>
              </w:rPr>
              <w:t xml:space="preserve">M4</w:t>
            </w:r>
          </w:p>
        </w:tc>
        <w:tc>
          <w:tcPr/>
          <w:p>
            <w:pPr>
              <w:pStyle w:val="Compact"/>
              <w:spacing w:line="240" w:lineRule="auto" w:after="40" w:before="40"/>
              <w:jc w:val="left"/>
            </w:pPr>
            <w:r>
              <w:rPr>
                <w:rFonts w:ascii="Times New Roman" w:hAnsi="Times New Roman" w:cs="Times New Roman" w:eastAsia="Times New Roman"/>
                <w:sz w:val="19"/>
              </w:rPr>
              <w:t xml:space="preserve">14.30</w:t>
            </w:r>
          </w:p>
        </w:tc>
        <w:tc>
          <w:tcPr/>
          <w:p>
            <w:pPr>
              <w:pStyle w:val="Compact"/>
              <w:spacing w:line="240" w:lineRule="auto" w:after="40" w:before="40"/>
              <w:jc w:val="left"/>
            </w:pPr>
            <w:r>
              <w:rPr>
                <w:rFonts w:ascii="Times New Roman" w:hAnsi="Times New Roman" w:cs="Times New Roman" w:eastAsia="Times New Roman"/>
                <w:sz w:val="19"/>
              </w:rPr>
              <w:t xml:space="preserve">11.17</w:t>
            </w:r>
          </w:p>
        </w:tc>
        <w:tc>
          <w:tcPr/>
          <w:p>
            <w:pPr>
              <w:pStyle w:val="Compact"/>
              <w:spacing w:line="240" w:lineRule="auto" w:after="40" w:before="40"/>
              <w:jc w:val="left"/>
            </w:pPr>
            <w:r>
              <w:rPr>
                <w:rFonts w:ascii="Times New Roman" w:hAnsi="Times New Roman" w:cs="Times New Roman" w:eastAsia="Times New Roman"/>
                <w:sz w:val="19"/>
              </w:rPr>
              <w:t xml:space="preserve">33.39</w:t>
            </w:r>
          </w:p>
        </w:tc>
      </w:tr>
      <w:tr>
        <w:tc>
          <w:tcPr/>
          <w:p>
            <w:pPr>
              <w:pStyle w:val="Compact"/>
              <w:spacing w:line="240" w:lineRule="auto" w:after="40" w:before="40"/>
              <w:jc w:val="left"/>
            </w:pPr>
            <w:r>
              <w:rPr>
                <w:rFonts w:ascii="Times New Roman" w:hAnsi="Times New Roman" w:cs="Times New Roman" w:eastAsia="Times New Roman"/>
                <w:sz w:val="19"/>
              </w:rPr>
              <w:t xml:space="preserve">M2_oracle</w:t>
            </w:r>
          </w:p>
        </w:tc>
        <w:tc>
          <w:tcPr/>
          <w:p>
            <w:pPr>
              <w:pStyle w:val="Compact"/>
              <w:spacing w:line="240" w:lineRule="auto" w:after="40" w:before="40"/>
              <w:jc w:val="left"/>
            </w:pPr>
            <w:r>
              <w:rPr>
                <w:rFonts w:ascii="Times New Roman" w:hAnsi="Times New Roman" w:cs="Times New Roman" w:eastAsia="Times New Roman"/>
                <w:sz w:val="19"/>
              </w:rPr>
              <w:t xml:space="preserve">7.55</w:t>
            </w:r>
          </w:p>
        </w:tc>
        <w:tc>
          <w:tcPr/>
          <w:p>
            <w:pPr>
              <w:pStyle w:val="Compact"/>
              <w:spacing w:line="240" w:lineRule="auto" w:after="40" w:before="40"/>
              <w:jc w:val="left"/>
            </w:pPr>
            <w:r>
              <w:rPr>
                <w:rFonts w:ascii="Times New Roman" w:hAnsi="Times New Roman" w:cs="Times New Roman" w:eastAsia="Times New Roman"/>
                <w:sz w:val="19"/>
              </w:rPr>
              <w:t xml:space="preserve">5.79</w:t>
            </w:r>
          </w:p>
        </w:tc>
        <w:tc>
          <w:tcPr/>
          <w:p>
            <w:pPr>
              <w:pStyle w:val="Compact"/>
              <w:spacing w:line="240" w:lineRule="auto" w:after="40" w:before="40"/>
              <w:jc w:val="left"/>
            </w:pPr>
            <w:r>
              <w:rPr>
                <w:rFonts w:ascii="Times New Roman" w:hAnsi="Times New Roman" w:cs="Times New Roman" w:eastAsia="Times New Roman"/>
                <w:sz w:val="19"/>
              </w:rPr>
              <w:t xml:space="preserve">10.87</w:t>
            </w:r>
          </w:p>
        </w:tc>
      </w:tr>
    </w:tbl>
    <w:p>
      <w:pPr>
        <w:pStyle w:val="BodyText"/>
        <w:spacing w:line="360" w:lineRule="auto" w:after="120"/>
        <w:ind w:firstLine="720"/>
        <w:jc w:val="both"/>
      </w:pPr>
      <w:r>
        <w:rPr>
          <w:rFonts w:ascii="Times New Roman" w:hAnsi="Times New Roman" w:cs="Times New Roman" w:eastAsia="Times New Roman"/>
          <w:sz w:val="24"/>
        </w:rPr>
        <w:t xml:space="preserve">Full-sample correlations:</w:t>
      </w:r>
      <w:r>
        <w:rPr>
          <w:rFonts w:ascii="Times New Roman" w:hAnsi="Times New Roman" w:cs="Times New Roman" w:eastAsia="Times New Roman"/>
          <w:sz w:val="24"/>
        </w:rPr>
        <w:t xml:space="preserve"> </w:t>
      </w:r>
      <m:oMath>
        <m:r>
          <m:rPr>
            <m:sty m:val="p"/>
          </m:rPr>
          <m:t>c</m:t>
        </m:r>
        <m:r>
          <m:rPr>
            <m:sty m:val="p"/>
          </m:rPr>
          <m:t>o</m:t>
        </m:r>
        <m:r>
          <m:rPr>
            <m:sty m:val="p"/>
          </m:rPr>
          <m:t>r</m:t>
        </m:r>
        <m:r>
          <m:rPr>
            <m:sty m:val="p"/>
          </m:rPr>
          <m:t>r</m:t>
        </m:r>
        <m:d>
          <m:dPr>
            <m:begChr m:val="("/>
            <m:endChr m:val=")"/>
            <m:sepChr m:val=""/>
            <m:grow/>
          </m:dPr>
          <m:e>
            <m:sSub>
              <m:e>
                <m:r>
                  <m:t>H</m:t>
                </m:r>
              </m:e>
              <m:sub>
                <m:r>
                  <m:t>t</m:t>
                </m:r>
              </m:sub>
            </m:sSub>
            <m:r>
              <m:rPr>
                <m:sty m:val="p"/>
              </m:rPr>
              <m:t>,</m:t>
            </m:r>
            <m:sSub>
              <m:e>
                <m:r>
                  <m:t>H</m:t>
                </m:r>
              </m:e>
              <m:sub>
                <m:r>
                  <m:t>t</m:t>
                </m:r>
                <m:r>
                  <m:rPr>
                    <m:sty m:val="p"/>
                  </m:rPr>
                  <m:t>−</m:t>
                </m:r>
                <m:r>
                  <m:t>1</m:t>
                </m:r>
              </m:sub>
            </m:sSub>
          </m:e>
        </m:d>
        <m:r>
          <m:rPr>
            <m:sty m:val="p"/>
          </m:rPr>
          <m:t>=</m:t>
        </m:r>
        <m:r>
          <m:t>0.64</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AR(1) coefficient</w:t>
      </w:r>
      <w:r>
        <w:rPr>
          <w:rFonts w:ascii="Times New Roman" w:hAnsi="Times New Roman" w:cs="Times New Roman" w:eastAsia="Times New Roman"/>
          <w:sz w:val="24"/>
        </w:rPr>
        <w:t xml:space="preserve"> </w:t>
      </w:r>
      <m:oMath>
        <m:acc>
          <m:accPr>
            <m:chr m:val="̂"/>
          </m:accPr>
          <m:e>
            <m:r>
              <m:t>φ</m:t>
            </m:r>
          </m:e>
        </m:acc>
        <m:r>
          <m:rPr>
            <m:sty m:val="p"/>
          </m:rPr>
          <m:t>=</m:t>
        </m:r>
        <m:r>
          <m:t>0.66</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c</m:t>
        </m:r>
        <m:r>
          <m:rPr>
            <m:sty m:val="p"/>
          </m:rPr>
          <m:t>o</m:t>
        </m:r>
        <m:r>
          <m:rPr>
            <m:sty m:val="p"/>
          </m:rPr>
          <m:t>r</m:t>
        </m:r>
        <m:r>
          <m:rPr>
            <m:sty m:val="p"/>
          </m:rPr>
          <m:t>r</m:t>
        </m:r>
        <m:d>
          <m:dPr>
            <m:begChr m:val="("/>
            <m:endChr m:val=")"/>
            <m:sepChr m:val=""/>
            <m:grow/>
          </m:dPr>
          <m:e>
            <m:sSub>
              <m:e>
                <m:r>
                  <m:t>R</m:t>
                </m:r>
              </m:e>
              <m:sub>
                <m:r>
                  <m:t>t</m:t>
                </m:r>
              </m:sub>
            </m:sSub>
            <m:r>
              <m:rPr>
                <m:sty m:val="p"/>
              </m:rPr>
              <m:t>,</m:t>
            </m:r>
            <m:sSub>
              <m:e>
                <m:r>
                  <m:t>R</m:t>
                </m:r>
              </m:e>
              <m:sub>
                <m:r>
                  <m:t>t</m:t>
                </m:r>
                <m:r>
                  <m:rPr>
                    <m:sty m:val="p"/>
                  </m:rPr>
                  <m:t>−</m:t>
                </m:r>
                <m:r>
                  <m:t>1</m:t>
                </m:r>
              </m:sub>
            </m:sSub>
          </m:e>
        </m:d>
        <m:r>
          <m:rPr>
            <m:sty m:val="p"/>
          </m:rPr>
          <m:t>=</m:t>
        </m:r>
        <m:r>
          <m:t>0.17</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c</m:t>
        </m:r>
        <m:r>
          <m:rPr>
            <m:sty m:val="p"/>
          </m:rPr>
          <m:t>o</m:t>
        </m:r>
        <m:r>
          <m:rPr>
            <m:sty m:val="p"/>
          </m:rPr>
          <m:t>r</m:t>
        </m:r>
        <m:r>
          <m:rPr>
            <m:sty m:val="p"/>
          </m:rPr>
          <m:t>r</m:t>
        </m:r>
        <m:d>
          <m:dPr>
            <m:begChr m:val="("/>
            <m:endChr m:val=")"/>
            <m:sepChr m:val=""/>
            <m:grow/>
          </m:dPr>
          <m:e>
            <m:r>
              <m:t>Δ</m:t>
            </m:r>
            <m:sSub>
              <m:e>
                <m:r>
                  <m:t>H</m:t>
                </m:r>
              </m:e>
              <m:sub>
                <m:r>
                  <m:t>t</m:t>
                </m:r>
              </m:sub>
            </m:sSub>
            <m:r>
              <m:rPr>
                <m:sty m:val="p"/>
              </m:rPr>
              <m:t>,</m:t>
            </m:r>
            <m:sSub>
              <m:e>
                <m:r>
                  <m:t>R</m:t>
                </m:r>
              </m:e>
              <m:sub>
                <m:r>
                  <m:t>t</m:t>
                </m:r>
              </m:sub>
            </m:sSub>
          </m:e>
        </m:d>
        <m:r>
          <m:rPr>
            <m:sty m:val="p"/>
          </m:rPr>
          <m:t>=</m:t>
        </m:r>
        <m:r>
          <m:t>0.74</m:t>
        </m:r>
      </m:oMath>
      <w:r>
        <w:rPr>
          <w:rFonts w:ascii="Times New Roman" w:hAnsi="Times New Roman" w:cs="Times New Roman" w:eastAsia="Times New Roman"/>
          <w:sz w:val="24"/>
        </w:rPr>
        <w:t xml:space="preserve">. Full-sample</w:t>
      </w:r>
      <w:r>
        <w:rPr>
          <w:rFonts w:ascii="Times New Roman" w:hAnsi="Times New Roman" w:cs="Times New Roman" w:eastAsia="Times New Roman"/>
          <w:sz w:val="24"/>
        </w:rPr>
        <w:t xml:space="preserve"> </w:t>
      </w:r>
      <m:oMath>
        <m:d>
          <m:dPr>
            <m:begChr m:val="("/>
            <m:endChr m:val=")"/>
            <m:sepChr m:val=""/>
            <m:grow/>
          </m:dPr>
          <m:e>
            <m:acc>
              <m:accPr>
                <m:chr m:val="̂"/>
              </m:accPr>
              <m:e>
                <m:r>
                  <m:t>β</m:t>
                </m:r>
              </m:e>
            </m:acc>
            <m:r>
              <m:rPr>
                <m:sty m:val="p"/>
              </m:rPr>
              <m:t>,</m:t>
            </m:r>
            <m:acc>
              <m:accPr>
                <m:chr m:val="̂"/>
              </m:accPr>
              <m:e>
                <m:r>
                  <m:t>γ</m:t>
                </m:r>
              </m:e>
            </m:acc>
          </m:e>
        </m:d>
        <m:r>
          <m:rPr>
            <m:sty m:val="p"/>
          </m:rPr>
          <m:t>=</m:t>
        </m:r>
        <m:d>
          <m:dPr>
            <m:begChr m:val="("/>
            <m:endChr m:val=")"/>
            <m:sepChr m:val=""/>
            <m:grow/>
          </m:dPr>
          <m:e>
            <m:r>
              <m:t>0.017</m:t>
            </m:r>
            <m:r>
              <m:rPr>
                <m:sty m:val="p"/>
              </m:rPr>
              <m:t>,</m:t>
            </m:r>
            <m:r>
              <m:rPr>
                <m:sty m:val="p"/>
              </m:rPr>
              <m:t>−</m:t>
            </m:r>
            <m:r>
              <m:t>0.026</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the expected signs when the sample is long. The water-balance class is not empty, but recharge is not persistent.</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5.</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Retention on rolling</w:t>
      </w:r>
      <w:r>
        <w:rPr>
          <w:rFonts w:ascii="Times New Roman" w:hAnsi="Times New Roman" w:cs="Times New Roman" w:eastAsia="Times New Roman"/>
          <w:sz w:val="20"/>
        </w:rPr>
        <w:t xml:space="preserve"> </w:t>
      </w:r>
      <m:oMath>
        <m:r>
          <m:t>h</m:t>
        </m:r>
        <m:r>
          <m:rPr>
            <m:sty m:val="p"/>
          </m:rPr>
          <m:t>=</m:t>
        </m:r>
        <m:r>
          <m:t>1</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RMSE.</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Versus persist</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Distinct structure</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Decision</w:t>
            </w:r>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m:oMath>
              <m:r>
                <m:t>12.84</m:t>
              </m:r>
              <m:r>
                <m:rPr>
                  <m:sty m:val="p"/>
                </m:rPr>
                <m:t>&lt;</m:t>
              </m:r>
              <m:r>
                <m:t>13.23</m:t>
              </m:r>
            </m:oMath>
          </w:p>
        </w:tc>
        <w:tc>
          <w:tcPr/>
          <w:p>
            <w:pPr>
              <w:pStyle w:val="Compact"/>
              <w:spacing w:line="240" w:lineRule="auto" w:after="40" w:before="40"/>
              <w:jc w:val="left"/>
            </w:pPr>
            <w:r>
              <w:rPr>
                <w:rFonts w:ascii="Times New Roman" w:hAnsi="Times New Roman" w:cs="Times New Roman" w:eastAsia="Times New Roman"/>
                <w:sz w:val="19"/>
              </w:rPr>
              <w:t xml:space="preserve">output only</w:t>
            </w:r>
          </w:p>
        </w:tc>
        <w:tc>
          <w:tcPr/>
          <w:p>
            <w:pPr>
              <w:pStyle w:val="Compact"/>
              <w:spacing w:line="240" w:lineRule="auto" w:after="40" w:before="40"/>
              <w:jc w:val="left"/>
            </w:pPr>
            <w:r>
              <w:rPr>
                <w:rFonts w:ascii="Times New Roman" w:hAnsi="Times New Roman" w:cs="Times New Roman" w:eastAsia="Times New Roman"/>
                <w:sz w:val="19"/>
              </w:rPr>
              <w:t xml:space="preserve">retained (margin 0.39 ft)</w:t>
            </w:r>
          </w:p>
        </w:tc>
      </w:tr>
      <w:tr>
        <w:tc>
          <w:tcPr/>
          <w:p>
            <w:pPr>
              <w:pStyle w:val="Compact"/>
              <w:spacing w:line="240" w:lineRule="auto" w:after="40" w:before="40"/>
              <w:jc w:val="left"/>
            </w:pPr>
            <w:r>
              <w:rPr>
                <w:rFonts w:ascii="Times New Roman" w:hAnsi="Times New Roman" w:cs="Times New Roman" w:eastAsia="Times New Roman"/>
                <w:sz w:val="19"/>
              </w:rPr>
              <w:t xml:space="preserve">M2</w:t>
            </w:r>
          </w:p>
        </w:tc>
        <w:tc>
          <w:tcPr/>
          <w:p>
            <w:pPr>
              <w:pStyle w:val="Compact"/>
              <w:spacing w:line="240" w:lineRule="auto" w:after="40" w:before="40"/>
              <w:jc w:val="left"/>
            </w:pPr>
            <m:oMath>
              <m:r>
                <m:t>14.70</m:t>
              </m:r>
              <m:r>
                <m:rPr>
                  <m:sty m:val="p"/>
                </m:rPr>
                <m:t>&gt;</m:t>
              </m:r>
              <m:r>
                <m:t>13.23</m:t>
              </m:r>
            </m:oMath>
          </w:p>
        </w:tc>
        <w:tc>
          <w:tcPr/>
          <w:p>
            <w:pPr>
              <w:pStyle w:val="Compact"/>
              <w:spacing w:line="240" w:lineRule="auto" w:after="40" w:before="40"/>
              <w:jc w:val="left"/>
            </w:pPr>
            <w:r>
              <w:rPr>
                <w:rFonts w:ascii="Times New Roman" w:hAnsi="Times New Roman" w:cs="Times New Roman" w:eastAsia="Times New Roman"/>
                <w:sz w:val="19"/>
              </w:rPr>
              <w:t xml:space="preserve">causal fluxes</w:t>
            </w:r>
          </w:p>
        </w:tc>
        <w:tc>
          <w:tcPr/>
          <w:p>
            <w:pPr>
              <w:pStyle w:val="Compact"/>
              <w:spacing w:line="240" w:lineRule="auto" w:after="40" w:before="40"/>
              <w:jc w:val="left"/>
            </w:pPr>
            <w:r>
              <w:rPr>
                <w:rFonts w:ascii="Times New Roman" w:hAnsi="Times New Roman" w:cs="Times New Roman" w:eastAsia="Times New Roman"/>
                <w:sz w:val="19"/>
              </w:rPr>
              <w:t xml:space="preserve">reject</w:t>
            </w:r>
          </w:p>
        </w:tc>
      </w:tr>
      <w:tr>
        <w:tc>
          <w:tcPr/>
          <w:p>
            <w:pPr>
              <w:pStyle w:val="Compact"/>
              <w:spacing w:line="240" w:lineRule="auto" w:after="40" w:before="40"/>
              <w:jc w:val="left"/>
            </w:pPr>
            <w:r>
              <w:rPr>
                <w:rFonts w:ascii="Times New Roman" w:hAnsi="Times New Roman" w:cs="Times New Roman" w:eastAsia="Times New Roman"/>
                <w:sz w:val="19"/>
              </w:rPr>
              <w:t xml:space="preserve">M2m</w:t>
            </w:r>
          </w:p>
        </w:tc>
        <w:tc>
          <w:tcPr/>
          <w:p>
            <w:pPr>
              <w:pStyle w:val="Compact"/>
              <w:spacing w:line="240" w:lineRule="auto" w:after="40" w:before="40"/>
              <w:jc w:val="left"/>
            </w:pPr>
            <m:oMath>
              <m:r>
                <m:t>12.28</m:t>
              </m:r>
              <m:r>
                <m:rPr>
                  <m:sty m:val="p"/>
                </m:rPr>
                <m:t>&lt;</m:t>
              </m:r>
              <m:r>
                <m:t>13.23</m:t>
              </m:r>
            </m:oMath>
          </w:p>
        </w:tc>
        <w:tc>
          <w:tcPr/>
          <w:p>
            <w:pPr>
              <w:pStyle w:val="Compact"/>
              <w:spacing w:line="240" w:lineRule="auto" w:after="40" w:before="40"/>
              <w:jc w:val="left"/>
            </w:pPr>
            <w:r>
              <w:rPr>
                <w:rFonts w:ascii="Times New Roman" w:hAnsi="Times New Roman" w:cs="Times New Roman" w:eastAsia="Times New Roman"/>
                <w:sz w:val="19"/>
              </w:rPr>
              <w:t xml:space="preserve">no (affine AR(1))</w:t>
            </w:r>
          </w:p>
        </w:tc>
        <w:tc>
          <w:tcPr/>
          <w:p>
            <w:pPr>
              <w:pStyle w:val="Compact"/>
              <w:spacing w:line="240" w:lineRule="auto" w:after="40" w:before="40"/>
              <w:jc w:val="left"/>
            </w:pPr>
            <w:r>
              <w:rPr>
                <w:rFonts w:ascii="Times New Roman" w:hAnsi="Times New Roman" w:cs="Times New Roman" w:eastAsia="Times New Roman"/>
                <w:sz w:val="19"/>
              </w:rPr>
              <w:t xml:space="preserve">list only; not extra structure</w:t>
            </w:r>
          </w:p>
        </w:tc>
      </w:tr>
      <w:tr>
        <w:tc>
          <w:tcPr/>
          <w:p>
            <w:pPr>
              <w:pStyle w:val="Compact"/>
              <w:spacing w:line="240" w:lineRule="auto" w:after="40" w:before="40"/>
              <w:jc w:val="left"/>
            </w:pPr>
            <w:r>
              <w:rPr>
                <w:rFonts w:ascii="Times New Roman" w:hAnsi="Times New Roman" w:cs="Times New Roman" w:eastAsia="Times New Roman"/>
                <w:sz w:val="19"/>
              </w:rPr>
              <w:t xml:space="preserve">M3, M4</w:t>
            </w:r>
          </w:p>
        </w:tc>
        <w:tc>
          <w:tcPr/>
          <w:p>
            <w:pPr>
              <w:pStyle w:val="Compact"/>
              <w:spacing w:line="240" w:lineRule="auto" w:after="40" w:before="40"/>
              <w:jc w:val="left"/>
            </w:pPr>
            <w:r>
              <w:rPr>
                <w:rFonts w:ascii="Times New Roman" w:hAnsi="Times New Roman" w:cs="Times New Roman" w:eastAsia="Times New Roman"/>
                <w:sz w:val="19"/>
              </w:rPr>
              <w:t xml:space="preserve">worse than persist</w:t>
            </w:r>
          </w:p>
        </w:tc>
        <w:tc>
          <w:tcPr/>
          <w:p>
            <w:pPr>
              <w:pStyle w:val="Compact"/>
              <w:spacing w:line="240" w:lineRule="auto" w:after="40" w:before="40"/>
              <w:jc w:val="left"/>
            </w:pPr>
            <w:r>
              <w:rPr>
                <w:rFonts w:ascii="Times New Roman" w:hAnsi="Times New Roman" w:cs="Times New Roman" w:eastAsia="Times New Roman"/>
                <w:sz w:val="19"/>
              </w:rPr>
              <w:t xml:space="preserve">yes</w:t>
            </w:r>
          </w:p>
        </w:tc>
        <w:tc>
          <w:tcPr/>
          <w:p>
            <w:pPr>
              <w:pStyle w:val="Compact"/>
              <w:spacing w:line="240" w:lineRule="auto" w:after="40" w:before="40"/>
              <w:jc w:val="left"/>
            </w:pPr>
            <w:r>
              <w:rPr>
                <w:rFonts w:ascii="Times New Roman" w:hAnsi="Times New Roman" w:cs="Times New Roman" w:eastAsia="Times New Roman"/>
                <w:sz w:val="19"/>
              </w:rPr>
              <w:t xml:space="preserve">reject</w:t>
            </w:r>
          </w:p>
        </w:tc>
      </w:tr>
      <w:tr>
        <w:tc>
          <w:tcPr/>
          <w:p>
            <w:pPr>
              <w:pStyle w:val="Compact"/>
              <w:spacing w:line="240" w:lineRule="auto" w:after="40" w:before="40"/>
              <w:jc w:val="left"/>
            </w:pPr>
            <w:r>
              <w:rPr>
                <w:rFonts w:ascii="Times New Roman" w:hAnsi="Times New Roman" w:cs="Times New Roman" w:eastAsia="Times New Roman"/>
                <w:sz w:val="19"/>
              </w:rPr>
              <w:t xml:space="preserve">M2_oracle</w:t>
            </w:r>
          </w:p>
        </w:tc>
        <w:tc>
          <w:tcPr/>
          <w:p>
            <w:pPr>
              <w:pStyle w:val="Compact"/>
              <w:spacing w:line="240" w:lineRule="auto" w:after="40" w:before="40"/>
              <w:jc w:val="left"/>
            </w:pPr>
            <m:oMath>
              <m:r>
                <m:t>7.55</m:t>
              </m:r>
            </m:oMath>
          </w:p>
        </w:tc>
        <w:tc>
          <w:tcPr/>
          <w:p>
            <w:pPr>
              <w:pStyle w:val="Compact"/>
              <w:spacing w:line="240" w:lineRule="auto" w:after="40" w:before="40"/>
              <w:jc w:val="left"/>
            </w:pPr>
            <w:r>
              <w:rPr>
                <w:rFonts w:ascii="Times New Roman" w:hAnsi="Times New Roman" w:cs="Times New Roman" w:eastAsia="Times New Roman"/>
                <w:sz w:val="19"/>
              </w:rPr>
              <w:t xml:space="preserve">uses future</w:t>
            </w:r>
            <w:r>
              <w:rPr>
                <w:rFonts w:ascii="Times New Roman" w:hAnsi="Times New Roman" w:cs="Times New Roman" w:eastAsia="Times New Roman"/>
                <w:sz w:val="19"/>
              </w:rPr>
              <w:t xml:space="preserve"> </w:t>
            </w:r>
            <m:oMath>
              <m:r>
                <m:t>R</m:t>
              </m:r>
              <m:r>
                <m:rPr>
                  <m:sty m:val="p"/>
                </m:rPr>
                <m:t>,</m:t>
              </m:r>
              <m:r>
                <m:t>P</m:t>
              </m:r>
            </m:oMath>
          </w:p>
        </w:tc>
        <w:tc>
          <w:tcPr/>
          <w:p>
            <w:pPr>
              <w:pStyle w:val="Compact"/>
              <w:spacing w:line="240" w:lineRule="auto" w:after="40" w:before="40"/>
              <w:jc w:val="left"/>
            </w:pPr>
            <w:r>
              <w:rPr>
                <w:rFonts w:ascii="Times New Roman" w:hAnsi="Times New Roman" w:cs="Times New Roman" w:eastAsia="Times New Roman"/>
                <w:sz w:val="19"/>
              </w:rPr>
              <w:t xml:space="preserve">excluded</w:t>
            </w:r>
          </w:p>
        </w:tc>
      </w:tr>
    </w:tbl>
    <w:p>
      <w:pPr>
        <w:pStyle w:val="BodyText"/>
        <w:spacing w:line="360" w:lineRule="auto" w:after="120"/>
        <w:ind w:firstLine="720"/>
        <w:jc w:val="both"/>
      </w:pPr>
      <w:r>
        <w:rPr>
          <w:rFonts w:ascii="Times New Roman" w:hAnsi="Times New Roman" w:cs="Times New Roman" w:eastAsia="Times New Roman"/>
          <w:sz w:val="24"/>
        </w:rPr>
        <w:t xml:space="preserve">M1 is retained by the point-RMSE rule. The margin is 0.39 ft on</w:t>
      </w:r>
      <w:r>
        <w:rPr>
          <w:rFonts w:ascii="Times New Roman" w:hAnsi="Times New Roman" w:cs="Times New Roman" w:eastAsia="Times New Roman"/>
          <w:sz w:val="24"/>
        </w:rPr>
        <w:t xml:space="preserve"> </w:t>
      </w:r>
      <m:oMath>
        <m:r>
          <m:t>n</m:t>
        </m:r>
        <m:r>
          <m:rPr>
            <m:sty m:val="p"/>
          </m:rPr>
          <m:t>=</m:t>
        </m:r>
        <m:r>
          <m:t>75</m:t>
        </m:r>
      </m:oMath>
      <w:r>
        <w:rPr>
          <w:rFonts w:ascii="Times New Roman" w:hAnsi="Times New Roman" w:cs="Times New Roman" w:eastAsia="Times New Roman"/>
          <w:sz w:val="24"/>
        </w:rPr>
        <w:t xml:space="preserve">. That is not a confirmation of stock-flow structure; it is a slightly mean-reverting head series. M2m is listed by the same rule and then demoted on class grounds fixed in the protocol (constant fluxes reduce it to AR(1)); its numerical advantage does not constitute additional structure. No stock-flow, residual, or delay module is retained.</w:t>
      </w:r>
    </w:p>
    <w:p>
      <w:pPr>
        <w:pStyle w:val="BodyText"/>
        <w:spacing w:line="360" w:lineRule="auto" w:after="120"/>
        <w:ind w:firstLine="720"/>
        <w:jc w:val="both"/>
      </w:pP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the training mean (16.80 ft) has lower RMSE than persistence (21.11 ft). Five-year forecasts on this basin are climatology, not last value and not persisted recharge.</w:t>
      </w:r>
    </w:p>
    <w:p>
      <w:pPr>
        <w:pStyle w:val="BodyText"/>
        <w:spacing w:line="360" w:lineRule="auto" w:after="120"/>
        <w:ind w:firstLine="720"/>
        <w:jc w:val="both"/>
      </w:pPr>
      <w:r>
        <w:rPr>
          <w:rFonts w:ascii="Times New Roman" w:hAnsi="Times New Roman" w:cs="Times New Roman" w:eastAsia="Times New Roman"/>
          <w:sz w:val="24"/>
        </w:rPr>
        <w:t xml:space="preserve">On post-2007 origins only (</w:t>
      </w:r>
      <m:oMath>
        <m:r>
          <m:t>n</m:t>
        </m:r>
        <m:r>
          <m:rPr>
            <m:sty m:val="p"/>
          </m:rPr>
          <m:t>=</m:t>
        </m:r>
        <m:r>
          <m:t>16</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persist 13.09, M1 12.16, M2 13.31, oracle 8.03. The ranking is unchanged. The 660-ft Brier scores are 0.31 (persist), 0.25 (M1), and 0.19 (oracle). 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m:oMath>
        <m:r>
          <m:t>n</m:t>
        </m:r>
        <m:r>
          <m:rPr>
            <m:sty m:val="p"/>
          </m:rPr>
          <m:t>=</m:t>
        </m:r>
        <m:r>
          <m:t>12</m:t>
        </m:r>
      </m:oMath>
      <w:r>
        <w:rPr>
          <w:rFonts w:ascii="Times New Roman" w:hAnsi="Times New Roman" w:cs="Times New Roman" w:eastAsia="Times New Roman"/>
          <w:sz w:val="24"/>
        </w:rPr>
        <w:t xml:space="preserve">): persist 25.10, M1 17.16, M2m 17.64, mean 16.41, M2/M3/M4 34.9–35.0, oracle 8.69. The annual-mean proxy is not the 10-day rule.</w:t>
      </w:r>
    </w:p>
    <w:bookmarkEnd w:id="36"/>
    <w:bookmarkStart w:id="40" w:name="climate-informed-recharge"/>
    <w:p>
      <w:pPr>
        <w:pStyle w:val="Heading2"/>
        <w:spacing w:before="240" w:after="120" w:line="360" w:lineRule="auto"/>
        <w:ind w:firstLine="0" w:left="0"/>
        <w:jc w:val="left"/>
      </w:pPr>
      <w:r>
        <w:rPr>
          <w:rFonts w:ascii="Times New Roman" w:hAnsi="Times New Roman" w:cs="Times New Roman" w:eastAsia="Times New Roman"/>
          <w:b/>
          <w:sz w:val="24"/>
        </w:rPr>
        <w:t xml:space="preserve">5.4 Climate-informed recharge</w:t>
      </w:r>
    </w:p>
    <w:p>
      <w:pPr>
        <w:pStyle w:val="FirstParagraph"/>
        <w:spacing w:line="360" w:lineRule="auto" w:after="120"/>
        <w:ind w:firstLine="720"/>
        <w:jc w:val="both"/>
      </w:pPr>
      <w:r>
        <w:rPr>
          <w:rFonts w:ascii="Times New Roman" w:hAnsi="Times New Roman" w:cs="Times New Roman" w:eastAsia="Times New Roman"/>
          <w:sz w:val="24"/>
        </w:rPr>
        <w:t xml:space="preserve">Information known at 31 December of year</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comprises</w:t>
      </w:r>
      <w:r>
        <w:rPr>
          <w:rFonts w:ascii="Times New Roman" w:hAnsi="Times New Roman" w:cs="Times New Roman" w:eastAsia="Times New Roman"/>
          <w:sz w:val="24"/>
        </w:rPr>
        <w:t xml:space="preserve"> </w:t>
      </w:r>
      <m:oMath>
        <m:sSub>
          <m:e>
            <m:r>
              <m:t>R</m:t>
            </m:r>
          </m:e>
          <m:sub>
            <m:r>
              <m:t>t</m:t>
            </m:r>
          </m:sub>
        </m:sSub>
      </m:oMath>
      <w:r>
        <w:rPr>
          <w:rFonts w:ascii="Times New Roman" w:hAnsi="Times New Roman" w:cs="Times New Roman" w:eastAsia="Times New Roman"/>
          <w:sz w:val="24"/>
        </w:rPr>
        <w:t xml:space="preserve">, the September–November Niño 3.4 anomaly of year</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and calendar-year precipitation in Texas climate divisions 06 and 07. December–February precipitation that includes January of</w:t>
      </w:r>
      <w:r>
        <w:rPr>
          <w:rFonts w:ascii="Times New Roman" w:hAnsi="Times New Roman" w:cs="Times New Roman" w:eastAsia="Times New Roman"/>
          <w:sz w:val="24"/>
        </w:rPr>
        <w:t xml:space="preserve"> </w:t>
      </w:r>
      <m:oMath>
        <m:r>
          <m:t>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not used.</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764335"/>
            <wp:effectExtent b="0" l="0" r="0" t="0"/>
            <wp:docPr descr="Figure 4" title="" id="38" name="Picture"/>
            <a:graphic>
              <a:graphicData uri="http://schemas.openxmlformats.org/drawingml/2006/picture">
                <pic:pic>
                  <pic:nvPicPr>
                    <pic:cNvPr descr="fig4_pass2.png" id="39" name="Picture"/>
                    <pic:cNvPicPr>
                      <a:picLocks noChangeArrowheads="1" noChangeAspect="1"/>
                    </pic:cNvPicPr>
                  </pic:nvPicPr>
                  <pic:blipFill>
                    <a:blip r:embed="rId37"/>
                    <a:stretch>
                      <a:fillRect/>
                    </a:stretch>
                  </pic:blipFill>
                  <pic:spPr bwMode="auto">
                    <a:xfrm>
                      <a:off x="0" y="0"/>
                      <a:ext cx="5334000" cy="2764335"/>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4</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4.</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 RMSE on J-17 for climate-informed recharge. The precipitation oracle uses year</w:t>
      </w:r>
      <w:r>
        <w:rPr>
          <w:rFonts w:ascii="Times New Roman" w:hAnsi="Times New Roman" w:cs="Times New Roman" w:eastAsia="Times New Roman"/>
          <w:sz w:val="20"/>
        </w:rPr>
        <w:t xml:space="preserve"> </w:t>
      </w:r>
      <m:oMath>
        <m:r>
          <m:t>t</m:t>
        </m:r>
        <m:r>
          <m:rPr>
            <m:sty m:val="p"/>
          </m:rPr>
          <m:t>+</m:t>
        </m:r>
        <m:r>
          <m:t>h</m:t>
        </m:r>
      </m:oMath>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precipitation and cannot be retained.</w:t>
      </w:r>
    </w:p>
    <w:p>
      <w:pPr>
        <w:pStyle w:val="BodyText"/>
        <w:spacing w:line="360" w:lineRule="auto" w:before="200" w:after="200"/>
        <w:ind w:firstLine="0"/>
        <w:jc w:val="center"/>
      </w:pPr>
      <w:r>
        <w:rPr>
          <w:rFonts w:ascii="Times New Roman" w:hAnsi="Times New Roman" w:cs="Times New Roman" w:eastAsia="Times New Roman"/>
          <w:b/>
          <w:bCs/>
          <w:sz w:val="20"/>
        </w:rPr>
        <w:t xml:space="preserve">Table 6.</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Rolling RMSE, climate-informed recharge.</w:t>
      </w:r>
    </w:p>
    <w:tbl>
      <w:tblPr>
        <w:tblStyle w:val="Table"/>
        <w:tblW w:type="auto" w:w="0"/>
        <w:jc w:val="left"/>
        <w:tblLook w:firstRow="1" w:lastRow="0" w:firstColumn="0" w:lastColumn="0" w:noHBand="0" w:noVBand="0" w:val="0020"/>
        <w:tblBorders>
          <w:top w:val="single" w:sz="12" w:color="000000"/>
          <w:bottom w:val="single" w:sz="12" w:color="000000"/>
          <w:left w:val="none"/>
          <w:right w:val="none"/>
          <w:insideH w:val="none"/>
          <w:insideV w:val="none"/>
        </w:tblBorders>
      </w:tblPr>
      <w:tblGrid>
        <w:gridCol w:w="1980"/>
        <w:gridCol w:w="1980"/>
        <w:gridCol w:w="1980"/>
        <w:gridCol w:w="1980"/>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Model</w:t>
            </w:r>
          </w:p>
        </w:tc>
        <w:tc>
          <w:tcPr>
            <w:tcBorders>
              <w:bottom w:val="single" w:sz="8" w:color="000000"/>
            </w:tcBorders>
          </w:tcPr>
          <w:p>
            <w:pPr>
              <w:pStyle w:val="Compact"/>
              <w:spacing w:line="240" w:lineRule="auto" w:after="40" w:before="40"/>
              <w:jc w:val="left"/>
            </w:pPr>
            <m:oMath>
              <m:r>
                <m:t>H</m:t>
              </m:r>
            </m:oMath>
            <w:r>
              <w:rPr>
                <w:rFonts w:ascii="Times New Roman" w:hAnsi="Times New Roman" w:cs="Times New Roman" w:eastAsia="Times New Roman"/>
                <w:b/>
                <w:sz w:val="19"/>
              </w:rPr>
              <w:t xml:space="preserve">,</w:t>
            </w:r>
            <w:r>
              <w:rPr>
                <w:rFonts w:ascii="Times New Roman" w:hAnsi="Times New Roman" w:cs="Times New Roman" w:eastAsia="Times New Roman"/>
                <w:b/>
                <w:sz w:val="19"/>
              </w:rPr>
              <w:t xml:space="preserve"> </w:t>
            </w:r>
            <m:oMath>
              <m:r>
                <m:t>h</m:t>
              </m:r>
              <m:r>
                <m:rPr>
                  <m:sty m:val="p"/>
                </m:rPr>
                <m:t>=</m:t>
              </m:r>
              <m:r>
                <m:t>1</m:t>
              </m:r>
            </m:oMath>
          </w:p>
        </w:tc>
        <w:tc>
          <w:tcPr>
            <w:tcBorders>
              <w:bottom w:val="single" w:sz="8" w:color="000000"/>
            </w:tcBorders>
          </w:tcPr>
          <w:p>
            <w:pPr>
              <w:pStyle w:val="Compact"/>
              <w:spacing w:line="240" w:lineRule="auto" w:after="40" w:before="40"/>
              <w:jc w:val="left"/>
            </w:pPr>
            <m:oMath>
              <m:r>
                <m:t>H</m:t>
              </m:r>
            </m:oMath>
            <w:r>
              <w:rPr>
                <w:rFonts w:ascii="Times New Roman" w:hAnsi="Times New Roman" w:cs="Times New Roman" w:eastAsia="Times New Roman"/>
                <w:b/>
                <w:sz w:val="19"/>
              </w:rPr>
              <w:t xml:space="preserve">,</w:t>
            </w:r>
            <w:r>
              <w:rPr>
                <w:rFonts w:ascii="Times New Roman" w:hAnsi="Times New Roman" w:cs="Times New Roman" w:eastAsia="Times New Roman"/>
                <w:b/>
                <w:sz w:val="19"/>
              </w:rPr>
              <w:t xml:space="preserve"> </w:t>
            </w:r>
            <m:oMath>
              <m:r>
                <m:t>h</m:t>
              </m:r>
              <m:r>
                <m:rPr>
                  <m:sty m:val="p"/>
                </m:rPr>
                <m:t>=</m:t>
              </m:r>
              <m:r>
                <m:t>5</m:t>
              </m:r>
            </m:oMath>
          </w:p>
        </w:tc>
        <w:tc>
          <w:tcPr>
            <w:tcBorders>
              <w:bottom w:val="single" w:sz="8" w:color="000000"/>
            </w:tcBorders>
          </w:tcPr>
          <w:p>
            <w:pPr>
              <w:pStyle w:val="Compact"/>
              <w:spacing w:line="240" w:lineRule="auto" w:after="40" w:before="40"/>
              <w:jc w:val="left"/>
            </w:pPr>
            <m:oMath>
              <m:r>
                <m:t>R</m:t>
              </m:r>
            </m:oMath>
            <w:r>
              <w:rPr>
                <w:rFonts w:ascii="Times New Roman" w:hAnsi="Times New Roman" w:cs="Times New Roman" w:eastAsia="Times New Roman"/>
                <w:b/>
                <w:sz w:val="19"/>
              </w:rPr>
              <w:t xml:space="preserve">,</w:t>
            </w:r>
            <w:r>
              <w:rPr>
                <w:rFonts w:ascii="Times New Roman" w:hAnsi="Times New Roman" w:cs="Times New Roman" w:eastAsia="Times New Roman"/>
                <w:b/>
                <w:sz w:val="19"/>
              </w:rPr>
              <w:t xml:space="preserve"> </w:t>
            </w:r>
            <m:oMath>
              <m:r>
                <m:t>h</m:t>
              </m:r>
              <m:r>
                <m:rPr>
                  <m:sty m:val="p"/>
                </m:rPr>
                <m:t>=</m:t>
              </m:r>
              <m:r>
                <m:t>1</m:t>
              </m:r>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w:t>
            </w:r>
            <m:oMath>
              <m:sSup>
                <m:e>
                  <m:r>
                    <m:t>10</m:t>
                  </m:r>
                </m:e>
                <m:sup>
                  <m:r>
                    <m:t>3</m:t>
                  </m:r>
                </m:sup>
              </m:sSup>
            </m:oMath>
            <w:r>
              <w:rPr>
                <w:rFonts w:ascii="Times New Roman" w:hAnsi="Times New Roman" w:cs="Times New Roman" w:eastAsia="Times New Roman"/>
                <w:b/>
                <w:sz w:val="19"/>
              </w:rPr>
              <w:t xml:space="preserve"> </w:t>
            </w:r>
            <w:r>
              <w:rPr>
                <w:rFonts w:ascii="Times New Roman" w:hAnsi="Times New Roman" w:cs="Times New Roman" w:eastAsia="Times New Roman"/>
                <w:b/>
                <w:sz w:val="19"/>
              </w:rPr>
              <w:t xml:space="preserve">acre-ft)</w:t>
            </w:r>
          </w:p>
        </w:tc>
      </w:tr>
      <w:tr>
        <w:tc>
          <w:tcPr/>
          <w:p>
            <w:pPr>
              <w:pStyle w:val="Compact"/>
              <w:spacing w:line="240" w:lineRule="auto" w:after="40" w:before="40"/>
              <w:jc w:val="left"/>
            </w:pPr>
            <w:r>
              <w:rPr>
                <w:rFonts w:ascii="Times New Roman" w:hAnsi="Times New Roman" w:cs="Times New Roman" w:eastAsia="Times New Roman"/>
                <w:sz w:val="19"/>
              </w:rPr>
              <w:t xml:space="preserve">persist</w:t>
            </w:r>
            <w:r>
              <w:rPr>
                <w:rFonts w:ascii="Times New Roman" w:hAnsi="Times New Roman" w:cs="Times New Roman" w:eastAsia="Times New Roman"/>
                <w:sz w:val="19"/>
              </w:rPr>
              <w:t xml:space="preserve"> </w:t>
            </w:r>
            <m:oMath>
              <m:r>
                <m:t>H</m:t>
              </m:r>
            </m:oMath>
            <w:r>
              <w:rPr>
                <w:rFonts w:ascii="Times New Roman" w:hAnsi="Times New Roman" w:cs="Times New Roman" w:eastAsia="Times New Roman"/>
                <w:sz w:val="19"/>
              </w:rPr>
              <w:t xml:space="preserve"> </w:t>
            </w:r>
            <w:r>
              <w:rPr>
                <w:rFonts w:ascii="Times New Roman" w:hAnsi="Times New Roman" w:cs="Times New Roman" w:eastAsia="Times New Roman"/>
                <w:sz w:val="19"/>
              </w:rPr>
              <w:t xml:space="preserve">/ persist</w:t>
            </w:r>
            <w:r>
              <w:rPr>
                <w:rFonts w:ascii="Times New Roman" w:hAnsi="Times New Roman" w:cs="Times New Roman" w:eastAsia="Times New Roman"/>
                <w:sz w:val="19"/>
              </w:rPr>
              <w:t xml:space="preserve"> </w:t>
            </w:r>
            <m:oMath>
              <m:r>
                <m:t>R</m:t>
              </m:r>
            </m:oMath>
          </w:p>
        </w:tc>
        <w:tc>
          <w:tcPr/>
          <w:p>
            <w:pPr>
              <w:pStyle w:val="Compact"/>
              <w:spacing w:line="240" w:lineRule="auto" w:after="40" w:before="40"/>
              <w:jc w:val="left"/>
            </w:pPr>
            <w:r>
              <w:rPr>
                <w:rFonts w:ascii="Times New Roman" w:hAnsi="Times New Roman" w:cs="Times New Roman" w:eastAsia="Times New Roman"/>
                <w:sz w:val="19"/>
              </w:rPr>
              <w:t xml:space="preserve">13.23</w:t>
            </w:r>
          </w:p>
        </w:tc>
        <w:tc>
          <w:tcPr/>
          <w:p>
            <w:pPr>
              <w:pStyle w:val="Compact"/>
              <w:spacing w:line="240" w:lineRule="auto" w:after="40" w:before="40"/>
              <w:jc w:val="left"/>
            </w:pPr>
            <w:r>
              <w:rPr>
                <w:rFonts w:ascii="Times New Roman" w:hAnsi="Times New Roman" w:cs="Times New Roman" w:eastAsia="Times New Roman"/>
                <w:b/>
                <w:bCs/>
                <w:sz w:val="19"/>
              </w:rPr>
              <w:t xml:space="preserve">21.11</w:t>
            </w:r>
          </w:p>
        </w:tc>
        <w:tc>
          <w:tcPr/>
          <w:p>
            <w:pPr>
              <w:pStyle w:val="Compact"/>
              <w:spacing w:line="240" w:lineRule="auto" w:after="40" w:before="40"/>
              <w:jc w:val="left"/>
            </w:pPr>
            <w:r>
              <w:rPr>
                <w:rFonts w:ascii="Times New Roman" w:hAnsi="Times New Roman" w:cs="Times New Roman" w:eastAsia="Times New Roman"/>
                <w:sz w:val="19"/>
              </w:rPr>
              <w:t xml:space="preserve">702</w:t>
            </w:r>
          </w:p>
        </w:tc>
      </w:tr>
      <w:tr>
        <w:tc>
          <w:tcPr/>
          <w:p>
            <w:pPr>
              <w:pStyle w:val="Compact"/>
              <w:spacing w:line="240" w:lineRule="auto" w:after="40" w:before="40"/>
              <w:jc w:val="left"/>
            </w:pPr>
            <w:r>
              <w:rPr>
                <w:rFonts w:ascii="Times New Roman" w:hAnsi="Times New Roman" w:cs="Times New Roman" w:eastAsia="Times New Roman"/>
                <w:sz w:val="19"/>
              </w:rPr>
              <w:t xml:space="preserve">M1</w:t>
            </w:r>
          </w:p>
        </w:tc>
        <w:tc>
          <w:tcPr/>
          <w:p>
            <w:pPr>
              <w:pStyle w:val="Compact"/>
              <w:spacing w:line="240" w:lineRule="auto" w:after="40" w:before="40"/>
              <w:jc w:val="left"/>
            </w:pPr>
            <w:r>
              <w:rPr>
                <w:rFonts w:ascii="Times New Roman" w:hAnsi="Times New Roman" w:cs="Times New Roman" w:eastAsia="Times New Roman"/>
                <w:sz w:val="19"/>
              </w:rPr>
              <w:t xml:space="preserve">12.84</w:t>
            </w:r>
          </w:p>
        </w:tc>
        <w:tc>
          <w:tcPr/>
          <w:p>
            <w:pPr>
              <w:pStyle w:val="Compact"/>
              <w:spacing w:line="240" w:lineRule="auto" w:after="40" w:before="40"/>
              <w:jc w:val="left"/>
            </w:pPr>
            <w:r>
              <w:rPr>
                <w:rFonts w:ascii="Times New Roman" w:hAnsi="Times New Roman" w:cs="Times New Roman" w:eastAsia="Times New Roman"/>
                <w:sz w:val="19"/>
              </w:rPr>
              <w:t xml:space="preserve">21.25</w:t>
            </w:r>
          </w:p>
        </w:tc>
        <w:tc>
          <w:tcPr/>
          <w:p>
            <w:pPr>
              <w:pStyle w:val="Compact"/>
              <w:spacing w:line="240" w:lineRule="auto" w:after="40" w:before="40"/>
              <w:jc w:val="left"/>
            </w:pPr>
            <w:r>
              <w:rPr>
                <w:rFonts w:ascii="Times New Roman" w:hAnsi="Times New Roman" w:cs="Times New Roman" w:eastAsia="Times New Roman"/>
                <w:sz w:val="19"/>
              </w:rPr>
              <w:t xml:space="preserve">—</w:t>
            </w:r>
          </w:p>
        </w:tc>
      </w:tr>
      <w:tr>
        <w:tc>
          <w:tcPr/>
          <w:p>
            <w:pPr>
              <w:pStyle w:val="Compact"/>
              <w:spacing w:line="240" w:lineRule="auto" w:after="40" w:before="40"/>
              <w:jc w:val="left"/>
            </w:pPr>
            <w:r>
              <w:rPr>
                <w:rFonts w:ascii="Times New Roman" w:hAnsi="Times New Roman" w:cs="Times New Roman" w:eastAsia="Times New Roman"/>
                <w:sz w:val="19"/>
              </w:rPr>
              <w:t xml:space="preserve">M2_Rar</w:t>
            </w:r>
          </w:p>
        </w:tc>
        <w:tc>
          <w:tcPr/>
          <w:p>
            <w:pPr>
              <w:pStyle w:val="Compact"/>
              <w:spacing w:line="240" w:lineRule="auto" w:after="40" w:before="40"/>
              <w:jc w:val="left"/>
            </w:pPr>
            <w:r>
              <w:rPr>
                <w:rFonts w:ascii="Times New Roman" w:hAnsi="Times New Roman" w:cs="Times New Roman" w:eastAsia="Times New Roman"/>
                <w:sz w:val="19"/>
              </w:rPr>
              <w:t xml:space="preserve">13.25</w:t>
            </w:r>
          </w:p>
        </w:tc>
        <w:tc>
          <w:tcPr/>
          <w:p>
            <w:pPr>
              <w:pStyle w:val="Compact"/>
              <w:spacing w:line="240" w:lineRule="auto" w:after="40" w:before="40"/>
              <w:jc w:val="left"/>
            </w:pPr>
            <w:r>
              <w:rPr>
                <w:rFonts w:ascii="Times New Roman" w:hAnsi="Times New Roman" w:cs="Times New Roman" w:eastAsia="Times New Roman"/>
                <w:sz w:val="19"/>
              </w:rPr>
              <w:t xml:space="preserve">25.38</w:t>
            </w:r>
          </w:p>
        </w:tc>
        <w:tc>
          <w:tcPr/>
          <w:p>
            <w:pPr>
              <w:pStyle w:val="Compact"/>
              <w:spacing w:line="240" w:lineRule="auto" w:after="40" w:before="40"/>
              <w:jc w:val="left"/>
            </w:pPr>
            <w:r>
              <w:rPr>
                <w:rFonts w:ascii="Times New Roman" w:hAnsi="Times New Roman" w:cs="Times New Roman" w:eastAsia="Times New Roman"/>
                <w:sz w:val="19"/>
              </w:rPr>
              <w:t xml:space="preserve">561</w:t>
            </w:r>
          </w:p>
        </w:tc>
      </w:tr>
      <w:tr>
        <w:tc>
          <w:tcPr/>
          <w:p>
            <w:pPr>
              <w:pStyle w:val="Compact"/>
              <w:spacing w:line="240" w:lineRule="auto" w:after="40" w:before="40"/>
              <w:jc w:val="left"/>
            </w:pPr>
            <w:r>
              <w:rPr>
                <w:rFonts w:ascii="Times New Roman" w:hAnsi="Times New Roman" w:cs="Times New Roman" w:eastAsia="Times New Roman"/>
                <w:sz w:val="19"/>
              </w:rPr>
              <w:t xml:space="preserve">M2_Renso</w:t>
            </w:r>
          </w:p>
        </w:tc>
        <w:tc>
          <w:tcPr/>
          <w:p>
            <w:pPr>
              <w:pStyle w:val="Compact"/>
              <w:spacing w:line="240" w:lineRule="auto" w:after="40" w:before="40"/>
              <w:jc w:val="left"/>
            </w:pPr>
            <w:r>
              <w:rPr>
                <w:rFonts w:ascii="Times New Roman" w:hAnsi="Times New Roman" w:cs="Times New Roman" w:eastAsia="Times New Roman"/>
                <w:sz w:val="19"/>
              </w:rPr>
              <w:t xml:space="preserve">12.82</w:t>
            </w:r>
          </w:p>
        </w:tc>
        <w:tc>
          <w:tcPr/>
          <w:p>
            <w:pPr>
              <w:pStyle w:val="Compact"/>
              <w:spacing w:line="240" w:lineRule="auto" w:after="40" w:before="40"/>
              <w:jc w:val="left"/>
            </w:pPr>
            <w:r>
              <w:rPr>
                <w:rFonts w:ascii="Times New Roman" w:hAnsi="Times New Roman" w:cs="Times New Roman" w:eastAsia="Times New Roman"/>
                <w:sz w:val="19"/>
              </w:rPr>
              <w:t xml:space="preserve">24.42</w:t>
            </w:r>
          </w:p>
        </w:tc>
        <w:tc>
          <w:tcPr/>
          <w:p>
            <w:pPr>
              <w:pStyle w:val="Compact"/>
              <w:spacing w:line="240" w:lineRule="auto" w:after="40" w:before="40"/>
              <w:jc w:val="left"/>
            </w:pPr>
            <w:r>
              <w:rPr>
                <w:rFonts w:ascii="Times New Roman" w:hAnsi="Times New Roman" w:cs="Times New Roman" w:eastAsia="Times New Roman"/>
                <w:sz w:val="19"/>
              </w:rPr>
              <w:t xml:space="preserve">528</w:t>
            </w:r>
          </w:p>
        </w:tc>
      </w:tr>
      <w:tr>
        <w:tc>
          <w:tcPr/>
          <w:p>
            <w:pPr>
              <w:pStyle w:val="Compact"/>
              <w:spacing w:line="240" w:lineRule="auto" w:after="40" w:before="40"/>
              <w:jc w:val="left"/>
            </w:pPr>
            <w:r>
              <w:rPr>
                <w:rFonts w:ascii="Times New Roman" w:hAnsi="Times New Roman" w:cs="Times New Roman" w:eastAsia="Times New Roman"/>
                <w:sz w:val="19"/>
              </w:rPr>
              <w:t xml:space="preserve">M2_Rprecip</w:t>
            </w:r>
          </w:p>
        </w:tc>
        <w:tc>
          <w:tcPr/>
          <w:p>
            <w:pPr>
              <w:pStyle w:val="Compact"/>
              <w:spacing w:line="240" w:lineRule="auto" w:after="40" w:before="40"/>
              <w:jc w:val="left"/>
            </w:pPr>
            <w:r>
              <w:rPr>
                <w:rFonts w:ascii="Times New Roman" w:hAnsi="Times New Roman" w:cs="Times New Roman" w:eastAsia="Times New Roman"/>
                <w:sz w:val="19"/>
              </w:rPr>
              <w:t xml:space="preserve">12.80</w:t>
            </w:r>
          </w:p>
        </w:tc>
        <w:tc>
          <w:tcPr/>
          <w:p>
            <w:pPr>
              <w:pStyle w:val="Compact"/>
              <w:spacing w:line="240" w:lineRule="auto" w:after="40" w:before="40"/>
              <w:jc w:val="left"/>
            </w:pPr>
            <w:r>
              <w:rPr>
                <w:rFonts w:ascii="Times New Roman" w:hAnsi="Times New Roman" w:cs="Times New Roman" w:eastAsia="Times New Roman"/>
                <w:sz w:val="19"/>
              </w:rPr>
              <w:t xml:space="preserve">25.38</w:t>
            </w:r>
          </w:p>
        </w:tc>
        <w:tc>
          <w:tcPr/>
          <w:p>
            <w:pPr>
              <w:pStyle w:val="Compact"/>
              <w:spacing w:line="240" w:lineRule="auto" w:after="40" w:before="40"/>
              <w:jc w:val="left"/>
            </w:pPr>
            <w:r>
              <w:rPr>
                <w:rFonts w:ascii="Times New Roman" w:hAnsi="Times New Roman" w:cs="Times New Roman" w:eastAsia="Times New Roman"/>
                <w:sz w:val="19"/>
              </w:rPr>
              <w:t xml:space="preserve">545</w:t>
            </w:r>
          </w:p>
        </w:tc>
      </w:tr>
      <w:tr>
        <w:tc>
          <w:tcPr/>
          <w:p>
            <w:pPr>
              <w:pStyle w:val="Compact"/>
              <w:spacing w:line="240" w:lineRule="auto" w:after="40" w:before="40"/>
              <w:jc w:val="left"/>
            </w:pPr>
            <w:r>
              <w:rPr>
                <w:rFonts w:ascii="Times New Roman" w:hAnsi="Times New Roman" w:cs="Times New Roman" w:eastAsia="Times New Roman"/>
                <w:sz w:val="19"/>
              </w:rPr>
              <w:t xml:space="preserve">M2_combo</w:t>
            </w:r>
          </w:p>
        </w:tc>
        <w:tc>
          <w:tcPr/>
          <w:p>
            <w:pPr>
              <w:pStyle w:val="Compact"/>
              <w:spacing w:line="240" w:lineRule="auto" w:after="40" w:before="40"/>
              <w:jc w:val="left"/>
            </w:pPr>
            <w:r>
              <w:rPr>
                <w:rFonts w:ascii="Times New Roman" w:hAnsi="Times New Roman" w:cs="Times New Roman" w:eastAsia="Times New Roman"/>
                <w:sz w:val="19"/>
              </w:rPr>
              <w:t xml:space="preserve">12.71</w:t>
            </w:r>
          </w:p>
        </w:tc>
        <w:tc>
          <w:tcPr/>
          <w:p>
            <w:pPr>
              <w:pStyle w:val="Compact"/>
              <w:spacing w:line="240" w:lineRule="auto" w:after="40" w:before="40"/>
              <w:jc w:val="left"/>
            </w:pPr>
            <w:r>
              <w:rPr>
                <w:rFonts w:ascii="Times New Roman" w:hAnsi="Times New Roman" w:cs="Times New Roman" w:eastAsia="Times New Roman"/>
                <w:sz w:val="19"/>
              </w:rPr>
              <w:t xml:space="preserve">26.88</w:t>
            </w:r>
          </w:p>
        </w:tc>
        <w:tc>
          <w:tcPr/>
          <w:p>
            <w:pPr>
              <w:pStyle w:val="Compact"/>
              <w:spacing w:line="240" w:lineRule="auto" w:after="40" w:before="40"/>
              <w:jc w:val="left"/>
            </w:pPr>
            <w:r>
              <w:rPr>
                <w:rFonts w:ascii="Times New Roman" w:hAnsi="Times New Roman" w:cs="Times New Roman" w:eastAsia="Times New Roman"/>
                <w:sz w:val="19"/>
              </w:rPr>
              <w:t xml:space="preserve">538</w:t>
            </w:r>
          </w:p>
        </w:tc>
      </w:tr>
      <w:tr>
        <w:tc>
          <w:tcPr/>
          <w:p>
            <w:pPr>
              <w:pStyle w:val="Compact"/>
              <w:spacing w:line="240" w:lineRule="auto" w:after="40" w:before="40"/>
              <w:jc w:val="left"/>
            </w:pPr>
            <w:r>
              <w:rPr>
                <w:rFonts w:ascii="Times New Roman" w:hAnsi="Times New Roman" w:cs="Times New Roman" w:eastAsia="Times New Roman"/>
                <w:sz w:val="19"/>
              </w:rPr>
              <w:t xml:space="preserve">rain climatology</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w:t>
            </w:r>
          </w:p>
        </w:tc>
        <w:tc>
          <w:tcPr/>
          <w:p>
            <w:pPr>
              <w:pStyle w:val="Compact"/>
              <w:spacing w:line="240" w:lineRule="auto" w:after="40" w:before="40"/>
              <w:jc w:val="left"/>
            </w:pPr>
            <w:r>
              <w:rPr>
                <w:rFonts w:ascii="Times New Roman" w:hAnsi="Times New Roman" w:cs="Times New Roman" w:eastAsia="Times New Roman"/>
                <w:sz w:val="19"/>
              </w:rPr>
              <w:t xml:space="preserve">556</w:t>
            </w:r>
          </w:p>
        </w:tc>
      </w:tr>
      <w:tr>
        <w:tc>
          <w:tcPr/>
          <w:p>
            <w:pPr>
              <w:pStyle w:val="Compact"/>
              <w:spacing w:line="240" w:lineRule="auto" w:after="40" w:before="40"/>
              <w:jc w:val="left"/>
            </w:pPr>
            <w:r>
              <w:rPr>
                <w:rFonts w:ascii="Times New Roman" w:hAnsi="Times New Roman" w:cs="Times New Roman" w:eastAsia="Times New Roman"/>
                <w:sz w:val="19"/>
              </w:rPr>
              <w:t xml:space="preserve">rain oracle</w:t>
            </w:r>
          </w:p>
        </w:tc>
        <w:tc>
          <w:tcPr/>
          <w:p>
            <w:pPr>
              <w:pStyle w:val="Compact"/>
              <w:spacing w:line="240" w:lineRule="auto" w:after="40" w:before="40"/>
              <w:jc w:val="left"/>
            </w:pPr>
            <w:r>
              <w:rPr>
                <w:rFonts w:ascii="Times New Roman" w:hAnsi="Times New Roman" w:cs="Times New Roman" w:eastAsia="Times New Roman"/>
                <w:sz w:val="19"/>
              </w:rPr>
              <w:t xml:space="preserve">10.56</w:t>
            </w:r>
          </w:p>
        </w:tc>
        <w:tc>
          <w:tcPr/>
          <w:p>
            <w:pPr>
              <w:pStyle w:val="Compact"/>
              <w:spacing w:line="240" w:lineRule="auto" w:after="40" w:before="40"/>
              <w:jc w:val="left"/>
            </w:pPr>
            <w:r>
              <w:rPr>
                <w:rFonts w:ascii="Times New Roman" w:hAnsi="Times New Roman" w:cs="Times New Roman" w:eastAsia="Times New Roman"/>
                <w:sz w:val="19"/>
              </w:rPr>
              <w:t xml:space="preserve">16.91</w:t>
            </w:r>
          </w:p>
        </w:tc>
        <w:tc>
          <w:tcPr/>
          <w:p>
            <w:pPr>
              <w:pStyle w:val="Compact"/>
              <w:spacing w:line="240" w:lineRule="auto" w:after="40" w:before="40"/>
              <w:jc w:val="left"/>
            </w:pPr>
            <w:r>
              <w:rPr>
                <w:rFonts w:ascii="Times New Roman" w:hAnsi="Times New Roman" w:cs="Times New Roman" w:eastAsia="Times New Roman"/>
                <w:b/>
                <w:bCs/>
                <w:sz w:val="19"/>
              </w:rPr>
              <w:t xml:space="preserve">354</w:t>
            </w:r>
          </w:p>
        </w:tc>
      </w:tr>
    </w:tbl>
    <w:p>
      <w:pPr>
        <w:pStyle w:val="BodyText"/>
        <w:spacing w:line="360" w:lineRule="auto" w:after="120"/>
        <w:ind w:firstLine="720"/>
        <w:jc w:val="both"/>
      </w:pPr>
      <w:r>
        <w:rPr>
          <w:rFonts w:ascii="Times New Roman" w:hAnsi="Times New Roman" w:cs="Times New Roman" w:eastAsia="Times New Roman"/>
          <w:sz w:val="24"/>
        </w:rPr>
        <w:t xml:space="preserve">Same-year</w:t>
      </w:r>
      <w:r>
        <w:rPr>
          <w:rFonts w:ascii="Times New Roman" w:hAnsi="Times New Roman" w:cs="Times New Roman" w:eastAsia="Times New Roman"/>
          <w:sz w:val="24"/>
        </w:rPr>
        <w:t xml:space="preserve"> </w:t>
      </w:r>
      <m:oMath>
        <m:r>
          <m:rPr>
            <m:sty m:val="p"/>
          </m:rPr>
          <m:t>c</m:t>
        </m:r>
        <m:r>
          <m:rPr>
            <m:sty m:val="p"/>
          </m:rPr>
          <m:t>o</m:t>
        </m:r>
        <m:r>
          <m:rPr>
            <m:sty m:val="p"/>
          </m:rPr>
          <m:t>r</m:t>
        </m:r>
        <m:r>
          <m:rPr>
            <m:sty m:val="p"/>
          </m:rPr>
          <m:t>r</m:t>
        </m:r>
        <m:d>
          <m:dPr>
            <m:begChr m:val="("/>
            <m:endChr m:val=")"/>
            <m:sepChr m:val=""/>
            <m:grow/>
          </m:dPr>
          <m:e>
            <m:r>
              <m:t>R</m:t>
            </m:r>
            <m:r>
              <m:rPr>
                <m:sty m:val="p"/>
              </m:rPr>
              <m:t>,</m:t>
            </m:r>
            <m:acc>
              <m:accPr>
                <m:chr m:val="‾"/>
              </m:accPr>
              <m:e>
                <m:r>
                  <m:t>P</m:t>
                </m:r>
              </m:e>
            </m:acc>
          </m:e>
        </m:d>
        <m:r>
          <m:rPr>
            <m:sty m:val="p"/>
          </m:rPr>
          <m:t>=</m:t>
        </m:r>
        <m:r>
          <m:t>0.78</m:t>
        </m:r>
      </m:oMath>
      <w:r>
        <w:rPr>
          <w:rFonts w:ascii="Times New Roman" w:hAnsi="Times New Roman" w:cs="Times New Roman" w:eastAsia="Times New Roman"/>
          <w:sz w:val="24"/>
        </w:rPr>
        <w:t xml:space="preserve">, which is why the precipitation oracle reduces head RMSE to 10.56 ft. It remains worse than the full</w:t>
      </w:r>
      <w:r>
        <w:rPr>
          <w:rFonts w:ascii="Times New Roman" w:hAnsi="Times New Roman" w:cs="Times New Roman" w:eastAsia="Times New Roman"/>
          <w:sz w:val="24"/>
        </w:rPr>
        <w:t xml:space="preserve"> </w:t>
      </w:r>
      <m:oMath>
        <m:d>
          <m:dPr>
            <m:begChr m:val="("/>
            <m:endChr m:val=")"/>
            <m:sepChr m:val=""/>
            <m:grow/>
          </m:dPr>
          <m:e>
            <m:r>
              <m:t>R</m:t>
            </m:r>
            <m:r>
              <m:rPr>
                <m:sty m:val="p"/>
              </m:rPr>
              <m:t>,</m:t>
            </m:r>
            <m:r>
              <m:t>P</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oracle (7.55 ft): the linear rain map misses 1957-scale extremes.</w:t>
      </w:r>
    </w:p>
    <w:p>
      <w:pPr>
        <w:pStyle w:val="BodyText"/>
        <w:spacing w:line="360" w:lineRule="auto" w:after="120"/>
        <w:ind w:firstLine="720"/>
        <w:jc w:val="both"/>
      </w:pPr>
      <w:r>
        <w:rPr>
          <w:rFonts w:ascii="Times New Roman" w:hAnsi="Times New Roman" w:cs="Times New Roman" w:eastAsia="Times New Roman"/>
          <w:sz w:val="24"/>
        </w:rPr>
        <w:t xml:space="preserve">Lagged precipitation and September–November Niño 3.4 have modest skill 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to climatology (528–545 versus 556</w:t>
      </w:r>
      <w:r>
        <w:rPr>
          <w:rFonts w:ascii="Times New Roman" w:hAnsi="Times New Roman" w:cs="Times New Roman" w:eastAsia="Times New Roman"/>
          <w:sz w:val="24"/>
        </w:rPr>
        <w:t xml:space="preserve"> </w:t>
      </w:r>
      <m:oMath>
        <m:r>
          <m:rPr>
            <m:sty m:val="p"/>
          </m:rPr>
          <m:t>×</m:t>
        </m:r>
        <m:sSup>
          <m:e>
            <m:r>
              <m:t>10</m:t>
            </m:r>
          </m:e>
          <m:sup>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acre-ft). They do not constitute forecast structure on</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the point-RMSE rule lists ENSO, lagged precipitation, and the combination (each less than persist and less than M1);</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margins versus M1 are 0.02, 0.04, and 0.13 ft;</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at</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three have RMSE 3–6 ft higher than persistence;</w:t>
      </w:r>
    </w:p>
    <w:p>
      <w:pPr>
        <w:pStyle w:val="Compact"/>
        <w:numPr>
          <w:ilvl w:val="0"/>
          <w:numId w:val="1002"/>
        </w:numPr>
        <w:spacing w:line="360" w:lineRule="auto" w:after="80"/>
        <w:ind w:firstLine="0"/>
        <w:jc w:val="left"/>
      </w:pPr>
      <w:r>
        <w:rPr>
          <w:rFonts w:ascii="Times New Roman" w:hAnsi="Times New Roman" w:cs="Times New Roman" w:eastAsia="Times New Roman"/>
          <w:sz w:val="24"/>
        </w:rPr>
        <w:t xml:space="preserve">they are M2m with a weakly adjusted intercept and do not constitute additional forecast structure.</w:t>
      </w:r>
    </w:p>
    <w:p>
      <w:pPr>
        <w:pStyle w:val="FirstParagraph"/>
        <w:spacing w:line="360" w:lineRule="auto" w:after="120"/>
        <w:ind w:firstLine="720"/>
        <w:jc w:val="both"/>
      </w:pPr>
      <w:r>
        <w:rPr>
          <w:rFonts w:ascii="Times New Roman" w:hAnsi="Times New Roman" w:cs="Times New Roman" w:eastAsia="Times New Roman"/>
          <w:sz w:val="24"/>
        </w:rPr>
        <w:t xml:space="preserve">M2_Rar loses at</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(13.25 ft; 0.41 ft worse than M1). Autoregression on nearly white recharge is not a recharge forecast.</w:t>
      </w:r>
    </w:p>
    <w:p>
      <w:pPr>
        <w:pStyle w:val="BodyText"/>
        <w:spacing w:line="360" w:lineRule="auto" w:after="120"/>
        <w:ind w:firstLine="720"/>
        <w:jc w:val="both"/>
      </w:pPr>
      <w:r>
        <w:rPr>
          <w:rFonts w:ascii="Times New Roman" w:hAnsi="Times New Roman" w:cs="Times New Roman" w:eastAsia="Times New Roman"/>
          <w:sz w:val="24"/>
        </w:rPr>
        <w:t xml:space="preserve">On the 1957–61 recovery, no causal climate-informed module has lower RMSE than persistence (persist 43.6 ft; best causal about 48.8 ft; precipitation oracle 33.7 ft). September–November 1956 is La Niña (</w:t>
      </w:r>
      <m:oMath>
        <m:r>
          <m:rPr>
            <m:sty m:val="p"/>
          </m:rPr>
          <m:t>−</m:t>
        </m:r>
        <m:r>
          <m:t>0.92</m:t>
        </m:r>
      </m:oMath>
      <w:r>
        <w:rPr>
          <w:rFonts w:ascii="Times New Roman" w:hAnsi="Times New Roman" w:cs="Times New Roman" w:eastAsia="Times New Roman"/>
          <w:sz w:val="24"/>
        </w:rPr>
        <w:t xml:space="preserve">) and does not announce</w:t>
      </w:r>
      <w:r>
        <w:rPr>
          <w:rFonts w:ascii="Times New Roman" w:hAnsi="Times New Roman" w:cs="Times New Roman" w:eastAsia="Times New Roman"/>
          <w:sz w:val="24"/>
        </w:rPr>
        <w:t xml:space="preserve"> </w:t>
      </w:r>
      <m:oMath>
        <m:sSub>
          <m:e>
            <m:r>
              <m:t>R</m:t>
            </m:r>
          </m:e>
          <m:sub>
            <m:r>
              <m:t>1957</m:t>
            </m:r>
          </m:sub>
        </m:sSub>
        <m:r>
          <m:rPr>
            <m:sty m:val="p"/>
          </m:rPr>
          <m:t>=</m:t>
        </m:r>
        <m:r>
          <m:t>1143</m:t>
        </m:r>
      </m:oMath>
      <w:r>
        <w:rPr>
          <w:rFonts w:ascii="Times New Roman" w:hAnsi="Times New Roman" w:cs="Times New Roman" w:eastAsia="Times New Roman"/>
          <w:sz w:val="24"/>
        </w:rPr>
        <w:t xml:space="preserve">.</w:t>
      </w:r>
    </w:p>
    <w:p>
      <w:pPr>
        <w:pStyle w:val="BodyText"/>
        <w:spacing w:line="360" w:lineRule="auto" w:after="120"/>
        <w:ind w:firstLine="720"/>
        <w:jc w:val="both"/>
      </w:pPr>
      <w:r>
        <w:rPr>
          <w:rFonts w:ascii="Times New Roman" w:hAnsi="Times New Roman" w:cs="Times New Roman" w:eastAsia="Times New Roman"/>
          <w:sz w:val="24"/>
        </w:rPr>
        <w:t xml:space="preserve">The remaining fixed windows complete the same record. Drawdown 1951–56: persist 23.75, M1 30.94, M2_Renso 24.30, M2_Rprecip 28.67, M2_combo 24.70, precipitation oracle 18.16 ft. Pre-permit wet 1991–95: persist 30.13, M1 20.02, M2_Rprecip 22.03, M2_Renso 23.03, M2_Rar 23.94, M2_combo 25.71, oracle 10.98 ft. Critical-period era 2015–23: persist 27.41, M1 15.62, M2_Rprecip 14.52, M2_Rar 14.67, M2_Renso 16.01, M2_combo 16.57, oracle 9.75 ft — on this one window the two climate-informed recharge modules edge past M1 by about one foot. On the recharge target itself the fixed-window scores are an order of magnitude coarser on every window (climate modules 199–937; precipitation oracle 80.7–487, against the 556</w:t>
      </w:r>
      <w:r>
        <w:rPr>
          <w:rFonts w:ascii="Times New Roman" w:hAnsi="Times New Roman" w:cs="Times New Roman" w:eastAsia="Times New Roman"/>
          <w:sz w:val="24"/>
        </w:rPr>
        <w:t xml:space="preserve"> </w:t>
      </w:r>
      <m:oMath>
        <m:r>
          <m:rPr>
            <m:sty m:val="p"/>
          </m:rPr>
          <m:t>×</m:t>
        </m:r>
        <m:sSup>
          <m:e>
            <m:r>
              <m:t>10</m:t>
            </m:r>
          </m:e>
          <m:sup>
            <m:r>
              <m:t>3</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acre-ft climatology scale of the rolling record), so the marginal head advantage is a window-specific result, not a recharge forecast.</w:t>
      </w:r>
    </w:p>
    <w:p>
      <w:pPr>
        <w:pStyle w:val="BodyText"/>
        <w:spacing w:line="360" w:lineRule="auto" w:after="120"/>
        <w:ind w:firstLine="720"/>
        <w:jc w:val="both"/>
      </w:pPr>
      <w:r>
        <w:rPr>
          <w:rFonts w:ascii="Times New Roman" w:hAnsi="Times New Roman" w:cs="Times New Roman" w:eastAsia="Times New Roman"/>
          <w:sz w:val="24"/>
        </w:rPr>
        <w:t xml:space="preserve">No climate-informed recharge module is retained. Closing the gap between persistence and the oracle would require next year’s recharge, which is not available at the annual forecast origin.</w:t>
      </w:r>
    </w:p>
    <w:bookmarkEnd w:id="40"/>
    <w:bookmarkStart w:id="44" w:name="service-series-after-freeze"/>
    <w:p>
      <w:pPr>
        <w:pStyle w:val="Heading2"/>
        <w:spacing w:before="240" w:after="120" w:line="360" w:lineRule="auto"/>
        <w:ind w:firstLine="0" w:left="0"/>
        <w:jc w:val="left"/>
      </w:pPr>
      <w:r>
        <w:rPr>
          <w:rFonts w:ascii="Times New Roman" w:hAnsi="Times New Roman" w:cs="Times New Roman" w:eastAsia="Times New Roman"/>
          <w:b/>
          <w:sz w:val="24"/>
        </w:rPr>
        <w:t xml:space="preserve">5.5 Service series after freeze</w:t>
      </w:r>
    </w:p>
    <w:p>
      <w:pPr>
        <w:pStyle w:val="CaptionedFigure"/>
        <w:spacing w:line="360" w:lineRule="auto" w:after="120"/>
        <w:ind w:firstLine="0"/>
        <w:jc w:val="center"/>
      </w:pPr>
      <w:r>
        <w:rPr>
          <w:rFonts w:ascii="Times New Roman" w:hAnsi="Times New Roman" w:cs="Times New Roman" w:eastAsia="Times New Roman"/>
          <w:sz w:val="22"/>
        </w:rPr>
        <w:drawing>
          <wp:inline>
            <wp:extent cx="5334000" cy="2496765"/>
            <wp:effectExtent b="0" l="0" r="0" t="0"/>
            <wp:docPr descr="Figure 5" title="" id="42" name="Picture"/>
            <a:graphic>
              <a:graphicData uri="http://schemas.openxmlformats.org/drawingml/2006/picture">
                <pic:pic>
                  <pic:nvPicPr>
                    <pic:cNvPr descr="fig5_fibre.png" id="43" name="Picture"/>
                    <pic:cNvPicPr>
                      <a:picLocks noChangeArrowheads="1" noChangeAspect="1"/>
                    </pic:cNvPicPr>
                  </pic:nvPicPr>
                  <pic:blipFill>
                    <a:blip r:embed="rId41"/>
                    <a:stretch>
                      <a:fillRect/>
                    </a:stretch>
                  </pic:blipFill>
                  <pic:spPr bwMode="auto">
                    <a:xfrm>
                      <a:off x="0" y="0"/>
                      <a:ext cx="5334000" cy="2496765"/>
                    </a:xfrm>
                    <a:prstGeom prst="rect">
                      <a:avLst/>
                    </a:prstGeom>
                    <a:noFill/>
                    <a:ln w="9525">
                      <a:noFill/>
                      <a:headEnd/>
                      <a:tailEnd/>
                    </a:ln>
                  </pic:spPr>
                </pic:pic>
              </a:graphicData>
            </a:graphic>
          </wp:inline>
        </w:drawing>
      </w:r>
    </w:p>
    <w:p>
      <w:pPr>
        <w:pStyle w:val="ImageCaption"/>
        <w:spacing w:line="360" w:lineRule="auto" w:before="200" w:after="200"/>
        <w:ind w:firstLine="0"/>
        <w:jc w:val="center"/>
      </w:pPr>
      <w:r>
        <w:rPr>
          <w:rFonts w:ascii="Times New Roman" w:hAnsi="Times New Roman" w:cs="Times New Roman" w:eastAsia="Times New Roman"/>
          <w:sz w:val="20"/>
        </w:rPr>
        <w:t xml:space="preserve">Figure 5</w:t>
      </w:r>
    </w:p>
    <w:p>
      <w:pPr>
        <w:pStyle w:val="BodyText"/>
        <w:spacing w:line="360" w:lineRule="auto" w:before="200" w:after="200"/>
        <w:ind w:firstLine="0"/>
        <w:jc w:val="center"/>
      </w:pPr>
      <w:r>
        <w:rPr>
          <w:rFonts w:ascii="Times New Roman" w:hAnsi="Times New Roman" w:cs="Times New Roman" w:eastAsia="Times New Roman"/>
          <w:b/>
          <w:bCs/>
          <w:sz w:val="20"/>
        </w:rPr>
        <w:t xml:space="preserve">Figure 5.</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Comal annual mean versus J-17. Contemporaneous</w:t>
      </w:r>
      <w:r>
        <w:rPr>
          <w:rFonts w:ascii="Times New Roman" w:hAnsi="Times New Roman" w:cs="Times New Roman" w:eastAsia="Times New Roman"/>
          <w:sz w:val="20"/>
        </w:rPr>
        <w:t xml:space="preserve"> </w:t>
      </w:r>
      <m:oMath>
        <m:r>
          <m:t>r</m:t>
        </m:r>
        <m:r>
          <m:rPr>
            <m:sty m:val="p"/>
          </m:rPr>
          <m:t>=</m:t>
        </m:r>
        <m:r>
          <m:t>0.986</m:t>
        </m:r>
      </m:oMath>
      <w:r>
        <w:rPr>
          <w:rFonts w:ascii="Times New Roman" w:hAnsi="Times New Roman" w:cs="Times New Roman" w:eastAsia="Times New Roman"/>
          <w:sz w:val="20"/>
        </w:rPr>
        <w:t xml:space="preserve">. The service series — the observation fibre, a measured channel of the same state — is a measured service, not an independent information source.</w:t>
      </w:r>
    </w:p>
    <w:p>
      <w:pPr>
        <w:pStyle w:val="BodyText"/>
        <w:spacing w:line="360" w:lineRule="auto" w:after="120"/>
        <w:ind w:firstLine="720"/>
        <w:jc w:val="both"/>
      </w:pPr>
      <w:r>
        <w:rPr>
          <w:rFonts w:ascii="Times New Roman" w:hAnsi="Times New Roman" w:cs="Times New Roman" w:eastAsia="Times New Roman"/>
          <w:sz w:val="24"/>
        </w:rPr>
        <w:t xml:space="preserve">The map</w:t>
      </w:r>
      <w:r>
        <w:rPr>
          <w:rFonts w:ascii="Times New Roman" w:hAnsi="Times New Roman" w:cs="Times New Roman" w:eastAsia="Times New Roman"/>
          <w:sz w:val="24"/>
        </w:rPr>
        <w:t xml:space="preserve"> </w:t>
      </w:r>
      <m:oMath>
        <m:r>
          <m:t>Q</m:t>
        </m:r>
        <m:r>
          <m:rPr>
            <m:sty m:val="p"/>
          </m:rPr>
          <m:t>=</m:t>
        </m:r>
        <m:sSub>
          <m:e>
            <m:r>
              <m:t>c</m:t>
            </m:r>
          </m:e>
          <m:sub>
            <m:r>
              <m:t>0</m:t>
            </m:r>
          </m:sub>
        </m:sSub>
        <m:r>
          <m:rPr>
            <m:sty m:val="p"/>
          </m:rPr>
          <m:t>+</m:t>
        </m:r>
        <m:sSub>
          <m:e>
            <m:r>
              <m:t>c</m:t>
            </m:r>
          </m:e>
          <m:sub>
            <m:r>
              <m:t>1</m:t>
            </m:r>
          </m:sub>
        </m:sSub>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 fitted on 1934–1950 only (</w:t>
      </w:r>
      <m:oMath>
        <m:sSub>
          <m:e>
            <m:r>
              <m:t>c</m:t>
            </m:r>
          </m:e>
          <m:sub>
            <m:r>
              <m:t>0</m:t>
            </m:r>
          </m:sub>
        </m:sSub>
        <m:r>
          <m:rPr>
            <m:sty m:val="p"/>
          </m:rPr>
          <m:t>=</m:t>
        </m:r>
        <m:r>
          <m:rPr>
            <m:sty m:val="p"/>
          </m:rPr>
          <m:t>−</m:t>
        </m:r>
        <m:r>
          <m:t>2876</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c</m:t>
            </m:r>
          </m:e>
          <m:sub>
            <m:r>
              <m:t>1</m:t>
            </m:r>
          </m:sub>
        </m:sSub>
        <m:r>
          <m:rPr>
            <m:sty m:val="p"/>
          </m:rPr>
          <m:t>=</m:t>
        </m:r>
        <m:r>
          <m:t>4.77</m:t>
        </m:r>
      </m:oMath>
      <w:r>
        <w:rPr>
          <w:rFonts w:ascii="Times New Roman" w:hAnsi="Times New Roman" w:cs="Times New Roman" w:eastAsia="Times New Roman"/>
          <w:sz w:val="24"/>
        </w:rPr>
        <w:t xml:space="preserve">) and applied to already-issued</w:t>
      </w:r>
      <w:r>
        <w:rPr>
          <w:rFonts w:ascii="Times New Roman" w:hAnsi="Times New Roman" w:cs="Times New Roman" w:eastAsia="Times New Roman"/>
          <w:sz w:val="24"/>
        </w:rPr>
        <w:t xml:space="preserve"> </w:t>
      </w:r>
      <m:oMath>
        <m:acc>
          <m:accPr>
            <m:chr m:val="̂"/>
          </m:accPr>
          <m:e>
            <m:r>
              <m:t>H</m:t>
            </m:r>
          </m:e>
        </m:acc>
      </m:oMath>
      <w:r>
        <w:rPr>
          <w:rFonts w:ascii="Times New Roman" w:hAnsi="Times New Roman" w:cs="Times New Roman" w:eastAsia="Times New Roman"/>
          <w:sz w:val="24"/>
        </w:rPr>
        <w:t xml:space="preserve">. One-year Comal RMSE: persist 71.9 cfs, M1 69.0, M2m 68.7, M2 74.8, M3 73.8, M4 73.4, train-mean 89.7, oracle 45.3.</w:t>
      </w:r>
    </w:p>
    <w:p>
      <w:pPr>
        <w:pStyle w:val="BodyText"/>
        <w:spacing w:line="360" w:lineRule="auto" w:after="120"/>
        <w:ind w:firstLine="720"/>
        <w:jc w:val="both"/>
      </w:pPr>
      <w:r>
        <w:rPr>
          <w:rFonts w:ascii="Times New Roman" w:hAnsi="Times New Roman" w:cs="Times New Roman" w:eastAsia="Times New Roman"/>
          <w:sz w:val="24"/>
        </w:rPr>
        <w:t xml:space="preserve">The service series does not change retention. It cannot: it is nearly a linear transform of</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Comal is an independent measurement (a USGS spring gauge, not used to construct J-17). It is not an independent information source. Gravimetric storage or the J-27 Uvalde index would be different objects, not a second fibre of this specification. Eastern-basin recharge was stored and not used.</w:t>
      </w:r>
    </w:p>
    <w:bookmarkEnd w:id="44"/>
    <w:bookmarkEnd w:id="45"/>
    <w:bookmarkStart w:id="46" w:name="discussion"/>
    <w:p>
      <w:pPr>
        <w:pStyle w:val="Heading1"/>
        <w:spacing w:before="360" w:after="120" w:line="360" w:lineRule="auto"/>
        <w:ind w:firstLine="0" w:left="0"/>
        <w:jc w:val="left"/>
      </w:pPr>
      <w:r>
        <w:rPr>
          <w:rFonts w:ascii="Times New Roman" w:hAnsi="Times New Roman" w:cs="Times New Roman" w:eastAsia="Times New Roman"/>
          <w:b/>
          <w:sz w:val="28"/>
        </w:rPr>
        <w:t xml:space="preserve">6. Discussion</w:t>
      </w:r>
    </w:p>
    <w:p>
      <w:pPr>
        <w:pStyle w:val="FirstParagraph"/>
        <w:spacing w:line="360" w:lineRule="auto" w:after="120"/>
        <w:ind w:firstLine="720"/>
        <w:jc w:val="both"/>
      </w:pPr>
      <w:r>
        <w:rPr>
          <w:rFonts w:ascii="Times New Roman" w:hAnsi="Times New Roman" w:cs="Times New Roman" w:eastAsia="Times New Roman"/>
          <w:sz w:val="24"/>
        </w:rPr>
        <w:t xml:space="preserve">The one-pool increment</w:t>
      </w:r>
      <w:r>
        <w:rPr>
          <w:rFonts w:ascii="Times New Roman" w:hAnsi="Times New Roman" w:cs="Times New Roman" w:eastAsia="Times New Roman"/>
          <w:sz w:val="24"/>
        </w:rPr>
        <w:t xml:space="preserve"> </w:t>
      </w:r>
      <m:oMath>
        <m:r>
          <m:t>Δ</m:t>
        </m:r>
        <m:r>
          <m:t>H</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tracks recharge (</w:t>
      </w:r>
      <m:oMath>
        <m:r>
          <m:t>r</m:t>
        </m:r>
        <m:r>
          <m:rPr>
            <m:sty m:val="p"/>
          </m:rPr>
          <m:t>=</m:t>
        </m:r>
        <m:r>
          <m:t>0.74</m:t>
        </m:r>
      </m:oMath>
      <w:r>
        <w:rPr>
          <w:rFonts w:ascii="Times New Roman" w:hAnsi="Times New Roman" w:cs="Times New Roman" w:eastAsia="Times New Roman"/>
          <w:sz w:val="24"/>
        </w:rPr>
        <w:t xml:space="preserve">). Oracle RMSE is about half of persistence at both</w:t>
      </w:r>
      <w:r>
        <w:rPr>
          <w:rFonts w:ascii="Times New Roman" w:hAnsi="Times New Roman" w:cs="Times New Roman" w:eastAsia="Times New Roman"/>
          <w:sz w:val="24"/>
        </w:rPr>
        <w:t xml:space="preserve"> </w:t>
      </w:r>
      <m:oMath>
        <m:r>
          <m:t>h</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h</m:t>
        </m:r>
        <m:r>
          <m:rPr>
            <m:sty m:val="p"/>
          </m:rPr>
          <m:t>=</m:t>
        </m:r>
        <m:r>
          <m:t>5</m:t>
        </m:r>
      </m:oMath>
      <w:r>
        <w:rPr>
          <w:rFonts w:ascii="Times New Roman" w:hAnsi="Times New Roman" w:cs="Times New Roman" w:eastAsia="Times New Roman"/>
          <w:sz w:val="24"/>
        </w:rPr>
        <w:t xml:space="preserve">. The map accounts for contemporaneous increments when the year’s water is known.</w:t>
      </w:r>
    </w:p>
    <w:p>
      <w:pPr>
        <w:pStyle w:val="BodyText"/>
        <w:spacing w:line="360" w:lineRule="auto" w:after="120"/>
        <w:ind w:firstLine="720"/>
        <w:jc w:val="both"/>
      </w:pPr>
      <w:r>
        <w:rPr>
          <w:rFonts w:ascii="Times New Roman" w:hAnsi="Times New Roman" w:cs="Times New Roman" w:eastAsia="Times New Roman"/>
          <w:sz w:val="24"/>
        </w:rPr>
        <w:t xml:space="preserve">As a one-year forecast, causal stock-flow fails because the dominant increment is not persistent. Residual and delayed variants inherit that timing error. Recoveries in 1957 and 1992 are missed by every causal model and captured by the oracle. The identified driver has the wrong timing for an annual origin: the same pattern appears in a companion evaluation on Northern cod (under separate review), where a more accurate catch series does not rescue constant-productivity surplus production. The two score tables are not pooled.</w:t>
      </w:r>
    </w:p>
    <w:p>
      <w:pPr>
        <w:pStyle w:val="BodyText"/>
        <w:spacing w:line="360" w:lineRule="auto" w:after="120"/>
        <w:ind w:firstLine="720"/>
        <w:jc w:val="both"/>
      </w:pPr>
      <w:r>
        <w:rPr>
          <w:rFonts w:ascii="Times New Roman" w:hAnsi="Times New Roman" w:cs="Times New Roman" w:eastAsia="Times New Roman"/>
          <w:sz w:val="24"/>
        </w:rPr>
        <w:t xml:space="preserve">The 1950s decline is not a Stage I event. The 660 ft line is a 2007 rule. 1956 is a physical near-cessation at Comal (annual mean springflow 32 cfs; daily J-17 minimum 612.51 ft). Slack to 660 ft is the wrong leading indicator for 1951–56, just as the 2016 Northern cod limit reference point was the wrong leading indicator for 1983–90.</w:t>
      </w:r>
    </w:p>
    <w:p>
      <w:pPr>
        <w:pStyle w:val="BodyText"/>
        <w:spacing w:line="360" w:lineRule="auto" w:after="120"/>
        <w:ind w:firstLine="720"/>
        <w:jc w:val="both"/>
      </w:pPr>
      <w:r>
        <w:rPr>
          <w:rFonts w:ascii="Times New Roman" w:hAnsi="Times New Roman" w:cs="Times New Roman" w:eastAsia="Times New Roman"/>
          <w:sz w:val="24"/>
        </w:rPr>
        <w:t xml:space="preserve">Two-pool exchange, solute, and barrier bookkeeping were not fitted and cannot be retained. In the two-pool parameterization, the relative-exchange term is removed, leakage is not applicable, and no barrier or exchange term is fitted; the blocking list is not closed by this paper. Post-1997 pumpage no longer spikes with drought as in 1956 (321 kaf wells); that change is already in</w:t>
      </w:r>
      <w:r>
        <w:rPr>
          <w:rFonts w:ascii="Times New Roman" w:hAnsi="Times New Roman" w:cs="Times New Roman" w:eastAsia="Times New Roman"/>
          <w:sz w:val="24"/>
        </w:rPr>
        <w:t xml:space="preserve"> </w:t>
      </w:r>
      <m:oMath>
        <m:sSub>
          <m:e>
            <m:r>
              <m:t>P</m:t>
            </m:r>
          </m:e>
          <m:sub>
            <m:r>
              <m:t>t</m:t>
            </m:r>
          </m:sub>
        </m:sSub>
      </m:oMath>
      <w:r>
        <w:rPr>
          <w:rFonts w:ascii="Times New Roman" w:hAnsi="Times New Roman" w:cs="Times New Roman" w:eastAsia="Times New Roman"/>
          <w:sz w:val="24"/>
        </w:rPr>
        <w:t xml:space="preserve">. A separate critical-period switch does not add a degree of freedom beyond the pumpage series.</w:t>
      </w:r>
    </w:p>
    <w:p>
      <w:pPr>
        <w:pStyle w:val="BodyText"/>
        <w:spacing w:line="360" w:lineRule="auto" w:after="120"/>
        <w:ind w:firstLine="720"/>
        <w:jc w:val="both"/>
      </w:pPr>
      <w:r>
        <w:rPr>
          <w:rFonts w:ascii="Times New Roman" w:hAnsi="Times New Roman" w:cs="Times New Roman" w:eastAsia="Times New Roman"/>
          <w:sz w:val="24"/>
        </w:rPr>
        <w:t xml:space="preserve">Limitations follow the data and the map. The annual affine one-pool specification is not a karst model: conduits, the Uvalde–San Antonio divide, and unconfined recharge-zone storage remain in the residual. Total-area</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P</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mix the San Antonio and Uvalde pools; that is a declared approximation defect. Recharge is a Puente estimate; pumpage includes unreported domestic, livestock, and federal use. Neither series is</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M4 is a one-year information delay, not a set-valued conservative filter. The sample is 90 years with four short test windows; the 0.39 ft AR(1) margin is not a significance claim.</w:t>
      </w:r>
    </w:p>
    <w:p>
      <w:pPr>
        <w:pStyle w:val="BodyText"/>
        <w:spacing w:line="360" w:lineRule="auto" w:after="120"/>
        <w:ind w:firstLine="720"/>
        <w:jc w:val="both"/>
      </w:pPr>
      <w:r>
        <w:rPr>
          <w:rFonts w:ascii="Times New Roman" w:hAnsi="Times New Roman" w:cs="Times New Roman" w:eastAsia="Times New Roman"/>
          <w:sz w:val="24"/>
        </w:rPr>
        <w:t xml:space="preserve">The evaluated specification is a one-pool approximation of the aquifer’s head map. It does not transfer an interval-verified linear template (a companion methodological study; that template is not this specification), does not instantiate a closed-loop information filter, and does not close the two-pool module. Model selection used</w:t>
      </w:r>
      <w:r>
        <w:rPr>
          <w:rFonts w:ascii="Times New Roman" w:hAnsi="Times New Roman" w:cs="Times New Roman" w:eastAsia="Times New Roman"/>
          <w:sz w:val="24"/>
        </w:rPr>
        <w:t xml:space="preserve"> </w:t>
      </w:r>
      <m:oMath>
        <m:r>
          <m:t>z</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No result is treated as established without specification matching and independent verification.</w:t>
      </w:r>
    </w:p>
    <w:p>
      <w:pPr>
        <w:pStyle w:val="BodyText"/>
        <w:spacing w:line="360" w:lineRule="auto" w:after="120"/>
        <w:ind w:firstLine="720"/>
        <w:jc w:val="both"/>
      </w:pPr>
      <w:r>
        <w:rPr>
          <w:rFonts w:ascii="Times New Roman" w:hAnsi="Times New Roman" w:cs="Times New Roman" w:eastAsia="Times New Roman"/>
          <w:sz w:val="24"/>
        </w:rPr>
        <w:t xml:space="preserve">On this evidence, modules that are not identified on the training data, or whose drivers arrive too late to be causal at the annual origin, do not reduce forecast error. The retained forecast is persistence with a small AR(1) correction; the water-balance map serves as a certificate for a year whose recharge is already known.</w:t>
      </w:r>
    </w:p>
    <w:bookmarkEnd w:id="46"/>
    <w:bookmarkStart w:id="47" w:name="conclusions"/>
    <w:p>
      <w:pPr>
        <w:pStyle w:val="Heading1"/>
        <w:spacing w:before="360" w:after="120" w:line="360" w:lineRule="auto"/>
        <w:ind w:firstLine="0" w:left="0"/>
        <w:jc w:val="left"/>
      </w:pPr>
      <w:r>
        <w:rPr>
          <w:rFonts w:ascii="Times New Roman" w:hAnsi="Times New Roman" w:cs="Times New Roman" w:eastAsia="Times New Roman"/>
          <w:b/>
          <w:sz w:val="28"/>
        </w:rPr>
        <w:t xml:space="preserve">7. Conclusions</w:t>
      </w:r>
    </w:p>
    <w:p>
      <w:pPr>
        <w:pStyle w:val="FirstParagraph"/>
        <w:spacing w:line="360" w:lineRule="auto" w:after="120"/>
        <w:ind w:firstLine="720"/>
        <w:jc w:val="both"/>
      </w:pPr>
      <w:r>
        <w:rPr>
          <w:rFonts w:ascii="Times New Roman" w:hAnsi="Times New Roman" w:cs="Times New Roman" w:eastAsia="Times New Roman"/>
          <w:sz w:val="24"/>
        </w:rPr>
        <w:t xml:space="preserve">On locked J-17 annual-mean head, last-value persistence is more accurate than a causal one-pool balance that persists last year’s recharge. Univariate AR(1) improves one-year RMSE by 0.39 ft and is retained as an output-only model. The same balance, given realized recharge and pumpage, cuts error nearly in half. Climate variables known at the annual origin do not recover that gap.</w:t>
      </w:r>
    </w:p>
    <w:p>
      <w:pPr>
        <w:pStyle w:val="BodyText"/>
        <w:spacing w:line="360" w:lineRule="auto" w:after="120"/>
        <w:ind w:firstLine="720"/>
        <w:jc w:val="both"/>
      </w:pPr>
      <w:r>
        <w:rPr>
          <w:rFonts w:ascii="Times New Roman" w:hAnsi="Times New Roman" w:cs="Times New Roman" w:eastAsia="Times New Roman"/>
          <w:sz w:val="24"/>
        </w:rPr>
        <w:t xml:space="preserve">The paper reports a forecast comparison. It does not conclude that the aquifer is unsustainable, and it does not conclude that the evaluation framework is empirically confirmed on this basin.</w:t>
      </w:r>
    </w:p>
    <w:p>
      <w:pPr>
        <w:pStyle w:val="BodyText"/>
        <w:spacing w:line="360" w:lineRule="auto" w:after="120"/>
        <w:ind w:firstLine="720"/>
        <w:jc w:val="both"/>
      </w:pPr>
      <w:r>
        <w:rPr>
          <w:rFonts w:ascii="Times New Roman" w:hAnsi="Times New Roman" w:cs="Times New Roman" w:eastAsia="Times New Roman"/>
          <w:sz w:val="24"/>
        </w:rPr>
        <w:t xml:space="preserve">Reopening the climate module with additional indices (PDO, AMO) on this annual origin would re-instantiate the rejected structure; a mid-year nowcast would require a new evaluation protocol.</w:t>
      </w:r>
    </w:p>
    <w:bookmarkEnd w:id="47"/>
    <w:bookmarkStart w:id="49" w:name="data-and-code-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and code availability</w:t>
      </w:r>
    </w:p>
    <w:p>
      <w:pPr>
        <w:pStyle w:val="FirstParagraph"/>
        <w:spacing w:line="360" w:lineRule="auto" w:after="120"/>
        <w:ind w:firstLine="720"/>
        <w:jc w:val="both"/>
      </w:pPr>
      <w:r>
        <w:rPr>
          <w:rFonts w:ascii="Times New Roman" w:hAnsi="Times New Roman" w:cs="Times New Roman" w:eastAsia="Times New Roman"/>
          <w:sz w:val="24"/>
        </w:rPr>
        <w:t xml:space="preserve">All input data, analysis scripts, and result files are archived in the research programme’s public repository at</w:t>
      </w:r>
      <w:r>
        <w:rPr>
          <w:rFonts w:ascii="Times New Roman" w:hAnsi="Times New Roman" w:cs="Times New Roman" w:eastAsia="Times New Roman"/>
          <w:sz w:val="24"/>
        </w:rPr>
        <w:t xml:space="preserve"> </w:t>
      </w:r>
      <w:hyperlink r:id="rId48">
        <w:r>
          <w:rPr>
            <w:rStyle w:val="Hyperlink"/>
          </w:rPr>
          <w:t xml:space="preserve">https://github.com/MIKEAA2020/general-sustainability</w:t>
        </w:r>
      </w:hyperlink>
      <w:r>
        <w:rPr>
          <w:rFonts w:ascii="Times New Roman" w:hAnsi="Times New Roman" w:cs="Times New Roman" w:eastAsia="Times New Roman"/>
          <w:sz w:val="24"/>
        </w:rPr>
        <w:t xml:space="preserve">; an anonymized copy of the full artifact set is available for double-anonymous review, and the full frozen model specification is archived with them. J-17 daily highs: Texas Water Development Board well 6837203. Recharge: Umphres and Choi (2025), DOI 10.5066/P1BI62NY. Pumpage: Edwards Aquifer Authority (2024/25), Table 1. Comal Springs: USGS 08168710. Niño 3.4: NOAA PSL HadISST (raw file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data/psl_nino34_long.data</w:t>
      </w:r>
      <w:r>
        <w:rPr>
          <w:rFonts w:ascii="Times New Roman" w:hAnsi="Times New Roman" w:cs="Times New Roman" w:eastAsia="Times New Roman"/>
          <w:sz w:val="24"/>
        </w:rPr>
        <w:t xml:space="preserve">, committed with the repository). Precipitation: NCEI nClimDiv</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climdiv-pcpndv-v1.0.0-20260806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not distributed with the repository (provenance URL in</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data/SOURCES.md</w:t>
      </w:r>
      <w:r>
        <w:rPr>
          <w:rFonts w:ascii="Times New Roman" w:hAnsi="Times New Roman" w:cs="Times New Roman" w:eastAsia="Times New Roman"/>
          <w:sz w:val="24"/>
        </w:rPr>
        <w:t xml:space="preserve">); the three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pcp_*</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columns of the fixed panel are therefore not reproducible from the committed code alone, while the two Niño columns rebuild from the committed PSL file to machine precision. Scoring Pass 1/2 from the committed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data/annual_panel.csv</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does not require the nClimDiv file. All computations are deterministic: re-executing the committed scripts in a fresh environment regenerated every archived result file byte for byte, and all scored rows recompute from the per-observation forecast files and the committed series. The scoring protocols (Pass 1 and Pass 2) and the companion intervention-selection protocol are dated 2026-08-25 and 2026-08-26 respectively — locked before any score was generated — and are archived with the code as the preregistration record.</w:t>
      </w:r>
    </w:p>
    <w:p>
      <w:pPr>
        <w:pStyle w:val="SourceCode"/>
        <w:spacing w:line="360" w:lineRule="auto" w:after="120"/>
        <w:ind w:firstLine="720"/>
        <w:jc w:val="both"/>
      </w:pPr>
      <w:r>
        <w:rPr>
          <w:rStyle w:val="VerbatimChar"/>
          <w:rFonts w:ascii="Times New Roman" w:hAnsi="Times New Roman" w:cs="Times New Roman" w:eastAsia="Times New Roman"/>
          <w:sz w:val="24"/>
        </w:rPr>
        <w:t xml:space="preserve">python3 src/run_ladder.py &amp;&amp; python3 src/run_recharge.py</w:t>
      </w:r>
      <w:r>
        <w:rPr>
          <w:rFonts w:ascii="Times New Roman" w:hAnsi="Times New Roman" w:cs="Times New Roman" w:eastAsia="Times New Roman"/>
          <w:sz w:val="24"/>
        </w:rPr>
        <w:br/>
      </w:r>
      <w:r>
        <w:rPr>
          <w:rStyle w:val="VerbatimChar"/>
          <w:rFonts w:ascii="Times New Roman" w:hAnsi="Times New Roman" w:cs="Times New Roman" w:eastAsia="Times New Roman"/>
          <w:sz w:val="24"/>
        </w:rPr>
        <w:t xml:space="preserve">python3 src/make_figures.py</w:t>
      </w:r>
    </w:p>
    <w:p>
      <w:pPr>
        <w:pStyle w:val="FirstParagraph"/>
        <w:spacing w:line="360" w:lineRule="auto" w:after="120"/>
        <w:ind w:firstLine="720"/>
        <w:jc w:val="both"/>
      </w:pPr>
      <w:r>
        <w:rPr>
          <w:rFonts w:ascii="Times New Roman" w:hAnsi="Times New Roman" w:cs="Times New Roman" w:eastAsia="Times New Roman"/>
          <w:sz w:val="24"/>
        </w:rPr>
        <w:t xml:space="preserve">The committed twenty-column analysis panel (</w:t>
      </w:r>
      <w:r>
        <w:rPr>
          <w:rStyle w:val="VerbatimChar"/>
          <w:rFonts w:ascii="Times New Roman" w:hAnsi="Times New Roman" w:cs="Times New Roman" w:eastAsia="Times New Roman"/>
          <w:sz w:val="24"/>
        </w:rPr>
        <w:t xml:space="preserve">data/annual_panel.csv</w:t>
      </w:r>
      <w:r>
        <w:rPr>
          <w:rFonts w:ascii="Times New Roman" w:hAnsi="Times New Roman" w:cs="Times New Roman" w:eastAsia="Times New Roman"/>
          <w:sz w:val="24"/>
        </w:rPr>
        <w:t xml:space="preserve">) is the dataset of record for all scored analyses. The panel-construction script re-derives the head, recharge, and pumpage columns from the primary sources and leaves the fixed twenty-column panel in place when the re-derived columns already match.</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build_climate.py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rebuilds the two Niño 3.4 columns from the committed PSL raw file (</w:t>
      </w:r>
      <w:r>
        <w:rPr>
          <w:rStyle w:val="VerbatimChar"/>
          <w:rFonts w:ascii="Times New Roman" w:hAnsi="Times New Roman" w:cs="Times New Roman" w:eastAsia="Times New Roman"/>
          <w:sz w:val="24"/>
        </w:rPr>
        <w:t xml:space="preserve">nino34.long.data</w:t>
      </w:r>
      <w:r>
        <w:rPr>
          <w:rFonts w:ascii="Times New Roman" w:hAnsi="Times New Roman" w:cs="Times New Roman" w:eastAsia="Times New Roman"/>
          <w:sz w:val="24"/>
        </w:rPr>
        <w:t xml:space="preserve">); rebuilding the three precipitation columns additionally requires the nClimDiv file (</w:t>
      </w:r>
      <w:r>
        <w:rPr>
          <w:rStyle w:val="VerbatimChar"/>
          <w:rFonts w:ascii="Times New Roman" w:hAnsi="Times New Roman" w:cs="Times New Roman" w:eastAsia="Times New Roman"/>
          <w:sz w:val="24"/>
        </w:rPr>
        <w:t xml:space="preserve">climdiv-pcpndv-v1.0.0-20260806</w:t>
      </w:r>
      <w:r>
        <w:rPr>
          <w:rFonts w:ascii="Times New Roman" w:hAnsi="Times New Roman" w:cs="Times New Roman" w:eastAsia="Times New Roman"/>
          <w:sz w:val="24"/>
        </w:rPr>
        <w:t xml:space="preserve">), which is not distributed with the repository, and leaves the fixed panel in place when those columns already match.</w:t>
      </w:r>
    </w:p>
    <w:bookmarkEnd w:id="49"/>
    <w:bookmarkStart w:id="56" w:name="references"/>
    <w:p>
      <w:pPr>
        <w:pStyle w:val="Heading1"/>
        <w:spacing w:before="360" w:after="120" w:line="360" w:lineRule="auto"/>
        <w:ind w:firstLine="0" w:left="0"/>
        <w:jc w:val="left"/>
      </w:pPr>
      <w:r>
        <w:rPr>
          <w:rFonts w:ascii="Times New Roman" w:hAnsi="Times New Roman" w:cs="Times New Roman" w:eastAsia="Times New Roman"/>
          <w:b/>
          <w:sz w:val="28"/>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Adamowski, J., and Chan, H. F. 2011. A wavelet neural network conjunction model for groundwater level forecasting.</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Hydrology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407: 28–40.</w:t>
      </w:r>
    </w:p>
    <w:p>
      <w:pPr>
        <w:pStyle w:val="BodyText"/>
        <w:spacing w:line="360" w:lineRule="auto" w:after="120"/>
        <w:ind w:left="720" w:hanging="720"/>
        <w:jc w:val="left"/>
      </w:pPr>
      <w:r>
        <w:rPr>
          <w:rFonts w:ascii="Times New Roman" w:hAnsi="Times New Roman" w:cs="Times New Roman" w:eastAsia="Times New Roman"/>
          <w:sz w:val="24"/>
        </w:rPr>
        <w:t xml:space="preserve">Daliakopoulos, I. N., Coulibaly, P., and Tsanis, I. K. 2005. Groundwater level forecasting using artificial neural networks.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Hydrology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309: 229–240.</w:t>
      </w:r>
    </w:p>
    <w:p>
      <w:pPr>
        <w:pStyle w:val="BodyText"/>
        <w:spacing w:line="360" w:lineRule="auto" w:after="120"/>
        <w:ind w:left="720" w:hanging="720"/>
        <w:jc w:val="left"/>
      </w:pPr>
      <w:r>
        <w:rPr>
          <w:rFonts w:ascii="Times New Roman" w:hAnsi="Times New Roman" w:cs="Times New Roman" w:eastAsia="Times New Roman"/>
          <w:sz w:val="24"/>
        </w:rPr>
        <w:t xml:space="preserve">Edwards Aquifer Authority. 2024/25.</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2023 Groundwater Discharge and Usage</w:t>
      </w:r>
      <w:r>
        <w:rPr>
          <w:rFonts w:ascii="Times New Roman" w:hAnsi="Times New Roman" w:cs="Times New Roman" w:eastAsia="Times New Roman"/>
          <w:sz w:val="24"/>
        </w:rPr>
        <w:t xml:space="preserve">. Table 1, after USGS letter report 5 April 2024.</w:t>
      </w:r>
      <w:r>
        <w:rPr>
          <w:rFonts w:ascii="Times New Roman" w:hAnsi="Times New Roman" w:cs="Times New Roman" w:eastAsia="Times New Roman"/>
          <w:sz w:val="24"/>
        </w:rPr>
        <w:t xml:space="preserve"> </w:t>
      </w:r>
      <w:hyperlink r:id="rId50">
        <w:r>
          <w:rPr>
            <w:rStyle w:val="Hyperlink"/>
          </w:rPr>
          <w:t xml:space="preserve">https://www.edwardsaquifer.org/wp-content/uploads/2025/05/2023-Groundwater-Discharge-and-Usage.pdf</w:t>
        </w:r>
      </w:hyperlink>
    </w:p>
    <w:p>
      <w:pPr>
        <w:pStyle w:val="BodyText"/>
        <w:spacing w:line="360" w:lineRule="auto" w:after="120"/>
        <w:ind w:left="720" w:hanging="720"/>
        <w:jc w:val="left"/>
      </w:pPr>
      <w:r>
        <w:rPr>
          <w:rFonts w:ascii="Times New Roman" w:hAnsi="Times New Roman" w:cs="Times New Roman" w:eastAsia="Times New Roman"/>
          <w:sz w:val="24"/>
        </w:rPr>
        <w:t xml:space="preserve">Edwards Aquifer Authority. Critical Period / Drought Management.</w:t>
      </w:r>
      <w:r>
        <w:rPr>
          <w:rFonts w:ascii="Times New Roman" w:hAnsi="Times New Roman" w:cs="Times New Roman" w:eastAsia="Times New Roman"/>
          <w:sz w:val="24"/>
        </w:rPr>
        <w:t xml:space="preserve"> </w:t>
      </w:r>
      <w:hyperlink r:id="rId51">
        <w:r>
          <w:rPr>
            <w:rStyle w:val="Hyperlink"/>
          </w:rPr>
          <w:t xml:space="preserve">https://www.edwardsaquifer.org/groundwater-users/critical-period-drought-management/</w:t>
        </w:r>
      </w:hyperlink>
    </w:p>
    <w:p>
      <w:pPr>
        <w:pStyle w:val="BodyText"/>
        <w:spacing w:line="360" w:lineRule="auto" w:after="120"/>
        <w:ind w:left="720" w:hanging="720"/>
        <w:jc w:val="left"/>
      </w:pPr>
      <w:r>
        <w:rPr>
          <w:rFonts w:ascii="Times New Roman" w:hAnsi="Times New Roman" w:cs="Times New Roman" w:eastAsia="Times New Roman"/>
          <w:sz w:val="24"/>
        </w:rPr>
        <w:t xml:space="preserve">Makridakis, S., Spiliotis, E., and Assimakopoulos, V. 2020. The M4 Competition: 100,000 time series and 61 forecasting methods.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Forecasting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36: 54–74.</w:t>
      </w:r>
    </w:p>
    <w:p>
      <w:pPr>
        <w:pStyle w:val="BodyText"/>
        <w:spacing w:line="360" w:lineRule="auto" w:after="120"/>
        <w:ind w:left="720" w:hanging="720"/>
        <w:jc w:val="left"/>
      </w:pPr>
      <w:r>
        <w:rPr>
          <w:rFonts w:ascii="Times New Roman" w:hAnsi="Times New Roman" w:cs="Times New Roman" w:eastAsia="Times New Roman"/>
          <w:sz w:val="24"/>
        </w:rPr>
        <w:t xml:space="preserve">NOAA National Centers for Environmental Information. nClimDiv precipitation, file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climdiv-pcpndv-v1.0.0-20260806</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hyperlink r:id="rId52">
        <w:r>
          <w:rPr>
            <w:rStyle w:val="Hyperlink"/>
          </w:rPr>
          <w:t xml:space="preserve">https://www.ncei.noaa.gov/pub/data/cirs/climdiv/climdiv-pcpndv-v1.0.0-20260806</w:t>
        </w:r>
      </w:hyperlink>
    </w:p>
    <w:p>
      <w:pPr>
        <w:pStyle w:val="BodyText"/>
        <w:spacing w:line="360" w:lineRule="auto" w:after="120"/>
        <w:ind w:left="720" w:hanging="720"/>
        <w:jc w:val="left"/>
      </w:pPr>
      <w:r>
        <w:rPr>
          <w:rFonts w:ascii="Times New Roman" w:hAnsi="Times New Roman" w:cs="Times New Roman" w:eastAsia="Times New Roman"/>
          <w:sz w:val="24"/>
        </w:rPr>
        <w:t xml:space="preserve">NOAA Physical Sciences Laboratory. Niño 3.4 monthly SST (HadISST).</w:t>
      </w:r>
      <w:r>
        <w:rPr>
          <w:rFonts w:ascii="Times New Roman" w:hAnsi="Times New Roman" w:cs="Times New Roman" w:eastAsia="Times New Roman"/>
          <w:sz w:val="24"/>
        </w:rPr>
        <w:t xml:space="preserve"> </w:t>
      </w:r>
      <w:hyperlink r:id="rId53">
        <w:r>
          <w:rPr>
            <w:rStyle w:val="Hyperlink"/>
          </w:rPr>
          <w:t xml:space="preserve">https://psl.noaa.gov/data/timeseries/month/data/nino34.long.data</w:t>
        </w:r>
      </w:hyperlink>
    </w:p>
    <w:p>
      <w:pPr>
        <w:pStyle w:val="BodyText"/>
        <w:spacing w:line="360" w:lineRule="auto" w:after="120"/>
        <w:ind w:left="720" w:hanging="720"/>
        <w:jc w:val="left"/>
      </w:pPr>
      <w:r>
        <w:rPr>
          <w:rFonts w:ascii="Times New Roman" w:hAnsi="Times New Roman" w:cs="Times New Roman" w:eastAsia="Times New Roman"/>
          <w:sz w:val="24"/>
        </w:rPr>
        <w:t xml:space="preserve">Puente, C. 1978.</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Method of estimating natural recharge to the Edwards Aquifer in the San Antonio area, Texas.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 Geological Survey.</w:t>
      </w:r>
    </w:p>
    <w:p>
      <w:pPr>
        <w:pStyle w:val="BodyText"/>
        <w:spacing w:line="360" w:lineRule="auto" w:after="120"/>
        <w:ind w:left="720" w:hanging="720"/>
        <w:jc w:val="left"/>
      </w:pPr>
      <w:r>
        <w:rPr>
          <w:rFonts w:ascii="Times New Roman" w:hAnsi="Times New Roman" w:cs="Times New Roman" w:eastAsia="Times New Roman"/>
          <w:sz w:val="24"/>
        </w:rPr>
        <w:t xml:space="preserve">Ropelewski, C. F., and Halpert, M. S. 1986. North American precipitation and temperature patterns associated with the El Niño/Southern Oscillation (ENSO).</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Monthly Weather Review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114: 2352–2362.</w:t>
      </w:r>
    </w:p>
    <w:p>
      <w:pPr>
        <w:pStyle w:val="BodyText"/>
        <w:spacing w:line="360" w:lineRule="auto" w:after="120"/>
        <w:ind w:left="720" w:hanging="720"/>
        <w:jc w:val="left"/>
      </w:pPr>
      <w:r>
        <w:rPr>
          <w:rFonts w:ascii="Times New Roman" w:hAnsi="Times New Roman" w:cs="Times New Roman" w:eastAsia="Times New Roman"/>
          <w:sz w:val="24"/>
        </w:rPr>
        <w:t xml:space="preserve">Scanlon, B. R., Mace, R. E., Barrett, M. E., and Smith, B. 2003. Can we simulate regional groundwater flow in a karst system using equivalent porous media models? Case study, Barton Springs Edwards aquifer, USA.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Hydrology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276: 137–158.</w:t>
      </w:r>
    </w:p>
    <w:p>
      <w:pPr>
        <w:pStyle w:val="BodyText"/>
        <w:spacing w:line="360" w:lineRule="auto" w:after="120"/>
        <w:ind w:left="720" w:hanging="720"/>
        <w:jc w:val="left"/>
      </w:pPr>
      <w:r>
        <w:rPr>
          <w:rFonts w:ascii="Times New Roman" w:hAnsi="Times New Roman" w:cs="Times New Roman" w:eastAsia="Times New Roman"/>
          <w:sz w:val="24"/>
        </w:rPr>
        <w:t xml:space="preserve">Texas Water Development Board. Water Data for Texas, well 6837203 (J-17).</w:t>
      </w:r>
      <w:r>
        <w:rPr>
          <w:rFonts w:ascii="Times New Roman" w:hAnsi="Times New Roman" w:cs="Times New Roman" w:eastAsia="Times New Roman"/>
          <w:sz w:val="24"/>
        </w:rPr>
        <w:t xml:space="preserve"> </w:t>
      </w:r>
      <w:hyperlink r:id="rId54">
        <w:r>
          <w:rPr>
            <w:rStyle w:val="Hyperlink"/>
          </w:rPr>
          <w:t xml:space="preserve">https://waterdatafortexas.org/groundwater/well/6837203</w:t>
        </w:r>
      </w:hyperlink>
    </w:p>
    <w:p>
      <w:pPr>
        <w:pStyle w:val="BodyText"/>
        <w:spacing w:line="360" w:lineRule="auto" w:after="120"/>
        <w:ind w:left="720" w:hanging="720"/>
        <w:jc w:val="left"/>
      </w:pPr>
      <w:r>
        <w:rPr>
          <w:rFonts w:ascii="Times New Roman" w:hAnsi="Times New Roman" w:cs="Times New Roman" w:eastAsia="Times New Roman"/>
          <w:sz w:val="24"/>
        </w:rPr>
        <w:t xml:space="preserve">Umphres, G. D., and Choi, N. J. 2025. Estimated Annual Recharge to the Edwards Aquifer in the San Antonio Area, by Stream Basin or Ungaged Area, 1934–2024. U.S. Geological Survey data release.</w:t>
      </w:r>
      <w:r>
        <w:rPr>
          <w:rFonts w:ascii="Times New Roman" w:hAnsi="Times New Roman" w:cs="Times New Roman" w:eastAsia="Times New Roman"/>
          <w:sz w:val="24"/>
        </w:rPr>
        <w:t xml:space="preserve"> </w:t>
      </w:r>
      <w:hyperlink r:id="rId55">
        <w:r>
          <w:rPr>
            <w:rStyle w:val="Hyperlink"/>
          </w:rPr>
          <w:t xml:space="preserve">https://doi.org/10.5066/P1BI62NY</w:t>
        </w:r>
      </w:hyperlink>
    </w:p>
    <w:p>
      <w:pPr>
        <w:pStyle w:val="BodyText"/>
        <w:spacing w:line="360" w:lineRule="auto" w:after="120"/>
        <w:ind w:left="720" w:hanging="720"/>
        <w:jc w:val="left"/>
      </w:pPr>
      <w:r>
        <w:rPr>
          <w:rFonts w:ascii="Times New Roman" w:hAnsi="Times New Roman" w:cs="Times New Roman" w:eastAsia="Times New Roman"/>
          <w:sz w:val="24"/>
        </w:rPr>
        <w:t xml:space="preserve">U.S. Geological Survey. National Water Information System, site 08168710, Comal Springs at New Braunfels, Texas.</w:t>
      </w:r>
    </w:p>
    <w:bookmarkEnd w:id="56"/>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Scored forecast evaluation, Edwards Aquifer J-17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55" Type="http://schemas.openxmlformats.org/officeDocument/2006/relationships/hyperlink" Target="https://doi.org/10.5066/P1BI62NY" TargetMode="External"/><Relationship Id="rId48" Type="http://schemas.openxmlformats.org/officeDocument/2006/relationships/hyperlink" Target="https://github.com/MIKEAA2020/general-sustainability" TargetMode="External"/><Relationship Id="rId53" Type="http://schemas.openxmlformats.org/officeDocument/2006/relationships/hyperlink" Target="https://psl.noaa.gov/data/timeseries/month/data/nino34.long.data" TargetMode="External"/><Relationship Id="rId54" Type="http://schemas.openxmlformats.org/officeDocument/2006/relationships/hyperlink" Target="https://waterdatafortexas.org/groundwater/well/6837203" TargetMode="External"/><Relationship Id="rId51" Type="http://schemas.openxmlformats.org/officeDocument/2006/relationships/hyperlink" Target="https://www.edwardsaquifer.org/groundwater-users/critical-period-drought-management/" TargetMode="External"/><Relationship Id="rId50" Type="http://schemas.openxmlformats.org/officeDocument/2006/relationships/hyperlink" Target="https://www.edwardsaquifer.org/wp-content/uploads/2025/05/2023-Groundwater-Discharge-and-Usage.pdf" TargetMode="External"/><Relationship Id="rId52" Type="http://schemas.openxmlformats.org/officeDocument/2006/relationships/hyperlink" Target="https://www.ncei.noaa.gov/pub/data/cirs/climdiv/climdiv-pcpndv-v1.0.0-20260806"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_rels/footnotes.xml.rels><?xml version='1.0' encoding='UTF-8' standalone='yes'?>
<Relationships xmlns="http://schemas.openxmlformats.org/package/2006/relationships"><Relationship Id="rId55" Type="http://schemas.openxmlformats.org/officeDocument/2006/relationships/hyperlink" Target="https://doi.org/10.5066/P1BI62NY" TargetMode="External"/><Relationship Id="rId48" Type="http://schemas.openxmlformats.org/officeDocument/2006/relationships/hyperlink" Target="https://github.com/MIKEAA2020/general-sustainability" TargetMode="External"/><Relationship Id="rId53" Type="http://schemas.openxmlformats.org/officeDocument/2006/relationships/hyperlink" Target="https://psl.noaa.gov/data/timeseries/month/data/nino34.long.data" TargetMode="External"/><Relationship Id="rId54" Type="http://schemas.openxmlformats.org/officeDocument/2006/relationships/hyperlink" Target="https://waterdatafortexas.org/groundwater/well/6837203" TargetMode="External"/><Relationship Id="rId51" Type="http://schemas.openxmlformats.org/officeDocument/2006/relationships/hyperlink" Target="https://www.edwardsaquifer.org/groundwater-users/critical-period-drought-management/" TargetMode="External"/><Relationship Id="rId50" Type="http://schemas.openxmlformats.org/officeDocument/2006/relationships/hyperlink" Target="https://www.edwardsaquifer.org/wp-content/uploads/2025/05/2023-Groundwater-Discharge-and-Usage.pdf" TargetMode="External"/><Relationship Id="rId52" Type="http://schemas.openxmlformats.org/officeDocument/2006/relationships/hyperlink" Target="https://www.ncei.noaa.gov/pub/data/cirs/climdiv/climdiv-pcpndv-v1.0.0-20260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2026-08-29T20:50:48Z</dcterms:created>
  <dcterms:modified xsi:type="dcterms:W3CDTF">2026-08-29T20:50:48Z</dcterms:modified>
</cp:coreProperties>
</file>

<file path=docProps/custom.xml><?xml version="1.0" encoding="utf-8"?>
<Properties xmlns="http://schemas.openxmlformats.org/officeDocument/2006/custom-properties" xmlns:vt="http://schemas.openxmlformats.org/officeDocument/2006/docPropsVTypes"/>
</file>