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stract"/>
    <w:p>
      <w:pPr>
        <w:spacing w:after="480" w:before="0" w:line="240" w:lineRule="auto"/>
        <w:jc w:val="center"/>
      </w:pPr>
    </w:p>
    <w:p>
      <w:pPr>
        <w:spacing w:after="360" w:before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Governance operators and viability kernels of the Edwards Aquifer: an intervention-selection test at J-17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Applied management analysis</w:t>
      </w:r>
    </w:p>
    <w:p>
      <w:pPr>
        <w:spacing w:after="60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Prepared for submission to Journal of Water Resources Planning and Management</w:t>
      </w:r>
    </w:p>
    <w:p>
      <w:pPr>
        <w:spacing w:after="360" w:before="0" w:line="240" w:lineRule="auto"/>
        <w:jc w:val="center"/>
      </w:pPr>
    </w:p>
    <w:p>
      <w:pPr>
        <w:spacing w:after="8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Author information withheld for double-anonymous peer review.</w:t>
      </w:r>
    </w:p>
    <w:p>
      <w:pPr>
        <w:spacing w:after="60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Corresponding-author details to be completed by the author at submission.</w:t>
      </w:r>
    </w:p>
    <w:p>
      <w:pPr>
        <w:spacing w:after="48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30 August 2026</w:t>
      </w:r>
    </w:p>
    <w:p>
      <w:pPr>
        <w:spacing w:after="200" w:before="0" w:line="240" w:lineRule="auto"/>
        <w:jc w:val="both"/>
      </w:pPr>
      <w:r>
        <w:rPr>
          <w:rFonts w:ascii="Times New Roman" w:hAnsi="Times New Roman" w:cs="Times New Roman" w:eastAsia="Times New Roman"/>
          <w:b/>
          <w:sz w:val="22"/>
        </w:rPr>
        <w:t xml:space="preserve">Contribution statement. </w:t>
      </w:r>
      <w:r>
        <w:rPr>
          <w:rFonts w:ascii="Times New Roman" w:hAnsi="Times New Roman" w:cs="Times New Roman" w:eastAsia="Times New Roman"/>
          <w:sz w:val="22"/>
        </w:rPr>
        <w:t>Scored robust-kernel analysis of pumping-rule families on the J-17 record shows reactive critical-period rules deliver 3.3–16.2% more permitted supply at matched robust protection, with the cascade matching the deepest cut's protection at 50.6% more supply.</w:t>
      </w:r>
    </w:p>
    <w:p>
      <w:pPr>
        <w:spacing w:after="0" w:before="0" w:line="240" w:lineRule="auto"/>
        <w:jc w:val="both"/>
      </w:pPr>
      <w:r>
        <w:rPr>
          <w:rFonts w:ascii="Times New Roman" w:hAnsi="Times New Roman" w:cs="Times New Roman" w:eastAsia="Times New Roman"/>
          <w:b/>
          <w:sz w:val="22"/>
        </w:rPr>
        <w:t xml:space="preserve">Keywords. </w:t>
      </w:r>
      <w:r>
        <w:rPr>
          <w:rFonts w:ascii="Times New Roman" w:hAnsi="Times New Roman" w:cs="Times New Roman" w:eastAsia="Times New Roman"/>
          <w:sz w:val="22"/>
        </w:rPr>
        <w:t>drought triggers; critical-period management; robust viability; pumping policy; Edwards Aquifer</w:t>
      </w:r>
    </w:p>
    <w:p>
      <w:pPr>
        <w:spacing w:after="0" w:before="0" w:line="240" w:lineRule="auto"/>
        <w:jc w:val="center"/>
      </w:pPr>
      <w:r>
        <w:br w:type="page"/>
      </w:r>
    </w:p>
    <w:p>
      <w:pPr>
        <w:pStyle w:val="Heading1"/>
        <w:spacing w:before="36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Abstract</w:t>
      </w:r>
    </w:p>
    <w:p>
      <w:pPr>
        <w:pStyle w:val="FirstParagraph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This study follows a preregistered retention rule: intervention selection must be scored, not asserted — a governance module is kept only if it improves a preregistered protection-and-supply outcome. This paper runs that test on the San Antonio Pool of the Edwards Aquifer at the J-17 index well: robust viability kernels of declared safe sets for a declared pumping-policy family, under persistent drought-floor recharge classes, with an erosion conversion — the device that converts a declared model defect into a certified-kernel erosion margin from the closed loop’s contraction rate — applied in the contraction form the fitted one-pool affine map admits. The affine map is fitted by ordinary least squares on 1934–1990 and audited out of sample on 1991–2023; the governance family comprises business-as-usual pumping, flat caps, a Stage-I reactive rule, and a critical-period management (CPM) cascade.</w:t>
      </w:r>
    </w:p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Results.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(1)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4"/>
        </w:rPr>
        <w:t xml:space="preserve">Physical threshold (618 ft, Comal cessation proximity):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under a perpetual drought-of-record floor, business-as-usual is not robustly viable (its nominal kernel empties beyond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13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years; the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boundary is 692.6 ft), every flat cut of 10% or deeper — and the two reactive rules — makes the whole declared safe set robustly invariant, and the smallest flat cut securing the threshold is 7.2% of mean pumping. (2)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4"/>
        </w:rPr>
        <w:t xml:space="preserve">Institutional threshold (660 ft, post-2007 Stage I):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 negative certificate — a machine-verified finding of non-retention or certified non-existence, distinct from a statistical null result — every declared policy’s robust kernel equals business-as-usual’s at every horizon, because the viable region lies strictly above the first trigger level; the institutional threshold is protected by wet years, not by the declared pumping family. (3)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4"/>
        </w:rPr>
        <w:t xml:space="preserve">Certified layer: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with the training-defect erosion applied, every demand-management policy’s certified kernel is empty beyond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years (zero pumping retains one through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under the drought-of-record floor and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under the milder floors) — the binding constraint on certified intervention claims is the model defect, not the governance. (4)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4"/>
        </w:rPr>
        <w:t xml:space="preserve">Positive selection: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the reactive rules are retained — the Stage-I rule matches the flat caps’ robust invariance at 3.3–16.2% more permitted supply, and the cascade matches the deepest cut’s protection at 50.6% more. A 1950s open-loop replay records the map’s drought bias (8.1 ft, high) without correction. The paper’s deliverable is the scored comparison on one measured system; no two-pool, karst, or solute claim is made.</w:t>
      </w:r>
    </w:p>
    <w:bookmarkEnd w:id="20"/>
    <w:bookmarkStart w:id="21" w:name="introduction"/>
    <w:p>
      <w:pPr>
        <w:pStyle w:val="Heading1"/>
        <w:spacing w:before="36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1. Introduction</w:t>
      </w:r>
    </w:p>
    <w:p>
      <w:pPr>
        <w:pStyle w:val="FirstParagraph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Drought management in permitted groundwater systems is built on triggers: index-well or springflow thresholds at which pumping reductions activate. Trigger design has a long evaluation literature — drought indicators and triggers are properly assessed as stochastic objects, with explicit attention to how indicator levels, trigger thresholds, and drought stages interact (Steinemann 2003) — and robustness has been a recurring concern of water-resources planning since the recognition that optimal solutions can be brittle to the hydrologic assumptions that produce them (Watkins and McKinney 1997). The operational question for a district that already operates triggers is narrower and comparative: given a declared family of pumping rules — business-as-usual, flat caps, and reactive trigger rules — which rules deliver protection under adverse recharge, and at what cost in permitted supply?</w:t>
      </w:r>
    </w:p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This study answers that question by scoring rather than assertion. It follows a preregistered retention rule under which a governance module is kept only if it improves a declared protection-and-supply outcome. Robust viability kernels — the sets of initial states from which the closed-loop system keeps the state inside a declared safe set under every disturbance in a declared class — are computed for each declared pumping rule under persistent drought-floor recharge classes; permitted supply is replayed on the observed head record; and a certified layer converts the fitted map’s declared defect into an erosion margin. The complete comparison — object, defect declaration, disturbance classes, policy family, and retention rule — was frozen in a dated protocol (2026-08-26) before any score was computed.</w:t>
      </w:r>
    </w:p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We selected the Edwards (Balcones Fault Zone) Aquifer J-17 index well because its long (1934–2023) daily head record, its explicit institutional thresholds, and its management relevance make it a natural test bed for scored policy evaluation. The San Antonio Pool is a karst aquifer whose regional behavior has long been represented with lumped and equivalent-porous-media models (Scanlon et al. 2003); the scored object here is the simplest such representation, a one-pool affine head map fitted on the historical record.</w:t>
      </w:r>
    </w:p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The governance question is the intervention leg of a paired evaluation. A companion forecast-evaluation study (under separate review) scored prediction modules on the same J-17 series and ended in a negative certificate — persistence beats the causal ladder, and the oracle water-balance gap (7.55 ft against persistence’s 13.23 ft; 7.55 ft against the retained AR(1)’s 12.84 ft) locates the unexplained forecast gap in the information layer. This study asks whether a declared governance operator changes the viability kernel of the real system, and at what cost in permitted supply.</w:t>
      </w:r>
    </w:p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The remainder of this article is organized as follows. Section 2 states the object, the fitted dynamics, the information pattern, the safe sets, and the governance family. Section 3 states the erosion conversion. Section 4 reports the results: worst-case attractors and the minimal cut (Section 4.1), nominal kernels (Section 4.2), certified kernels (Section 4.3), supply and retention (Section 4.4), and classification and stress replays (Section 4.5). Section 5 interprets the findings, Section 6 states the limitations, and data and code availability and the references close the paper.</w:t>
      </w:r>
    </w:p>
    <w:bookmarkEnd w:id="21"/>
    <w:bookmarkStart w:id="22" w:name="object-dynamics-information"/>
    <w:p>
      <w:pPr>
        <w:pStyle w:val="Heading1"/>
        <w:spacing w:before="36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2. Object, dynamics, information</w:t>
      </w:r>
    </w:p>
    <w:p>
      <w:pPr>
        <w:pStyle w:val="FirstParagraph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The object is that of the companion forecast evaluation: J-17 annual-mean head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(ft AMSL), San Antonio Pool, 1934–2023, from the fixed twenty-column analysis panel (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data/annual_panel.csv</w:t>
      </w:r>
      <w:r>
        <w:rPr>
          <w:rFonts w:ascii="Times New Roman" w:hAnsi="Times New Roman" w:cs="Times New Roman" w:eastAsia="Times New Roman"/>
          <w:sz w:val="24"/>
        </w:rPr>
        <w:t xml:space="preserve">).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z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is a measured well level, not an assessment inversion. Recharge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(USGS/EAA estimated) and pumpage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(EAA Table 1, San Antonio Pool wells) are the fluxes. No new data.</w:t>
      </w:r>
    </w:p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Dynamics: the causal stock-flow class of the companion forecast study (its M2), one pool, affine —</w:t>
      </w:r>
    </w:p>
    <w:p>
      <w:pPr>
        <w:pStyle w:val="BodyText"/>
        <w:spacing w:line="360" w:lineRule="auto" w:before="120" w:after="120"/>
        <w:ind w:firstLine="0"/>
        <w:jc w:val="center"/>
      </w:pPr>
      <m:oMathPara>
        <m:oMathParaPr>
          <m:jc m:val="center"/>
        </m:oMathParaPr>
        <m:oMath>
          <m:r>
            <m:t>Δ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γ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δ</m:t>
          </m:r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fitted by OLS on 1934–1990 (56 transitions). OLS fit: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163.49</m:t>
        </m:r>
      </m:oMath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0.0198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ft per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acre-ft,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0.02844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ft per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acre-ft,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0.2539</m:t>
        </m:r>
      </m:oMath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=</m:t>
        </m:r>
        <m:r>
          <m:t>0.7461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— a contraction with a 25.4%-per-year mean reversion. Residual SD 5.60 ft, max 15.41 ft (training). Out-of-sample (1991–2023, audit only): SD 8.40, max 21.81 ft.</w:t>
      </w:r>
    </w:p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Information pattern: the manager ends year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knowing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and sets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Times New Roman" w:hAnsi="Times New Roman" w:cs="Times New Roman" w:eastAsia="Times New Roman"/>
          <w:sz w:val="24"/>
        </w:rPr>
        <w:t xml:space="preserve">;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is unknown at decision time and is treated adversarially within a declared persistent floor (UC-min = 43.7, UC-q05 = 166.5, UC-q10 = 179.1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acre-ft 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— the drought-floor recharge classes; the 1956 drought-of-record year is UC-min). These floors are certification geometry — the persistent floor regimes are harsher than any single recorded year (UC-min is the recorded 1956 minimum, held perpetually) — not recharge forecasts.</w:t>
      </w:r>
    </w:p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Safe sets (both declared normative thresholds, fixed in the frozen protocol):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618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ft (Comal cessation proximity) and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660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ft (post-2007 Stage I trigger; not applied to pre-2007 history).</w:t>
      </w:r>
    </w:p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Governance family: BAU (</w:t>
      </w:r>
      <m:oMath>
        <m:r>
          <m:t>P</m:t>
        </m:r>
        <m:r>
          <m:rPr>
            <m:sty m:val="p"/>
          </m:rPr>
          <m:t>≡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282.16</m:t>
        </m:r>
      </m:oMath>
      <w:r>
        <w:rPr>
          <w:rFonts w:ascii="Times New Roman" w:hAnsi="Times New Roman" w:cs="Times New Roman" w:eastAsia="Times New Roman"/>
          <w:sz w:val="24"/>
        </w:rPr>
        <w:t xml:space="preserve">, training mean); flat caps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ρ</m:t>
        </m:r>
        <m:acc>
          <m:accPr>
            <m:chr m:val="‾"/>
          </m:accPr>
          <m:e>
            <m:r>
              <m:t>P</m:t>
            </m:r>
          </m:e>
        </m:acc>
      </m:oMath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0.9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,</m:t>
        </m:r>
        <m:r>
          <m:t>0.7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}</m:t>
        </m:r>
      </m:oMath>
      <w:r>
        <w:rPr>
          <w:rFonts w:ascii="Times New Roman" w:hAnsi="Times New Roman" w:cs="Times New Roman" w:eastAsia="Times New Roman"/>
          <w:sz w:val="24"/>
        </w:rPr>
        <w:t xml:space="preserve">; the Stage-I reactive rule (20% cut when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H</m:t>
        </m:r>
        <m:r>
          <m:rPr>
            <m:sty m:val="p"/>
          </m:rPr>
          <m:t>&lt;</m:t>
        </m:r>
        <m:r>
          <m:t>660</m:t>
        </m:r>
      </m:oMath>
      <w:r>
        <w:rPr>
          <w:rFonts w:ascii="Times New Roman" w:hAnsi="Times New Roman" w:cs="Times New Roman" w:eastAsia="Times New Roman"/>
          <w:sz w:val="24"/>
        </w:rPr>
        <w:t xml:space="preserve">, the reduction verified against the Authority’s published rule); and a critical-period management (CPM) cascade (cumulative 20/30/35/40% cuts at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H</m:t>
        </m:r>
        <m:r>
          <m:rPr>
            <m:sty m:val="p"/>
          </m:rPr>
          <m:t>&lt;</m:t>
        </m:r>
        <m:r>
          <m:t>660</m:t>
        </m:r>
        <m:r>
          <m:rPr>
            <m:sty m:val="p"/>
          </m:rPr>
          <m:t>/</m:t>
        </m:r>
        <m:r>
          <m:t>650</m:t>
        </m:r>
        <m:r>
          <m:rPr>
            <m:sty m:val="p"/>
          </m:rPr>
          <m:t>/</m:t>
        </m:r>
        <m:r>
          <m:t>640</m:t>
        </m:r>
        <m:r>
          <m:rPr>
            <m:sty m:val="p"/>
          </m:rPr>
          <m:t>/</m:t>
        </m:r>
        <m:r>
          <m:t>630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— Stage I verified, stages II–IV declared normative-threshold scenarios).</w:t>
      </w:r>
    </w:p>
    <w:bookmarkEnd w:id="22"/>
    <w:bookmarkStart w:id="23" w:name="X0456f4814a7cbbd96605062f72c6ff4e00f7759"/>
    <w:p>
      <w:pPr>
        <w:pStyle w:val="Heading1"/>
        <w:spacing w:before="36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3. Erosion conversion (discrete-contraction form)</w:t>
      </w:r>
    </w:p>
    <w:p>
      <w:pPr>
        <w:pStyle w:val="FirstParagraph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With uniform defect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15.41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ft (the training maximum) and contraction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0.7461</m:t>
        </m:r>
      </m:oMath>
      <w:r>
        <w:rPr>
          <w:rFonts w:ascii="Times New Roman" w:hAnsi="Times New Roman" w:cs="Times New Roman" w:eastAsia="Times New Roman"/>
          <w:sz w:val="24"/>
        </w:rPr>
        <w:t xml:space="preserve">, trajectory deviation over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years is bounded by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ε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ascii="Times New Roman" w:hAnsi="Times New Roman" w:cs="Times New Roman" w:eastAsia="Times New Roman"/>
          <w:sz w:val="24"/>
        </w:rPr>
        <w:t xml:space="preserve">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15.41</m:t>
        </m:r>
      </m:oMath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35.49</m:t>
        </m:r>
      </m:oMath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b>
          <m:e>
            <m:r>
              <m:t>r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46.66</m:t>
        </m:r>
      </m:oMath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60.70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ft. The certified kernel at horizon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is the nominal kernel of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sz w:val="24"/>
        </w:rPr>
        <w:t xml:space="preserve">. The out-of-sample defect max (21.81 ft)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exceeds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the declared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ε</m:t>
        </m:r>
      </m:oMath>
      <w:r>
        <w:rPr>
          <w:rFonts w:ascii="Times New Roman" w:hAnsi="Times New Roman" w:cs="Times New Roman" w:eastAsia="Times New Roman"/>
          <w:sz w:val="24"/>
        </w:rPr>
        <w:t xml:space="preserve">: the certified rows below are optimistic out-of-window; this is recorded, and no refitting is performed, per protocol.</w:t>
      </w:r>
    </w:p>
    <w:bookmarkEnd w:id="23"/>
    <w:bookmarkStart w:id="29" w:name="results"/>
    <w:p>
      <w:pPr>
        <w:pStyle w:val="Heading1"/>
        <w:spacing w:before="36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4. Results</w:t>
      </w:r>
    </w:p>
    <w:bookmarkStart w:id="24" w:name="X893b675798dd004ed2f1d2747070628d7186f5c"/>
    <w:p>
      <w:pPr>
        <w:pStyle w:val="Heading2"/>
        <w:spacing w:before="24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 xml:space="preserve">4.1 Worst-case attractors and the minimal cut</w:t>
      </w:r>
    </w:p>
    <w:p>
      <w:pPr>
        <w:pStyle w:val="FirstParagraph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The worst-case (UC floor) attractor of the closed loop, by policy: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 xml:space="preserve">Policy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 xml:space="preserve">UC-min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 xml:space="preserve">UC-q05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 xml:space="preserve">UC-q10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BAU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615.72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625.31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626.29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flat-90%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618.88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628.47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629.45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flat-80%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622.04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631.63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632.61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S1 (reactive 20% &lt; 660)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622.04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631.63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632.61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flat-70%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625.20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634.79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635.77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CPM cascade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628.36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636.37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637.35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flat-60%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628.36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637.95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638.93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flat-50%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631.52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641.11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642.09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flat-0 (zero pumping)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647.32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656.91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657.90</w:t>
            </w:r>
          </w:p>
        </w:tc>
      </w:tr>
    </w:tbl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Under a perpetual 1956-recharge floor, BAU’s attractor (615.72 ft) sits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below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the physical threshold; the smallest flat cut whose attractor clears 618 ft is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7.2%</w:t>
      </w:r>
      <w:r>
        <w:rPr>
          <w:rFonts w:ascii="Times New Roman" w:hAnsi="Times New Roman" w:cs="Times New Roman" w:eastAsia="Times New Roman"/>
          <w:sz w:val="24"/>
        </w:rPr>
        <w:t xml:space="preserve">. The Stage-I reactive rule’s attractor equals flat-80%’s (the cut is active on the entire attractor branch).</w:t>
      </w:r>
    </w:p>
    <w:bookmarkEnd w:id="24"/>
    <w:bookmarkStart w:id="25" w:name="nominal-kernels-no-erosion"/>
    <w:p>
      <w:pPr>
        <w:pStyle w:val="Heading2"/>
        <w:spacing w:before="24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 xml:space="preserve">4.2 Nominal kernels (no erosion)</w:t>
      </w:r>
    </w:p>
    <w:p>
      <w:pPr>
        <w:pStyle w:val="FirstParagraph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Under the physical threshold (618 ft) and UC-min, BAU’s kernel boundary climbs 618.8 (T=1) → 625.6 (T=5) → 658.4 (T=10) and the kernel is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empty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beyond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13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years — the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boundary is 692.6 ft and the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13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kernel is empty (the continuous crossover is 12.7 under the same convention used for the zero-pumping horizons below) — BAU is not robustly viable against a perpetual drought-of-record. Every cut policy in the family (a 10% flat cap, S1, CPM, and deeper) makes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618</m:t>
            </m:r>
            <m:r>
              <m:rPr>
                <m:sty m:val="p"/>
              </m:rPr>
              <m:t>,</m:t>
            </m:r>
            <m:r>
              <m:t>710</m:t>
            </m:r>
          </m:e>
        </m:d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robustly invariant</w:t>
      </w:r>
      <w:r>
        <w:rPr>
          <w:rFonts w:ascii="Times New Roman" w:hAnsi="Times New Roman" w:cs="Times New Roman" w:eastAsia="Times New Roman"/>
          <w:sz w:val="24"/>
        </w:rPr>
        <w:t xml:space="preserve">: the whole declared safe set is the kernel at every horizon, including the infinite horizon. Under UC-q05/q10 the safe set is already invariant at BAU (attractors 625.3 / 626.3 ft): governance differentiates the kernel only under the drought-floor class.</w:t>
      </w:r>
    </w:p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Under the institutional threshold (660 ft):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negative certificate.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Every declared policy’s robust kernel equals BAU’s at every horizon — the boundaries (675.1 at T=1, 695.3 at T=2 under UC-min; empty from T=3) lie strictly above the first-stage CPM trigger (660 ft — the highest of the four declared trigger levels, and therefore the easiest to reach), so no declared demand-management rule activates in the viable region and the kernel is policy-invariant. Demand management extends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the viable horizon, not invariance</w:t>
      </w:r>
      <w:r>
        <w:rPr>
          <w:rFonts w:ascii="Times New Roman" w:hAnsi="Times New Roman" w:cs="Times New Roman" w:eastAsia="Times New Roman"/>
          <w:sz w:val="24"/>
        </w:rPr>
        <w:t xml:space="preserve">: even zero pumping has an empty nominal kernel beyond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6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(UC-min) /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11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(UC-q10), because its worst-case attractor (647.3 / 657.9 ft) still sits below 660 ft. The institutional threshold is protected by wet years, not by the declared pumping family — which is exactly the frequency-management rationale the actual CPM rule implements, and that rationale is outside the robust-kernel frame.</w:t>
      </w:r>
    </w:p>
    <w:bookmarkEnd w:id="25"/>
    <w:bookmarkStart w:id="26" w:name="certified-kernels-eroded"/>
    <w:p>
      <w:pPr>
        <w:pStyle w:val="Heading2"/>
        <w:spacing w:before="24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 xml:space="preserve">4.3 Certified kernels (eroded)</w:t>
      </w:r>
    </w:p>
    <w:p>
      <w:pPr>
        <w:pStyle w:val="FirstParagraph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With the erosion of Section 3 applied, every demand-management policy in the family has an empty certified kernel beyond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years at the physical threshold and beyond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year at the institutional threshold. Zero pumping is the exception: its certified physical-threshold kernel is nonempty through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under UC-min (lower boundary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rPr>
            <m:sty m:val="p"/>
          </m:rPr>
          <m:t>≈</m:t>
        </m:r>
        <m:r>
          <m:t>687.9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ft from the affine certified-kernel algebra; the committed horizon grid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}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does not sample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cs="Times New Roman" w:eastAsia="Times New Roman"/>
          <w:sz w:val="24"/>
        </w:rPr>
        <w:t xml:space="preserve">, so the archived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emptiness is consistent with the analytic boundary exceeding the domain top at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sz w:val="24"/>
        </w:rPr>
        <w:t xml:space="preserve">) and through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under UC-q05/q10 (physical threshold only). The certified boundaries at T=3 / UC-min / 618 ft: flat-0 662.2 &lt; flat-80 697.8 &lt; BAU = S1 = CPM 706.7. The binding constraint on certified intervention claims is the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model defect, not the governance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— the information-layer limitation identified by the companion forecast evaluation, here measured on the intervention leg.</w:t>
      </w:r>
    </w:p>
    <w:bookmarkEnd w:id="26"/>
    <w:bookmarkStart w:id="27" w:name="supply-and-retention"/>
    <w:p>
      <w:pPr>
        <w:pStyle w:val="Heading2"/>
        <w:spacing w:before="24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 xml:space="preserve">4.4 Supply and retention</w:t>
      </w:r>
    </w:p>
    <w:p>
      <w:pPr>
        <w:pStyle w:val="FirstParagraph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Mean prescribed pumping (actual-head replay, 1934–1990):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 xml:space="preserve">Policy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 xml:space="preserve">Supply (</w:t>
            </w: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/>
                <w:sz w:val="19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sz w:val="19"/>
              </w:rPr>
              <w:t xml:space="preserve">acre-ft yr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/>
                <w:sz w:val="19"/>
              </w:rPr>
              <w:t xml:space="preserve">)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 xml:space="preserve">Cut active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BAU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282.16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0%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flat-90%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253.94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flat-80%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225.73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flat-70%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197.51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19"/>
              </w:rPr>
              <w:t xml:space="preserve">S1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19"/>
              </w:rPr>
              <w:t xml:space="preserve">262.36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35.1%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19"/>
              </w:rPr>
              <w:t xml:space="preserve">CPM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19"/>
              </w:rPr>
              <w:t xml:space="preserve">254.93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35.1%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flat-60%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169.29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flat-50%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141.08</w:t>
            </w:r>
          </w:p>
        </w:tc>
        <w:tc>
          <w:tcPr/>
          <w:p>
            <w:pPr>
              <w:pStyle w:val="Compact"/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100%</w:t>
            </w:r>
          </w:p>
        </w:tc>
      </w:tr>
    </w:tbl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Out-of-sample replay (1991–2023, audit only): S1 264.5 and CPM 260.6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acre-ft 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cs="Times New Roman" w:eastAsia="Times New Roman"/>
          <w:sz w:val="24"/>
        </w:rPr>
        <w:t xml:space="preserve">; every flat policy prescribes its cap throughout, so the training and out-of-sample supplies coincide.</w:t>
      </w:r>
    </w:p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Retention rule (frozen): at least as protective as BAU everywhere, and more water than the most protective flat cap with matched protection.</w:t>
      </w:r>
    </w:p>
    <w:p>
      <w:pPr>
        <w:pStyle w:val="Compact"/>
        <w:numPr>
          <w:ilvl w:val="0"/>
          <w:numId w:val="1001"/>
        </w:numPr>
        <w:spacing w:line="360" w:lineRule="auto" w:after="8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S1: RETAINED (nominal, under UC-min at the 618 ft threshold).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It matches the flat caps’ robust invariance (kernel = whole safe set, all horizons) while supplying 262.4 vs flat-90%’s 253.9 (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+8.4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cs="Times New Roman" w:eastAsia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acre-ft 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cs="Times New Roman" w:eastAsia="Times New Roman"/>
          <w:b/>
          <w:bCs/>
          <w:sz w:val="24"/>
        </w:rPr>
        <w:t xml:space="preserve">, +3.3%</w:t>
      </w:r>
      <w:r>
        <w:rPr>
          <w:rFonts w:ascii="Times New Roman" w:hAnsi="Times New Roman" w:cs="Times New Roman" w:eastAsia="Times New Roman"/>
          <w:sz w:val="24"/>
        </w:rPr>
        <w:t xml:space="preserve">) and flat-80%’s 225.7 (+36.6, +16.2%). The reactive architecture justifies its additional structure: the same protection at strictly more permitted supply.</w:t>
      </w:r>
    </w:p>
    <w:p>
      <w:pPr>
        <w:pStyle w:val="Compact"/>
        <w:numPr>
          <w:ilvl w:val="0"/>
          <w:numId w:val="1001"/>
        </w:numPr>
        <w:spacing w:line="360" w:lineRule="auto" w:after="8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CPM: RETAINED (nominal, same threshold and class).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Attractor 628.4 (equal to flat-60%’s) at supply 254.9 vs flat-60%’s 169.3 (+50.6%).</w:t>
      </w:r>
    </w:p>
    <w:p>
      <w:pPr>
        <w:pStyle w:val="Compact"/>
        <w:numPr>
          <w:ilvl w:val="0"/>
          <w:numId w:val="1001"/>
        </w:numPr>
        <w:spacing w:line="360" w:lineRule="auto" w:after="8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Certified level: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S1 and CPM remain retained against their dominating flat caps (S1 vs flat-80: +36.6 supply at every certified horizon; CPM vs flat-60: +85.6), but only over the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≤</m:t>
        </m:r>
        <m:r>
          <m:t>3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horizons where their certified kernels are nonempty.</w:t>
      </w:r>
    </w:p>
    <w:p>
      <w:pPr>
        <w:pStyle w:val="Compact"/>
        <w:numPr>
          <w:ilvl w:val="0"/>
          <w:numId w:val="1001"/>
        </w:numPr>
        <w:spacing w:line="360" w:lineRule="auto" w:after="8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Under the institutional threshold: nothing retained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(all policies ≡ BAU).</w:t>
      </w:r>
    </w:p>
    <w:bookmarkEnd w:id="27"/>
    <w:bookmarkStart w:id="28" w:name="classification-and-stress-replays"/>
    <w:p>
      <w:pPr>
        <w:pStyle w:val="Heading2"/>
        <w:spacing w:before="24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 xml:space="preserve">4.5 Classification and stress replays</w:t>
      </w:r>
    </w:p>
    <w:p>
      <w:pPr>
        <w:pStyle w:val="FirstParagraph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T=5 nominal kernel (UC-min, 618 ft): BAU excludes exactly one actual year from its viable set —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1956</w:t>
      </w:r>
      <w:r>
        <w:rPr>
          <w:rFonts w:ascii="Times New Roman" w:hAnsi="Times New Roman" w:cs="Times New Roman" w:eastAsia="Times New Roman"/>
          <w:sz w:val="24"/>
        </w:rPr>
        <w:t xml:space="preserve">, the drought-of-record year (623.15 ft annual mean). S1 and CPM exclude none: the entire 90-year actual record is robustly 5-year viable under the cut rules. The T=5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certified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kernels are empty, so no actual year is certified 5-year viable under any policy; this is the boundary of the certified analysis.</w:t>
      </w:r>
    </w:p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1950s open-loop diagnostic (model with actual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R</m:t>
        </m:r>
        <m:r>
          <m:rPr>
            <m:sty m:val="p"/>
          </m:rPr>
          <m:t>,</m:t>
        </m:r>
        <m:r>
          <m:t>P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vs actual heads, 1951–1956): the affine map under-predicts the drought decline — model 659.5 → 631.3 vs actual 659.5 → 623.2, max error 8.1 ft, biased high. The 1950s model-based policy replays (from the observed 1950 head) keep all policies above 618 ft (BAU min 629.7, S1 634.9, CPM 637.1), but the open-loop bias means the true margins are smaller than the replay suggests; this is recorded, and no correction is applied.</w:t>
      </w:r>
    </w:p>
    <w:bookmarkEnd w:id="28"/>
    <w:bookmarkEnd w:id="29"/>
    <w:bookmarkStart w:id="30" w:name="interpretation"/>
    <w:p>
      <w:pPr>
        <w:pStyle w:val="Heading1"/>
        <w:spacing w:before="36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5. Interpretation</w:t>
      </w:r>
    </w:p>
    <w:p>
      <w:pPr>
        <w:pStyle w:val="FirstParagraph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The complete evaluation loop — measured state, calibrated stock-flow map, declared governance operators, declared uncertainty classes, viability kernels with explicit declared-defect erosion, held-out defect audit, and a fixed retention rule — yields a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positive selection result</w:t>
      </w:r>
      <w:r>
        <w:rPr>
          <w:rFonts w:ascii="Times New Roman" w:hAnsi="Times New Roman" w:cs="Times New Roman" w:eastAsia="Times New Roman"/>
          <w:sz w:val="24"/>
        </w:rPr>
        <w:t xml:space="preserve">: the reactive architecture matches flat-cap protection at 3–50% more permitted supply, and a 7.2% mean cut secures the physical threshold against a perpetual drought-of-record where BAU fails. It also yields two negative findings: the institutional threshold is not demand-manageable to invariance under the declared classes, and the certified content is defect-bound to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≤</m:t>
        </m:r>
        <m:r>
          <m:t>3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years. The unexplained forecast gap lies again in the information layer: the erosion bound absorbs the oracle gap measured against the retained AR(1) baseline (12.84 versus 7.55 ft).</w:t>
      </w:r>
    </w:p>
    <w:p>
      <w:pPr>
        <w:pStyle w:val="BodyText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Two layers of results must be kept distinct. The robust-kernel findings are statements about the declared pumping family under the declared floor classes: business-as-usual is not robustly viable beyond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13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years under the perpetual-1956 floor (the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boundary is 692.6 ft), every cut policy makes the whole declared safe set robustly invariant at the physical threshold, and the institutional-threshold negative certificate holds for every declared policy. The certified-kernel findings are a different layer, produced by applying the erosion conversion to the declared training defect: with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15.41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ft (exceeded out of sample at 21.81 ft), every demand-management policy’s certified kernel is empty beyond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years. Neither layer’s claims paraphrase the other; in particular, the certified emptiness is a bound on what the fitted map can certify, not a robustness statement about the physical system.</w:t>
      </w:r>
    </w:p>
    <w:bookmarkEnd w:id="30"/>
    <w:bookmarkStart w:id="31" w:name="limitations"/>
    <w:p>
      <w:pPr>
        <w:pStyle w:val="Heading1"/>
        <w:spacing w:before="36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6. Limitations</w:t>
      </w:r>
    </w:p>
    <w:p>
      <w:pPr>
        <w:pStyle w:val="FirstParagraph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Nominal kernels carry no defect margin; certified kernels use a training defect that the out-of-sample audit exceeds (15.4 vs 21.8 ft). The map is one-pool affine on annual means; the actual CPM triggers are 10-day averages, so the annual-mean rule is a coarse relative of the real institution. Stage II–IV reductions are declared scenarios, not verified. San Antonio + Uvalde are lumped (inherited defect). Observation error is not separated from model defect. The UC floors are certification geometry, not forecasts; the 1950s replay is biased high by 8.1 ft. Nothing in this leg promotes or demotes any forecast module, and no two-pool, karst, or solute claim is made.</w:t>
      </w:r>
    </w:p>
    <w:bookmarkEnd w:id="31"/>
    <w:bookmarkStart w:id="33" w:name="data-and-code-availability"/>
    <w:p>
      <w:pPr>
        <w:pStyle w:val="Heading1"/>
        <w:spacing w:before="36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Data and code availability</w:t>
      </w:r>
    </w:p>
    <w:p>
      <w:pPr>
        <w:pStyle w:val="FirstParagraph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All input data, analysis scripts, and result files are archived in the research programme’s public repository at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hyperlink r:id="rId32">
        <w:r>
          <w:rPr>
            <w:rStyle w:val="Hyperlink"/>
          </w:rPr>
          <w:t xml:space="preserve">https://github.com/MIKEAA2020/general-sustainability</w:t>
        </w:r>
      </w:hyperlink>
      <w:r>
        <w:rPr>
          <w:rFonts w:ascii="Times New Roman" w:hAnsi="Times New Roman" w:cs="Times New Roman" w:eastAsia="Times New Roman"/>
          <w:sz w:val="24"/>
        </w:rPr>
        <w:t xml:space="preserve">; an anonymized copy is available for double-anonymous review. J-17 daily highs: Texas Water Development Board well 6837203. Recharge: Umphres and Choi (2025), DOI 10.5066/P1BI62NY. Pumpage: Edwards Aquifer Authority (2024/25), Table 1. The full intervention protocol — object, defect declaration, disturbance classes, policy family, and retention rule — was frozen and dated (2026-08-26) before any kernel, boundary, replay, or retention score was computed; it is archived with the analysis code as the preregistration record, alongside the companion forecast-evaluation protocols dated 2026-08-25.</w:t>
      </w:r>
    </w:p>
    <w:p>
      <w:pPr>
        <w:pStyle w:val="SourceCode"/>
        <w:spacing w:line="360" w:lineRule="auto" w:after="120"/>
        <w:ind w:firstLine="720"/>
        <w:jc w:val="both"/>
      </w:pP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python3 src/run_intervention.py</w:t>
      </w:r>
    </w:p>
    <w:p>
      <w:pPr>
        <w:pStyle w:val="FirstParagraph"/>
        <w:spacing w:line="360" w:lineRule="auto" w:after="12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The analysis is fully deterministic (no random components). Re-executing the committed runner regenerates both output files,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results/intervention_results.json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and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results/intervention_boundaries.csv</w:t>
      </w:r>
      <w:r>
        <w:rPr>
          <w:rFonts w:ascii="Times New Roman" w:hAnsi="Times New Roman" w:cs="Times New Roman" w:eastAsia="Times New Roman"/>
          <w:sz w:val="24"/>
        </w:rPr>
        <w:t xml:space="preserve">; a verification re-execution in a fresh environment reproduced both files byte for byte. The machine-readable outputs include the fields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retention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(nominal),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retention_certified</w:t>
      </w:r>
      <w:r>
        <w:rPr>
          <w:rFonts w:ascii="Times New Roman" w:hAnsi="Times New Roman" w:cs="Times New Roman" w:eastAsia="Times New Roman"/>
          <w:sz w:val="24"/>
        </w:rPr>
        <w:t xml:space="preserve">, and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certified_horizon_nonempty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in the JSON. A corrected runner (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src/run_intervention_v2.py</w:t>
      </w:r>
      <w:r>
        <w:rPr>
          <w:rFonts w:ascii="Times New Roman" w:hAnsi="Times New Roman" w:cs="Times New Roman" w:eastAsia="Times New Roman"/>
          <w:sz w:val="24"/>
        </w:rPr>
        <w:t xml:space="preserve">) fixes the retention comparator’s treatment of empty kernels (an empty kernel now counts as worst on both sides, matching the companion study’s convention; the earlier asymmetric comparator was mechanically verified inert for these artifacts) and writes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results/intervention_results_v2.json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and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results/intervention_boundaries_v2.csv</w:t>
      </w:r>
      <w:r>
        <w:rPr>
          <w:rFonts w:ascii="Times New Roman" w:hAnsi="Times New Roman" w:cs="Times New Roman" w:eastAsia="Times New Roman"/>
          <w:sz w:val="24"/>
        </w:rPr>
        <w:t xml:space="preserve">, value-identical to the committed outputs; the committed original files are retained unchanged as the audited record.</w:t>
      </w:r>
    </w:p>
    <w:bookmarkEnd w:id="33"/>
    <w:bookmarkStart w:id="38" w:name="references"/>
    <w:p>
      <w:pPr>
        <w:pStyle w:val="Heading1"/>
        <w:spacing w:before="36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References</w:t>
      </w:r>
    </w:p>
    <w:p>
      <w:pPr>
        <w:pStyle w:val="FirstParagraph"/>
        <w:spacing w:line="360" w:lineRule="auto" w:after="120"/>
        <w:ind w:left="720" w:hanging="720"/>
        <w:jc w:val="left"/>
      </w:pPr>
      <w:r>
        <w:rPr>
          <w:rFonts w:ascii="Times New Roman" w:hAnsi="Times New Roman" w:cs="Times New Roman" w:eastAsia="Times New Roman"/>
          <w:sz w:val="24"/>
        </w:rPr>
        <w:t xml:space="preserve">Edwards Aquifer Authority. 2024/25.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4"/>
        </w:rPr>
        <w:t xml:space="preserve">2023 Groundwater Discharge and Usage</w:t>
      </w:r>
      <w:r>
        <w:rPr>
          <w:rFonts w:ascii="Times New Roman" w:hAnsi="Times New Roman" w:cs="Times New Roman" w:eastAsia="Times New Roman"/>
          <w:sz w:val="24"/>
        </w:rPr>
        <w:t xml:space="preserve">. Table 1, after USGS letter report 5 April 2024.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hyperlink r:id="rId34">
        <w:r>
          <w:rPr>
            <w:rStyle w:val="Hyperlink"/>
          </w:rPr>
          <w:t xml:space="preserve">https://www.edwardsaquifer.org/wp-content/uploads/2025/05/2023-Groundwater-Discharge-and-Usage.pdf</w:t>
        </w:r>
      </w:hyperlink>
    </w:p>
    <w:p>
      <w:pPr>
        <w:pStyle w:val="BodyText"/>
        <w:spacing w:line="360" w:lineRule="auto" w:after="120"/>
        <w:ind w:left="720" w:hanging="720"/>
        <w:jc w:val="left"/>
      </w:pPr>
      <w:r>
        <w:rPr>
          <w:rFonts w:ascii="Times New Roman" w:hAnsi="Times New Roman" w:cs="Times New Roman" w:eastAsia="Times New Roman"/>
          <w:sz w:val="24"/>
        </w:rPr>
        <w:t xml:space="preserve">Edwards Aquifer Authority. Critical Period / Drought Management.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hyperlink r:id="rId35">
        <w:r>
          <w:rPr>
            <w:rStyle w:val="Hyperlink"/>
          </w:rPr>
          <w:t xml:space="preserve">https://www.edwardsaquifer.org/groundwater-users/critical-period-drought-management/</w:t>
        </w:r>
      </w:hyperlink>
    </w:p>
    <w:p>
      <w:pPr>
        <w:pStyle w:val="BodyText"/>
        <w:spacing w:line="360" w:lineRule="auto" w:after="120"/>
        <w:ind w:left="720" w:hanging="720"/>
        <w:jc w:val="left"/>
      </w:pPr>
      <w:r>
        <w:rPr>
          <w:rFonts w:ascii="Times New Roman" w:hAnsi="Times New Roman" w:cs="Times New Roman" w:eastAsia="Times New Roman"/>
          <w:sz w:val="24"/>
        </w:rPr>
        <w:t xml:space="preserve">Puente, C. 1978.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4"/>
        </w:rPr>
        <w:t xml:space="preserve">Method of estimating natural recharge to the Edwards Aquifer in the San Antonio area, Texas.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U.S. Geological Survey.</w:t>
      </w:r>
    </w:p>
    <w:p>
      <w:pPr>
        <w:pStyle w:val="BodyText"/>
        <w:spacing w:line="360" w:lineRule="auto" w:after="120"/>
        <w:ind w:left="720" w:hanging="720"/>
        <w:jc w:val="left"/>
      </w:pPr>
      <w:r>
        <w:rPr>
          <w:rFonts w:ascii="Times New Roman" w:hAnsi="Times New Roman" w:cs="Times New Roman" w:eastAsia="Times New Roman"/>
          <w:sz w:val="24"/>
        </w:rPr>
        <w:t xml:space="preserve">Scanlon, B. R., Mace, R. E., Barrett, M. E., and Smith, B. 2003. Can we simulate regional groundwater flow in a karst system using equivalent porous media models? Case study, Barton Springs Edwards aquifer, USA.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4"/>
        </w:rPr>
        <w:t xml:space="preserve">Journal of Hydrology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276: 137–158.</w:t>
      </w:r>
    </w:p>
    <w:p>
      <w:pPr>
        <w:pStyle w:val="BodyText"/>
        <w:spacing w:line="360" w:lineRule="auto" w:after="120"/>
        <w:ind w:left="720" w:hanging="720"/>
        <w:jc w:val="left"/>
      </w:pPr>
      <w:r>
        <w:rPr>
          <w:rFonts w:ascii="Times New Roman" w:hAnsi="Times New Roman" w:cs="Times New Roman" w:eastAsia="Times New Roman"/>
          <w:sz w:val="24"/>
        </w:rPr>
        <w:t xml:space="preserve">Steinemann, A. C. 2003. Drought indicators and triggers: a stochastic approach to evaluation.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4"/>
        </w:rPr>
        <w:t xml:space="preserve">Journal of the American Water Resources Association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39: 1217–1233.</w:t>
      </w:r>
    </w:p>
    <w:p>
      <w:pPr>
        <w:pStyle w:val="BodyText"/>
        <w:spacing w:line="360" w:lineRule="auto" w:after="120"/>
        <w:ind w:left="720" w:hanging="720"/>
        <w:jc w:val="left"/>
      </w:pPr>
      <w:r>
        <w:rPr>
          <w:rFonts w:ascii="Times New Roman" w:hAnsi="Times New Roman" w:cs="Times New Roman" w:eastAsia="Times New Roman"/>
          <w:sz w:val="24"/>
        </w:rPr>
        <w:t xml:space="preserve">Texas Water Development Board. Water Data for Texas, well 6837203 (J-17).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hyperlink r:id="rId36">
        <w:r>
          <w:rPr>
            <w:rStyle w:val="Hyperlink"/>
          </w:rPr>
          <w:t xml:space="preserve">https://waterdatafortexas.org/groundwater/well/6837203</w:t>
        </w:r>
      </w:hyperlink>
    </w:p>
    <w:p>
      <w:pPr>
        <w:pStyle w:val="BodyText"/>
        <w:spacing w:line="360" w:lineRule="auto" w:after="120"/>
        <w:ind w:left="720" w:hanging="720"/>
        <w:jc w:val="left"/>
      </w:pPr>
      <w:r>
        <w:rPr>
          <w:rFonts w:ascii="Times New Roman" w:hAnsi="Times New Roman" w:cs="Times New Roman" w:eastAsia="Times New Roman"/>
          <w:sz w:val="24"/>
        </w:rPr>
        <w:t xml:space="preserve">Umphres, G. D., and Choi, N. J. 2025. Estimated Annual Recharge to the Edwards Aquifer in the San Antonio Area, by Stream Basin or Ungaged Area, 1934–2024. U.S. Geological Survey data release.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hyperlink r:id="rId37">
        <w:r>
          <w:rPr>
            <w:rStyle w:val="Hyperlink"/>
          </w:rPr>
          <w:t xml:space="preserve">https://doi.org/10.5066/P1BI62NY</w:t>
        </w:r>
      </w:hyperlink>
    </w:p>
    <w:p>
      <w:pPr>
        <w:pStyle w:val="BodyText"/>
        <w:spacing w:line="360" w:lineRule="auto" w:after="120"/>
        <w:ind w:left="720" w:hanging="720"/>
        <w:jc w:val="left"/>
      </w:pPr>
      <w:r>
        <w:rPr>
          <w:rFonts w:ascii="Times New Roman" w:hAnsi="Times New Roman" w:cs="Times New Roman" w:eastAsia="Times New Roman"/>
          <w:sz w:val="24"/>
        </w:rPr>
        <w:t xml:space="preserve">Watkins, D. W., Jr., and McKinney, D. C. 1997. Finding robust solutions to water resources problems.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4"/>
        </w:rPr>
        <w:t xml:space="preserve">Journal of Water Resources Planning and Management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123: 49–58.</w:t>
      </w:r>
    </w:p>
    <w:bookmarkEnd w:id="38"/>
    <w:sectPr>
      <w:headerReference w:type="default" r:id="rId9"/>
      <w:footerReference w:type="default" r:id="rId10"/>
      <w:footerReference w:type="first" r:id="rId11"/>
      <w:headerReference w:type="first" r:id="rId12"/>
      <w:pgMar w:top="1440" w:bottom="1440" w:left="1440" w:right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Page </w:t>
    </w: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 w:cs="Times New Roman" w:eastAsia="Times New Roman"/>
        <w:sz w:val="20"/>
      </w:rPr>
      <w:t>Robust pumping-rule scoring, Edwards Aquifer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b w:val="0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b w:val="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b w:val="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7" Type="http://schemas.openxmlformats.org/officeDocument/2006/relationships/hyperlink" Target="https://doi.org/10.5066/P1BI62NY" TargetMode="External"/><Relationship Id="rId32" Type="http://schemas.openxmlformats.org/officeDocument/2006/relationships/hyperlink" Target="https://github.com/MIKEAA2020/general-sustainability" TargetMode="External"/><Relationship Id="rId36" Type="http://schemas.openxmlformats.org/officeDocument/2006/relationships/hyperlink" Target="https://waterdatafortexas.org/groundwater/well/6837203" TargetMode="External"/><Relationship Id="rId35" Type="http://schemas.openxmlformats.org/officeDocument/2006/relationships/hyperlink" Target="https://www.edwardsaquifer.org/groundwater-users/critical-period-drought-management/" TargetMode="External"/><Relationship Id="rId34" Type="http://schemas.openxmlformats.org/officeDocument/2006/relationships/hyperlink" Target="https://www.edwardsaquifer.org/wp-content/uploads/2025/05/2023-Groundwater-Discharge-and-Usage.pdf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5066/P1BI62NY" TargetMode="External"/><Relationship Id="rId32" Type="http://schemas.openxmlformats.org/officeDocument/2006/relationships/hyperlink" Target="https://github.com/MIKEAA2020/general-sustainability" TargetMode="External"/><Relationship Id="rId36" Type="http://schemas.openxmlformats.org/officeDocument/2006/relationships/hyperlink" Target="https://waterdatafortexas.org/groundwater/well/6837203" TargetMode="External"/><Relationship Id="rId35" Type="http://schemas.openxmlformats.org/officeDocument/2006/relationships/hyperlink" Target="https://www.edwardsaquifer.org/groundwater-users/critical-period-drought-management/" TargetMode="External"/><Relationship Id="rId34" Type="http://schemas.openxmlformats.org/officeDocument/2006/relationships/hyperlink" Target="https://www.edwardsaquifer.org/wp-content/uploads/2025/05/2023-Groundwater-Discharge-and-Usag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2026-08-29T20:50:48Z</dcterms:created>
  <dcterms:modified xsi:type="dcterms:W3CDTF">2026-08-29T20:50:48Z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