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of Two Parallel Audits</w:t>
      </w:r>
    </w:p>
    <w:p>
      <w:pPr>
        <w:pStyle w:val="Subtitle"/>
        <w:jc w:val="center"/>
      </w:pPr>
      <w:r>
        <w:rPr>
          <w:i/>
        </w:rPr>
        <w:t>Toward a General Theory of Sustainability</w:t>
      </w:r>
    </w:p>
    <w:p/>
    <w:p>
      <w:r>
        <w:rPr>
          <w:b/>
        </w:rPr>
        <w:t>Date:</w:t>
      </w:r>
      <w:r>
        <w:t xml:space="preserve"> 14 August 2026</w:t>
      </w:r>
    </w:p>
    <w:p>
      <w:pPr>
        <w:pStyle w:val="Heading1"/>
      </w:pPr>
      <w:r>
        <w:t>Executive judgment</w:t>
      </w:r>
    </w:p>
    <w:p>
      <w:r>
        <w:t xml:space="preserve">The two audits substantially converge. Their shared central diagnosis is correct: the manuscript currently succeeds more as a </w:t>
      </w:r>
      <w:r>
        <w:rPr>
          <w:b/>
        </w:rPr>
        <w:t>typed sustainability specification and verification framework</w:t>
      </w:r>
      <w:r>
        <w:t xml:space="preserve"> than as a demonstrated general theory containing domain-general explanatory laws. Its formal core can represent a sustainability judgment once identity, constraints, boundaries, models, policies, and normative commitments have been supplied, but it does not independently determine most of those inputs. Several advertised “axioms,” “theorems,” and “composition results” are definitions, methodological requirements, or elementary conditional lemmas rather than novel deductions.</w:t>
      </w:r>
    </w:p>
    <w:p>
      <w:r>
        <w:t>The audits are not correct in every formulation. In particular, intersecting physical, functional, and normative constraint sets does not by itself commit an is/ought fallacy; heterogeneous constraints can be conjoined without being epistemically equated. Bounded open-system modelling is not logically self-contradictory; assume–guarantee decomposition is not always harder than monolithic verification; and scalar risk tolerances or diagnostic margins do not contradict non-compensation. Nevertheless, the manuscript often fails to preserve those distinctions in its semantics and rhetoric. The criticisms therefore identify genuine design problems even where they overstate them as strict contradictions.</w:t>
      </w:r>
    </w:p>
    <w:p>
      <w:r>
        <w:t>The manuscript requires structural revision, not cosmetic clarification. The highest-priority changes are: (1) replace the single undifferentiated viability set with typed physical, functional, and normative judgments; (2) model transformation as a hybrid or meta-dynamical transition between architectures; (3) lock identity and normative criteria ex ante and specify legitimate revision rules; (4) replace “causal closure” with property-relative boundary adequacy; (5) add aggregate-commons responsibility constraints; (6) use stochastic or set-valued empirical contracts for social modules; (7) downgrade tautological results and prove only genuinely nontrivial propositions; and (8) reposition the contribution unless and until it produces cross-domain empirical laws or formal results that survive respecification.</w:t>
      </w:r>
    </w:p>
    <w:p>
      <w:pPr>
        <w:pBdr>
          <w:bottom w:val="single" w:sz="6" w:color="AABBC5"/>
        </w:pBdr>
      </w:pPr>
    </w:p>
    <w:p>
      <w:pPr>
        <w:pStyle w:val="Heading1"/>
      </w:pPr>
      <w:r>
        <w:t>1. Areas of convergence</w:t>
      </w:r>
    </w:p>
    <w:p>
      <w:r>
        <w:t>Both audits independently identify six central weaknesses:</w:t>
      </w:r>
    </w:p>
    <w:p>
      <w:pPr>
        <w:pStyle w:val="ListNumber"/>
      </w:pPr>
      <w:r>
        <w:rPr>
          <w:b/>
        </w:rPr>
        <w:t>The formal predicate does not preserve the distinction between physical impossibility, functional failure, and normative inadmissibility.</w:t>
      </w:r>
    </w:p>
    <w:p>
      <w:pPr>
        <w:pStyle w:val="ListNumber"/>
      </w:pPr>
      <w:r>
        <w:rPr>
          <w:b/>
        </w:rPr>
        <w:t>Transformation is described as architecture change but formalized inside a fixed model.</w:t>
      </w:r>
    </w:p>
    <w:p>
      <w:pPr>
        <w:pStyle w:val="ListNumber"/>
      </w:pPr>
      <w:r>
        <w:rPr>
          <w:b/>
        </w:rPr>
        <w:t>Identity and constraint selection can be revised after failure, creating a goalpost problem.</w:t>
      </w:r>
    </w:p>
    <w:p>
      <w:pPr>
        <w:pStyle w:val="ListNumber"/>
      </w:pPr>
      <w:r>
        <w:rPr>
          <w:b/>
        </w:rPr>
        <w:t>“Causal closure” promises more than finite models can provide.</w:t>
      </w:r>
    </w:p>
    <w:p>
      <w:pPr>
        <w:pStyle w:val="ListNumber"/>
      </w:pPr>
      <w:r>
        <w:rPr>
          <w:b/>
        </w:rPr>
        <w:t>The modular contract layer lacks a nontrivial composition theorem and tractability result.</w:t>
      </w:r>
    </w:p>
    <w:p>
      <w:pPr>
        <w:pStyle w:val="ListNumber"/>
      </w:pPr>
      <w:r>
        <w:rPr>
          <w:b/>
        </w:rPr>
        <w:t>Social and governance relations cannot be treated as deterministic hardware-style guarantees.</w:t>
      </w:r>
    </w:p>
    <w:p>
      <w:r>
        <w:t>Because these points were reached through parallel audits and follow directly from the manuscript, they should be treated as high-confidence findings.</w:t>
      </w:r>
    </w:p>
    <w:p>
      <w:pPr>
        <w:pBdr>
          <w:bottom w:val="single" w:sz="6" w:color="AABBC5"/>
        </w:pBdr>
      </w:pPr>
    </w:p>
    <w:p>
      <w:pPr>
        <w:pStyle w:val="Heading1"/>
      </w:pPr>
      <w:r>
        <w:t>2. Evaluation of the first audit</w:t>
      </w:r>
    </w:p>
    <w:p>
      <w:pPr>
        <w:pStyle w:val="Heading2"/>
      </w:pPr>
      <w:r>
        <w:t xml:space="preserve">2.1 Is/ought collapse — </w:t>
      </w:r>
      <w:r>
        <w:rPr>
          <w:b/>
        </w:rPr>
        <w:t>partly valid, but overstated as a logical contradiction</w:t>
      </w:r>
    </w:p>
    <w:p>
      <w:r>
        <w:t>The criticism correctly identifies a loss of semantic typing. A physical constraint, functional threshold, and rights constraint have different modal and epistemic meanings:</w:t>
      </w:r>
    </w:p>
    <w:p>
      <w:pPr>
        <w:pStyle w:val="ListBullet"/>
      </w:pPr>
      <w:r>
        <w:t>physical violation: impossible under the accepted physical model;</w:t>
      </w:r>
    </w:p>
    <w:p>
      <w:pPr>
        <w:pStyle w:val="ListBullet"/>
      </w:pPr>
      <w:r>
        <w:t>functional violation: possible, but incompatible with a declared function or identity;</w:t>
      </w:r>
    </w:p>
    <w:p>
      <w:pPr>
        <w:pStyle w:val="ListBullet"/>
      </w:pPr>
      <w:r>
        <w:t>normative violation: possible, but prohibited or unacceptable under a declared normative standard.</w:t>
      </w:r>
    </w:p>
    <w:p>
      <w:r>
        <w:t>However, placing their corresponding sets in an intersection does not mathematically assert that they have the same justification. Constrained optimization routinely intersects legal, physical, safety, and preference constraints. The error lies not in conjunction itself but in using one untyped verdict—“outside the viability region”—without retaining the reason for exclusion.</w:t>
      </w:r>
    </w:p>
    <w:p>
      <w:r>
        <w:rPr>
          <w:b/>
        </w:rPr>
        <w:t>Required correction:</w:t>
      </w:r>
      <w:r>
        <w:t xml:space="preserve"> define separate predicates, for example</w:t>
      </w:r>
    </w:p>
    <w:p>
      <w:pPr>
        <w:jc w:val="center"/>
      </w:pPr>
      <w:r>
        <w:rPr>
          <w:rFonts w:ascii="Cambria Math" w:hAnsi="Cambria Math"/>
          <w:i/>
          <w:sz w:val="21"/>
        </w:rPr>
        <w:t>\mathrm{Feas}_P(\tau),\qquad \mathrm{Viable}_F(\tau),\qquad \mathrm{Admissible}_N(\tau),</w:t>
      </w:r>
    </w:p>
    <w:p>
      <w:r>
        <w:t>and define qualified sustainability as their conjunction while preserving a typed failure vector. Normative constraints may additionally require deontic or lexicographic treatment rather than being presented as physical feasibility conditions.</w:t>
      </w:r>
    </w:p>
    <w:p>
      <w:pPr>
        <w:pStyle w:val="Heading2"/>
      </w:pPr>
      <w:r>
        <w:t xml:space="preserve">2.2 Transformation outside the state space — </w:t>
      </w:r>
      <w:r>
        <w:rPr>
          <w:b/>
        </w:rPr>
        <w:t>valid and fundamental</w:t>
      </w:r>
    </w:p>
    <w:p>
      <w:r>
        <w:t>The manuscript fixes \(z\), \(F\), \(U\), \(B\), and \(I\), but later defines transformation as changing some of those objects. A reach–avoid–maintain trajectory inside one state space represents transition or adaptation, not necessarily architecture change.</w:t>
      </w:r>
    </w:p>
    <w:p>
      <w:r>
        <w:t>This can be repaired by defining a family of model-indexed systems</w:t>
      </w:r>
    </w:p>
    <w:p>
      <w:pPr>
        <w:jc w:val="center"/>
      </w:pPr>
      <w:r>
        <w:rPr>
          <w:rFonts w:ascii="Cambria Math" w:hAnsi="Cambria Math"/>
          <w:i/>
          <w:sz w:val="21"/>
        </w:rPr>
        <w:t>\mathcal M_q=(Z_q,F_q,U_q,K_q,I_q,B_q)</w:t>
      </w:r>
    </w:p>
    <w:p>
      <w:r>
        <w:t>and permitted architecture transitions</w:t>
      </w:r>
    </w:p>
    <w:p>
      <w:pPr>
        <w:jc w:val="center"/>
      </w:pPr>
      <w:r>
        <w:rPr>
          <w:rFonts w:ascii="Cambria Math" w:hAnsi="Cambria Math"/>
          <w:i/>
          <w:sz w:val="21"/>
        </w:rPr>
        <w:t>(q,z)\longrightarrow(q',R_{q q'}(z)),</w:t>
      </w:r>
    </w:p>
    <w:p>
      <w:r>
        <w:t>where \(R_{q q'}\) maps states, obligations, and identity predicates across architectures. Sustainability then becomes a hybrid reachability or strategy problem over the disjoint union \(\bigsqcup_q \{q\}\times Z_q\).</w:t>
      </w:r>
    </w:p>
    <w:p>
      <w:pPr>
        <w:pStyle w:val="Heading2"/>
      </w:pPr>
      <w:r>
        <w:t xml:space="preserve">2.3 Identity escape hatch — </w:t>
      </w:r>
      <w:r>
        <w:rPr>
          <w:b/>
        </w:rPr>
        <w:t>valid and fundamental</w:t>
      </w:r>
    </w:p>
    <w:p>
      <w:r>
        <w:t>The manuscript does not formally prevent retrospective revision of the protected identity. The higher-level/lower-level distinction can therefore rationalize collapse after the fact.</w:t>
      </w:r>
    </w:p>
    <w:p>
      <w:r>
        <w:rPr>
          <w:b/>
        </w:rPr>
        <w:t>Required correction:</w:t>
      </w:r>
      <w:r>
        <w:t xml:space="preserve"> preregister an ordered identity specification before assessment; distinguish constitutive identity, protected functions, and optional implementation features; define which predicates are invariant, which may change, who may authorize change, and how continuity is evaluated across architecture transitions. A revision to identity must create a new specification and cannot retroactively validate the old claim.</w:t>
      </w:r>
    </w:p>
    <w:p>
      <w:pPr>
        <w:pStyle w:val="Heading2"/>
      </w:pPr>
      <w:r>
        <w:t xml:space="preserve">2.4 Causal-closure paradox — </w:t>
      </w:r>
      <w:r>
        <w:rPr>
          <w:b/>
        </w:rPr>
        <w:t>the concern is valid; “contradiction” is too strong</w:t>
      </w:r>
    </w:p>
    <w:p>
      <w:r>
        <w:t>Finite open-system models can legitimately use exogenous inputs or interface contracts. They are not causally closed in the metaphysical sense, but they can be adequate relative to a property and uncertainty set. The manuscript’s term “bounded causal closure” obscures this distinction.</w:t>
      </w:r>
    </w:p>
    <w:p>
      <w:r>
        <w:rPr>
          <w:b/>
        </w:rPr>
        <w:t>Required correction:</w:t>
      </w:r>
      <w:r>
        <w:t xml:space="preserve"> replace it with </w:t>
      </w:r>
      <w:r>
        <w:rPr>
          <w:b/>
        </w:rPr>
        <w:t>property-relative boundary adequacy</w:t>
      </w:r>
      <w:r>
        <w:t xml:space="preserve"> or </w:t>
      </w:r>
      <w:r>
        <w:rPr>
          <w:b/>
        </w:rPr>
        <w:t>decision-relevant closure</w:t>
      </w:r>
      <w:r>
        <w:t>. Require explicit excluded-variable criteria, sensitivity bounds, adversarial boundary inputs, and a statement of which property the boundary is sufficient to assess. Interface variables need not be endogenous if their admissible behavior is bounded and justified.</w:t>
      </w:r>
    </w:p>
    <w:p>
      <w:pPr>
        <w:pStyle w:val="Heading2"/>
      </w:pPr>
      <w:r>
        <w:t xml:space="preserve">2.5 Computability and modular fixed points — </w:t>
      </w:r>
      <w:r>
        <w:rPr>
          <w:b/>
        </w:rPr>
        <w:t>substantially valid, with one overstatement</w:t>
      </w:r>
    </w:p>
    <w:p>
      <w:r>
        <w:t>Contract decomposition can reduce complexity for sparse or structured systems, so it is not generally true that it is harder than every monolithic analysis. Contract synthesis, circular assumptions, nonlinear dynamics, and robust composition are nevertheless difficult and can be undecidable in general. The manuscript offers an architecture, not a general tractability solution.</w:t>
      </w:r>
    </w:p>
    <w:p>
      <w:r>
        <w:rPr>
          <w:b/>
        </w:rPr>
        <w:t>Required correction:</w:t>
      </w:r>
      <w:r>
        <w:t xml:space="preserve"> remove any implication that modularization solves high-dimensional viability. State conditions under which composition is sound; distinguish verification with supplied contracts from synthesis of contracts; report conservatism and computational complexity; and replace a static “fixed point” with compatible invariant interface behaviors where systems may cycle or switch.</w:t>
      </w:r>
    </w:p>
    <w:p>
      <w:pPr>
        <w:pStyle w:val="Heading2"/>
      </w:pPr>
      <w:r>
        <w:t xml:space="preserve">2.6 Diffuse commons burdens — </w:t>
      </w:r>
      <w:r>
        <w:rPr>
          <w:b/>
        </w:rPr>
        <w:t>valid and important omission</w:t>
      </w:r>
    </w:p>
    <w:p>
      <w:r>
        <w:t>The relational criterion is inadequate when no individual actor crosses the global threshold but a population of similar actors does. A graph of dyadic dependencies does not by itself assign responsibility for aggregate load.</w:t>
      </w:r>
    </w:p>
    <w:p>
      <w:r>
        <w:rPr>
          <w:b/>
        </w:rPr>
        <w:t>Required correction:</w:t>
      </w:r>
      <w:r>
        <w:t xml:space="preserve"> add a commons module with aggregate burden</w:t>
      </w:r>
    </w:p>
    <w:p>
      <w:pPr>
        <w:jc w:val="center"/>
      </w:pPr>
      <w:r>
        <w:rPr>
          <w:rFonts w:ascii="Cambria Math" w:hAnsi="Cambria Math"/>
          <w:i/>
          <w:sz w:val="21"/>
        </w:rPr>
        <w:t>L^{\mathrm{tot}}=\sum_i l_i</w:t>
      </w:r>
    </w:p>
    <w:p>
      <w:r>
        <w:t>and capacity constraint \(L^{\mathrm{tot}}\le C\), together with a justified allocation rule \(l_i\le b_i\), strategic dynamics, and treatment of free riding. Individual sustainability cannot depend only on whether one actor is pivotal to threshold crossing.</w:t>
      </w:r>
    </w:p>
    <w:p>
      <w:pPr>
        <w:pStyle w:val="Heading2"/>
      </w:pPr>
      <w:r>
        <w:t xml:space="preserve">2.7 Social assume–guarantee contracts — </w:t>
      </w:r>
      <w:r>
        <w:rPr>
          <w:b/>
        </w:rPr>
        <w:t>valid if contracts remain deterministic; repairable</w:t>
      </w:r>
    </w:p>
    <w:p>
      <w:r>
        <w:t>The manuscript sometimes says social guarantees are conditional and empirical, but the notation \(A_i\Rightarrow G_i\) suggests a logical guarantee. Material provision cannot deterministically guarantee legitimacy or cooperation.</w:t>
      </w:r>
    </w:p>
    <w:p>
      <w:r>
        <w:rPr>
          <w:b/>
        </w:rPr>
        <w:t>Required correction:</w:t>
      </w:r>
      <w:r>
        <w:t xml:space="preserve"> use stochastic, interval, set-valued, or behavioral contracts, for example</w:t>
      </w:r>
    </w:p>
    <w:p>
      <w:pPr>
        <w:jc w:val="center"/>
      </w:pPr>
      <w:r>
        <w:rPr>
          <w:rFonts w:ascii="Cambria Math" w:hAnsi="Cambria Math"/>
          <w:i/>
          <w:sz w:val="21"/>
        </w:rPr>
        <w:t>A_i\Rightarrow \Pr(G_i\mid A_i,M_i)\ge 1-\epsilon_i,</w:t>
      </w:r>
    </w:p>
    <w:p>
      <w:r>
        <w:t>or guarantee only an empirically estimated response envelope. Social contracts must include scope conditions, calibration evidence, strategic actors, confidence, and revision triggers.</w:t>
      </w:r>
    </w:p>
    <w:p>
      <w:pPr>
        <w:pBdr>
          <w:bottom w:val="single" w:sz="6" w:color="AABBC5"/>
        </w:pBdr>
      </w:pPr>
    </w:p>
    <w:p>
      <w:pPr>
        <w:pStyle w:val="Heading1"/>
      </w:pPr>
      <w:r>
        <w:t>3. Evaluation of the second audit</w:t>
      </w:r>
    </w:p>
    <w:p>
      <w:pPr>
        <w:pStyle w:val="Heading2"/>
      </w:pPr>
      <w:r>
        <w:t xml:space="preserve">3.1 Moving core definition — </w:t>
      </w:r>
      <w:r>
        <w:rPr>
          <w:b/>
        </w:rPr>
        <w:t>mostly valid</w:t>
      </w:r>
    </w:p>
    <w:p>
      <w:r>
        <w:t>The informal definition, slogan, formal predicate, and specification tuple can be compatible layers, but the manuscript does not formally map them. Dependency non-erosion and burden displacement appear in the formal predicate only when encoded in the state and constraints. “Causally closed state space” is also imprecise: closure is a property of a model boundary relative to a property, not of a bare state space.</w:t>
      </w:r>
    </w:p>
    <w:p>
      <w:r>
        <w:t>The two decompositions of \(K\) are not necessarily incompatible. One classifies constraints by justification—physical, functional, normative—while the other classifies them by subject—focal state, capacity, environment, distribution, liability. They can be orthogonal axes. The manuscript must state this as a typed matrix rather than presenting two unexplained partitions.</w:t>
      </w:r>
    </w:p>
    <w:p>
      <w:r>
        <w:t>The criticism that “process sustainability” is not a fourth state block is correct. It is a trajectory property already represented by dynamics and invariance. It should be described as an analytical perspective, not a separate ontological component.</w:t>
      </w:r>
    </w:p>
    <w:p>
      <w:pPr>
        <w:pStyle w:val="Heading2"/>
      </w:pPr>
      <w:r>
        <w:t xml:space="preserve">3.2 Definitional circles — </w:t>
      </w:r>
      <w:r>
        <w:rPr>
          <w:b/>
        </w:rPr>
        <w:t>substantially valid</w:t>
      </w:r>
    </w:p>
    <w:p>
      <w:r>
        <w:t>Essential variable and viability are defined too closely through one another. The reduction should begin with an independently specified loss criterion or protected predicate; essential variables are then variables causally necessary to that criterion, and viability is preservation of it.</w:t>
      </w:r>
    </w:p>
    <w:p>
      <w:r>
        <w:t>The identity/transformability and closure criticisms reinforce the first audit. The corridor criticism is also correct: \(a_{\min}(z)&gt;a_{\max}(z)\) proves local infeasibility at \(z\), not structural impossibility. Transformation follows only if no admissible trajectory within the existing architecture can reach a state with a nonempty corridor before forbidden-state entry.</w:t>
      </w:r>
    </w:p>
    <w:p>
      <w:pPr>
        <w:pStyle w:val="Heading2"/>
      </w:pPr>
      <w:r>
        <w:t xml:space="preserve">3.3 Axioms, theorems, and composition — </w:t>
      </w:r>
      <w:r>
        <w:rPr>
          <w:b/>
        </w:rPr>
        <w:t>largely valid</w:t>
      </w:r>
    </w:p>
    <w:p>
      <w:r>
        <w:t>The “axioms” mix methodological requirements, definitions, and restatements of the sustainability predicate. The conditions in Section 7 are useful elementary lemmas or diagnostic corollaries, but they are not novel general laws. The composition statement is tautological unless converted into a precise theorem whose local contracts, compatibility rule, disturbance composition, and global invariant imply a system-level property not already assumed.</w:t>
      </w:r>
    </w:p>
    <w:p>
      <w:r>
        <w:t>The fixed-point language is too narrow for periodic, switching, adaptive, or transformative regimes. The relevant object should be a compatible invariant set, behavior, tube, or strategy profile—not necessarily an equilibrium point.</w:t>
      </w:r>
    </w:p>
    <w:p>
      <w:r>
        <w:t>The audit’s reported notation error \(v^</w:t>
      </w:r>
      <w:r>
        <w:rPr>
          <w:i/>
        </w:rPr>
        <w:t>\in K^</w:t>
      </w:r>
      <w:r>
        <w:t>\) does not appear to be an error in the current source manuscript; it may be a rendering artifact. The conceptual objection remains.</w:t>
      </w:r>
    </w:p>
    <w:p>
      <w:pPr>
        <w:pStyle w:val="Heading2"/>
      </w:pPr>
      <w:r>
        <w:t xml:space="preserve">3.4 Claimed direct inconsistencies — </w:t>
      </w:r>
      <w:r>
        <w:rPr>
          <w:b/>
        </w:rPr>
        <w:t>mixed</w:t>
      </w:r>
    </w:p>
    <w:p>
      <w:pPr>
        <w:pStyle w:val="ListBullet"/>
      </w:pPr>
      <w:r>
        <w:rPr>
          <w:b/>
        </w:rPr>
        <w:t>Scale versus recursion:</w:t>
      </w:r>
      <w:r>
        <w:t xml:space="preserve"> not a strict contradiction. Dependency closure protects necessary supporting functions, not every subsystem. The audit is correct that permissibility depends on the specification, which limits universal evaluative force.</w:t>
      </w:r>
    </w:p>
    <w:p>
      <w:pPr>
        <w:pStyle w:val="ListBullet"/>
      </w:pPr>
      <w:r>
        <w:rPr>
          <w:b/>
        </w:rPr>
        <w:t>Finite versus infinite horizon:</w:t>
      </w:r>
      <w:r>
        <w:t xml:space="preserve"> the average-balance statement is explicitly introduced for indefinite sustainability, so the manuscript contains a qualification. It should nevertheless separate finite- and infinite-horizon results more cleanly and avoid overloading \(T\).</w:t>
      </w:r>
    </w:p>
    <w:p>
      <w:pPr>
        <w:pStyle w:val="ListBullet"/>
      </w:pPr>
      <w:r>
        <w:rPr>
          <w:b/>
        </w:rPr>
        <w:t>Resilience:</w:t>
      </w:r>
      <w:r>
        <w:t xml:space="preserve"> valid inconsistency. If resilience preserves the full normatively constrained \(K^*\), an undesirable regime cannot be resilient in that same sense. Define resilience relative to a functional identity or dynamical regime; sustainability adds normative admissibility and external effects.</w:t>
      </w:r>
    </w:p>
    <w:p>
      <w:pPr>
        <w:pStyle w:val="ListBullet"/>
      </w:pPr>
      <w:r>
        <w:rPr>
          <w:b/>
        </w:rPr>
        <w:t>Control:</w:t>
      </w:r>
      <w:r>
        <w:t xml:space="preserve"> partly valid. The formal predicate can use the final implementable action set by definition, but strategic social systems often require games or distributed policies rather than a single controller. This must be reflected in the formal core.</w:t>
      </w:r>
    </w:p>
    <w:p>
      <w:pPr>
        <w:pStyle w:val="ListBullet"/>
      </w:pPr>
      <w:r>
        <w:rPr>
          <w:b/>
        </w:rPr>
        <w:t>Strong versus weak sustainability:</w:t>
      </w:r>
      <w:r>
        <w:t xml:space="preserve"> not a contradiction. The framework can conditionally represent either once substitutability assumptions are supplied. It cannot itself determine which capacities are critical, and should not imply that it can.</w:t>
      </w:r>
    </w:p>
    <w:p>
      <w:pPr>
        <w:pStyle w:val="ListBullet"/>
      </w:pPr>
      <w:r>
        <w:rPr>
          <w:b/>
        </w:rPr>
        <w:t>Slack versus scalar risk or certification:</w:t>
      </w:r>
      <w:r>
        <w:t xml:space="preserve"> not a contradiction. Scalar diagnostics do not imply compensatory aggregation. The denominator edge case, missing upper-bound equation, and undefined family \(W_\gamma\) are genuine technical defects.</w:t>
      </w:r>
    </w:p>
    <w:p>
      <w:pPr>
        <w:pStyle w:val="ListBullet"/>
      </w:pPr>
      <w:r>
        <w:rPr>
          <w:b/>
        </w:rPr>
        <w:t>Theory versus framework:</w:t>
      </w:r>
      <w:r>
        <w:t xml:space="preserve"> valid positioning problem. The manuscript should choose a defensible contribution category.</w:t>
      </w:r>
    </w:p>
    <w:p>
      <w:pPr>
        <w:pStyle w:val="Heading2"/>
      </w:pPr>
      <w:r>
        <w:t xml:space="preserve">3.5 Epistemic discipline abandoned — </w:t>
      </w:r>
      <w:r>
        <w:rPr>
          <w:b/>
        </w:rPr>
        <w:t>valid</w:t>
      </w:r>
    </w:p>
    <w:p>
      <w:r>
        <w:t>The manuscript announces universal claim typing and a claim ledger but does not consistently apply them. “Axioms,” principles, hypotheses, and conjectures are not individually classified. Normative commitments sometimes appear as necessities of the theory.</w:t>
      </w:r>
    </w:p>
    <w:p>
      <w:r>
        <w:t>The general conjecture is currently too elastic to falsify because “adequate scale and resolution” and arbitrary state augmentation can absorb counterexamples. It must specify prohibited auxiliary moves and prospective observable implications.</w:t>
      </w:r>
    </w:p>
    <w:p>
      <w:pPr>
        <w:pStyle w:val="Heading2"/>
      </w:pPr>
      <w:r>
        <w:t xml:space="preserve">3.6 Formal promises not fulfilled — </w:t>
      </w:r>
      <w:r>
        <w:rPr>
          <w:b/>
        </w:rPr>
        <w:t>valid</w:t>
      </w:r>
    </w:p>
    <w:p>
      <w:r>
        <w:t>The canonical model is written but not analyzed. No viability kernel, equilibrium, invariant set, parameterized example, comparative model result, or exclusion is computed. The modular layer lacks a demonstrated nontrivial composition result. Novelty relative to existing viable-sustainability literature is insufficiently established.</w:t>
      </w:r>
    </w:p>
    <w:p>
      <w:r>
        <w:t>The criticism of social ODEs requires nuance: non-conserved social state variables can legitimately obey ODEs. The problem is not the ODE form itself but lack of empirical justification, measurement models, strategic structure, and scope conditions.</w:t>
      </w:r>
    </w:p>
    <w:p>
      <w:pPr>
        <w:pStyle w:val="Heading2"/>
      </w:pPr>
      <w:r>
        <w:t xml:space="preserve">3.7 Framework cannot decide disputed specifications — </w:t>
      </w:r>
      <w:r>
        <w:rPr>
          <w:b/>
        </w:rPr>
        <w:t>correct and decisive for positioning</w:t>
      </w:r>
    </w:p>
    <w:p>
      <w:r>
        <w:t>The framework makes disagreement explicit but does not resolve legitimate identity, horizon, boundary, risk, or justice choices. That is acceptable for a specification language. It is not sufficient for a substantive universal theory that promises unique verdicts or respecification-invariant exclusions.</w:t>
      </w:r>
    </w:p>
    <w:p>
      <w:r>
        <w:t>A general theory could still be conditional: given a legitimately established specification, certain results follow. The title and contribution claims must then reflect that conditional role unless the manuscript adds a separate theory of normative legitimacy and empirically supported cross-domain mechanisms.</w:t>
      </w:r>
    </w:p>
    <w:p>
      <w:pPr>
        <w:pStyle w:val="Heading2"/>
      </w:pPr>
      <w:r>
        <w:t xml:space="preserve">3.8 Smaller defects — </w:t>
      </w:r>
      <w:r>
        <w:rPr>
          <w:b/>
        </w:rPr>
        <w:t>mostly valid</w:t>
      </w:r>
    </w:p>
    <w:p>
      <w:r>
        <w:t>Certification Levels 0–2 should be called evidence or assessment maturity levels, not sustainability certification. Leading indicators derived directly from distance to a boundary are monitoring metrics; their predictive advantage is an empirical hypothesis. A scalar latent-liability stock cannot be presumed to represent all intergenerational obligations. The AI critique is rhetorically sharp but correctly mirrors the manuscript’s tendency to substitute organized terminology for demonstrated reductions.</w:t>
      </w:r>
    </w:p>
    <w:p>
      <w:pPr>
        <w:pBdr>
          <w:bottom w:val="single" w:sz="6" w:color="AABBC5"/>
        </w:pBdr>
      </w:pPr>
    </w:p>
    <w:p>
      <w:pPr>
        <w:pStyle w:val="Heading1"/>
      </w:pPr>
      <w:r>
        <w:t>4. Balanced severity assessment</w:t>
      </w:r>
    </w:p>
    <w:p>
      <w:pPr>
        <w:pStyle w:val="Heading2"/>
      </w:pPr>
      <w:r>
        <w:t>Critical structural defects</w:t>
      </w:r>
    </w:p>
    <w:p>
      <w:pPr>
        <w:pStyle w:val="ListNumber"/>
      </w:pPr>
      <w:r>
        <w:t>Fixed-state formalism cannot represent architecture-changing transformation.</w:t>
      </w:r>
    </w:p>
    <w:p>
      <w:pPr>
        <w:pStyle w:val="ListNumber"/>
      </w:pPr>
      <w:r>
        <w:t>Identity and normative criteria are not locked prospectively.</w:t>
      </w:r>
    </w:p>
    <w:p>
      <w:pPr>
        <w:pStyle w:val="ListNumber"/>
      </w:pPr>
      <w:r>
        <w:t>The framework is positioned as a general theory although it currently functions as a conditional specification language.</w:t>
      </w:r>
    </w:p>
    <w:p>
      <w:pPr>
        <w:pStyle w:val="ListNumber"/>
      </w:pPr>
      <w:r>
        <w:t>Social contracts are not given stochastic or strategic semantics.</w:t>
      </w:r>
    </w:p>
    <w:p>
      <w:pPr>
        <w:pStyle w:val="ListNumber"/>
      </w:pPr>
      <w:r>
        <w:t>Diffuse commons responsibility is missing.</w:t>
      </w:r>
    </w:p>
    <w:p>
      <w:pPr>
        <w:pStyle w:val="ListNumber"/>
      </w:pPr>
      <w:r>
        <w:t>The central conjecture is not presently falsifiable.</w:t>
      </w:r>
    </w:p>
    <w:p>
      <w:pPr>
        <w:pStyle w:val="Heading2"/>
      </w:pPr>
      <w:r>
        <w:t>Major but repairable formal gaps</w:t>
      </w:r>
    </w:p>
    <w:p>
      <w:pPr>
        <w:pStyle w:val="ListNumber"/>
      </w:pPr>
      <w:r>
        <w:t>Physical, functional, and normative failures lack typed semantics.</w:t>
      </w:r>
    </w:p>
    <w:p>
      <w:pPr>
        <w:pStyle w:val="ListNumber"/>
      </w:pPr>
      <w:r>
        <w:t>The relation between the two partitions of \(K\) is unspecified.</w:t>
      </w:r>
    </w:p>
    <w:p>
      <w:pPr>
        <w:pStyle w:val="ListNumber"/>
      </w:pPr>
      <w:r>
        <w:t>Closure terminology overclaims model completeness.</w:t>
      </w:r>
    </w:p>
    <w:p>
      <w:pPr>
        <w:pStyle w:val="ListNumber"/>
      </w:pPr>
      <w:r>
        <w:t>Contract composition is not proved and tractability is not established.</w:t>
      </w:r>
    </w:p>
    <w:p>
      <w:pPr>
        <w:pStyle w:val="ListNumber"/>
      </w:pPr>
      <w:r>
        <w:t>The formal control model does not yet incorporate distributed strategic actors.</w:t>
      </w:r>
    </w:p>
    <w:p>
      <w:pPr>
        <w:pStyle w:val="ListNumber"/>
      </w:pPr>
      <w:r>
        <w:t>Transition sustainability lacks a principled rule for which constraints may be temporarily relaxed.</w:t>
      </w:r>
    </w:p>
    <w:p>
      <w:pPr>
        <w:pStyle w:val="ListNumber"/>
      </w:pPr>
      <w:r>
        <w:t>No worked computation demonstrates added value.</w:t>
      </w:r>
    </w:p>
    <w:p>
      <w:pPr>
        <w:pStyle w:val="Heading2"/>
      </w:pPr>
      <w:r>
        <w:t>Terminological or presentational defects</w:t>
      </w:r>
    </w:p>
    <w:p>
      <w:pPr>
        <w:pStyle w:val="ListNumber"/>
      </w:pPr>
      <w:r>
        <w:t>“Axiom,” “theorem,” “fixed point,” and “certificate” are used too strongly.</w:t>
      </w:r>
    </w:p>
    <w:p>
      <w:pPr>
        <w:pStyle w:val="ListNumber"/>
      </w:pPr>
      <w:r>
        <w:t>Resilience changes meaning across sections.</w:t>
      </w:r>
    </w:p>
    <w:p>
      <w:pPr>
        <w:pStyle w:val="ListNumber"/>
      </w:pPr>
      <w:r>
        <w:t>Slack formulas and disturbance families are incompletely defined.</w:t>
      </w:r>
    </w:p>
    <w:p>
      <w:pPr>
        <w:pStyle w:val="ListNumber"/>
      </w:pPr>
      <w:r>
        <w:t>Claim typing is promised but not implemented.</w:t>
      </w:r>
    </w:p>
    <w:p>
      <w:pPr>
        <w:pStyle w:val="ListNumber"/>
      </w:pPr>
      <w:r>
        <w:t>Notation for regeneration and stock balances drifts.</w:t>
      </w:r>
    </w:p>
    <w:p>
      <w:pPr>
        <w:pStyle w:val="Heading2"/>
      </w:pPr>
      <w:r>
        <w:t>Criticisms that should not be accepted literally</w:t>
      </w:r>
    </w:p>
    <w:p>
      <w:pPr>
        <w:pStyle w:val="ListNumber"/>
      </w:pPr>
      <w:r>
        <w:t>Intersecting physical and normative constraints does not by itself equate is and ought.</w:t>
      </w:r>
    </w:p>
    <w:p>
      <w:pPr>
        <w:pStyle w:val="ListNumber"/>
      </w:pPr>
      <w:r>
        <w:t>Finite-horizon sustainability and a separately qualified infinite-horizon lemma are not logically inconsistent.</w:t>
      </w:r>
    </w:p>
    <w:p>
      <w:pPr>
        <w:pStyle w:val="ListNumber"/>
      </w:pPr>
      <w:r>
        <w:t>Open-system interface models are not inherently contradictory.</w:t>
      </w:r>
    </w:p>
    <w:p>
      <w:pPr>
        <w:pStyle w:val="ListNumber"/>
      </w:pPr>
      <w:r>
        <w:t>Assume–guarantee decomposition is not always computationally worse, although no general tractability result follows.</w:t>
      </w:r>
    </w:p>
    <w:p>
      <w:pPr>
        <w:pStyle w:val="ListNumber"/>
      </w:pPr>
      <w:r>
        <w:t>Scalar risk measures and maturity levels do not violate non-compensation.</w:t>
      </w:r>
    </w:p>
    <w:p>
      <w:pPr>
        <w:pStyle w:val="ListNumber"/>
      </w:pPr>
      <w:r>
        <w:t>ODEs are not intrinsically inappropriate for social variables.</w:t>
      </w:r>
    </w:p>
    <w:p>
      <w:pPr>
        <w:pBdr>
          <w:bottom w:val="single" w:sz="6" w:color="AABBC5"/>
        </w:pBdr>
      </w:pPr>
    </w:p>
    <w:p>
      <w:pPr>
        <w:pStyle w:val="Heading1"/>
      </w:pPr>
      <w:r>
        <w:t>5. Recommended reconstruction</w:t>
      </w:r>
    </w:p>
    <w:p>
      <w:pPr>
        <w:pStyle w:val="Heading2"/>
      </w:pPr>
      <w:r>
        <w:t>5.1 Reposition the contribution</w:t>
      </w:r>
    </w:p>
    <w:p>
      <w:r>
        <w:t>Use a title such as:</w:t>
      </w:r>
    </w:p>
    <w:p>
      <w:pPr>
        <w:spacing w:before="120" w:after="120"/>
        <w:ind w:left="504" w:right="360"/>
      </w:pPr>
      <w:r>
        <w:rPr>
          <w:i/>
          <w:color w:val="2F5D73"/>
        </w:rPr>
        <w:t>**A Typed Viability and Contract Framework for Sustainability Assessment Across Ecological, Economic, and Social Systems**</w:t>
      </w:r>
    </w:p>
    <w:p>
      <w:r>
        <w:t>Present it as a formal specification, diagnostic, and research framework. Reserve “general theory” for a later stage supported by nontrivial formal results and cross-domain empirical tests.</w:t>
      </w:r>
    </w:p>
    <w:p>
      <w:pPr>
        <w:pStyle w:val="Heading2"/>
      </w:pPr>
      <w:r>
        <w:t>5.2 Replace the single predicate with typed judgments</w:t>
      </w:r>
    </w:p>
    <w:p>
      <w:r>
        <w:t>For a trajectory \(\tau\), define:</w:t>
      </w:r>
    </w:p>
    <w:p>
      <w:pPr>
        <w:jc w:val="center"/>
      </w:pPr>
      <w:r>
        <w:rPr>
          <w:rFonts w:ascii="Cambria Math" w:hAnsi="Cambria Math"/>
          <w:i/>
          <w:sz w:val="21"/>
        </w:rPr>
        <w:t>P(\tau)=\text{physical feasibility},</w:t>
      </w:r>
    </w:p>
    <w:p>
      <w:pPr>
        <w:jc w:val="center"/>
      </w:pPr>
      <w:r>
        <w:rPr>
          <w:rFonts w:ascii="Cambria Math" w:hAnsi="Cambria Math"/>
          <w:i/>
          <w:sz w:val="21"/>
        </w:rPr>
        <w:t>F(\tau)=\text{functional viability},</w:t>
      </w:r>
    </w:p>
    <w:p>
      <w:pPr>
        <w:jc w:val="center"/>
      </w:pPr>
      <w:r>
        <w:rPr>
          <w:rFonts w:ascii="Cambria Math" w:hAnsi="Cambria Math"/>
          <w:i/>
          <w:sz w:val="21"/>
        </w:rPr>
        <w:t>N(\tau)=\text{normative admissibility},</w:t>
      </w:r>
    </w:p>
    <w:p>
      <w:pPr>
        <w:jc w:val="center"/>
      </w:pPr>
      <w:r>
        <w:rPr>
          <w:rFonts w:ascii="Cambria Math" w:hAnsi="Cambria Math"/>
          <w:i/>
          <w:sz w:val="21"/>
        </w:rPr>
        <w:t>R(\tau)=\text{relational/non-displacement compliance}.</w:t>
      </w:r>
    </w:p>
    <w:p>
      <w:r>
        <w:t>Qualified sustainability is</w:t>
      </w:r>
    </w:p>
    <w:p>
      <w:pPr>
        <w:jc w:val="center"/>
      </w:pPr>
      <w:r>
        <w:rPr>
          <w:rFonts w:ascii="Cambria Math" w:hAnsi="Cambria Math"/>
          <w:i/>
          <w:sz w:val="21"/>
        </w:rPr>
        <w:t>\mathrm{QSust}_\Omega(\tau)=P(\tau)\land F(\tau)\land N(\tau)\land R(\tau),</w:t>
      </w:r>
    </w:p>
    <w:p>
      <w:r>
        <w:t>but every failure retains its type and justification. Physical impossibility must not be reported in the same category as injustice.</w:t>
      </w:r>
    </w:p>
    <w:p>
      <w:pPr>
        <w:pStyle w:val="Heading2"/>
      </w:pPr>
      <w:r>
        <w:t>5.3 Introduce meta-dynamics for transformation</w:t>
      </w:r>
    </w:p>
    <w:p>
      <w:r>
        <w:t>Use a hybrid architecture graph with model-indexed state spaces, reset maps, architecture-change costs, identity-continuity predicates, and forbidden transitions. Transition inside one mode is distinguished from transformation between modes.</w:t>
      </w:r>
    </w:p>
    <w:p>
      <w:pPr>
        <w:pStyle w:val="Heading2"/>
      </w:pPr>
      <w:r>
        <w:t>5.4 Freeze specifications prospectively</w:t>
      </w:r>
    </w:p>
    <w:p>
      <w:r>
        <w:t>A sustainability assessment must preregister \(I\), \(K\), \(B\), \(T\), and the normative authority. Revisions create a new assessment version and may not retroactively alter the old verdict. Identity continuity across transformation must be tested by a predeclared relation.</w:t>
      </w:r>
    </w:p>
    <w:p>
      <w:pPr>
        <w:pStyle w:val="Heading2"/>
      </w:pPr>
      <w:r>
        <w:t>5.5 Replace causal closure</w:t>
      </w:r>
    </w:p>
    <w:p>
      <w:r>
        <w:t>Use property-relative boundary adequacy with explicit excluded-variable tests, sensitivity analysis, bounded environmental inputs, and an uncertainty budget.</w:t>
      </w:r>
    </w:p>
    <w:p>
      <w:pPr>
        <w:pStyle w:val="Heading2"/>
      </w:pPr>
      <w:r>
        <w:t>5.6 Add collective-action semantics</w:t>
      </w:r>
    </w:p>
    <w:p>
      <w:r>
        <w:t>Model aggregate burdens, allocation rules, strategic equilibria, compliance, and responsibility. Distinguish global capacity compliance from an actor’s allocated admissible share.</w:t>
      </w:r>
    </w:p>
    <w:p>
      <w:pPr>
        <w:pStyle w:val="Heading2"/>
      </w:pPr>
      <w:r>
        <w:t>5.7 Use empirical contracts for social modules</w:t>
      </w:r>
    </w:p>
    <w:p>
      <w:r>
        <w:t>Replace deterministic implication with probabilistic or set-valued guarantees. Require calibration, domain restrictions, error rates, and update rules.</w:t>
      </w:r>
    </w:p>
    <w:p>
      <w:pPr>
        <w:pStyle w:val="Heading2"/>
      </w:pPr>
      <w:r>
        <w:t>5.8 Clean the logical status of claims</w:t>
      </w:r>
    </w:p>
    <w:p>
      <w:r>
        <w:t>Rename axioms as specification postulates, most “theorems” as diagnostic lemmas, and certification levels as assessment-maturity levels. Implement the claim ledger throughout. Remove or sharply narrow the unfalsifiable general conjecture.</w:t>
      </w:r>
    </w:p>
    <w:p>
      <w:pPr>
        <w:pStyle w:val="Heading2"/>
      </w:pPr>
      <w:r>
        <w:t>5.9 Prove and compute something nontrivial</w:t>
      </w:r>
    </w:p>
    <w:p>
      <w:r>
        <w:t>The next manuscript should include at least one of the following:</w:t>
      </w:r>
    </w:p>
    <w:p>
      <w:pPr>
        <w:pStyle w:val="ListBullet"/>
      </w:pPr>
      <w:r>
        <w:t>a sound compositional invariance theorem under explicit assumptions;</w:t>
      </w:r>
    </w:p>
    <w:p>
      <w:pPr>
        <w:pStyle w:val="ListBullet"/>
      </w:pPr>
      <w:r>
        <w:t>a hybrid transformation theorem;</w:t>
      </w:r>
    </w:p>
    <w:p>
      <w:pPr>
        <w:pStyle w:val="ListBullet"/>
      </w:pPr>
      <w:r>
        <w:t>a commons-allocation viability result;</w:t>
      </w:r>
    </w:p>
    <w:p>
      <w:pPr>
        <w:pStyle w:val="ListBullet"/>
      </w:pPr>
      <w:r>
        <w:t>a computed viability kernel for the canonical model;</w:t>
      </w:r>
    </w:p>
    <w:p>
      <w:pPr>
        <w:pStyle w:val="ListBullet"/>
      </w:pPr>
      <w:r>
        <w:t>a comparative case showing that the expanded framework changes a prediction or intervention relative to simpler models.</w:t>
      </w:r>
    </w:p>
    <w:p>
      <w:r>
        <w:t>Without such a result, the manuscript should make no claim to have established a general theory.</w:t>
      </w:r>
    </w:p>
    <w:p>
      <w:pPr>
        <w:pBdr>
          <w:bottom w:val="single" w:sz="6" w:color="AABBC5"/>
        </w:pBdr>
      </w:pPr>
    </w:p>
    <w:p>
      <w:pPr>
        <w:pStyle w:val="Heading1"/>
      </w:pPr>
      <w:r>
        <w:t>Final verdict</w:t>
      </w:r>
    </w:p>
    <w:p>
      <w:r>
        <w:t>The first audit is strongest on transformation, diffuse commons burdens, and the misuse of deterministic social contracts. It overstates the is/ought and closure problems as literal mathematical contradictions. The second audit is more comprehensive on definitional circularity, tautological results, inconsistent terminology, unfulfilled formal promises, and contribution positioning. It occasionally labels conditional or specification-dependent features as contradictions when they are better understood as limitations.</w:t>
      </w:r>
    </w:p>
    <w:p>
      <w:r>
        <w:t xml:space="preserve">Taken together, the audits justify a major reconception. The manuscript’s durable contribution is not yet a general law of sustainability. It is the outline of a potentially valuable </w:t>
      </w:r>
      <w:r>
        <w:rPr>
          <w:b/>
        </w:rPr>
        <w:t>typed, modular, transformation-aware sustainability specification framework</w:t>
      </w:r>
      <w:r>
        <w:t>. That framework can become theoretically significant if it acquires prospective identity rules, typed semantics, hybrid architecture dynamics, commons allocation, stochastic social contracts, a sound composition result, and at least one worked demonstration that produces a nontrivial exclusion or improved prediction.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Parallel-audit evaluation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Two Parallel Audits</dc:title>
  <dc:subject>Robust viability in dependency-closed ecological, economic, and social systems</dc:subject>
  <dc:creator>[Author name]</dc:creator>
  <cp:keywords/>
  <dc:description>Independent comparative evaluation</dc:description>
  <cp:lastModifiedBy/>
  <cp:revision>1</cp:revision>
  <dcterms:created xsi:type="dcterms:W3CDTF">2013-12-23T23:15:00Z</dcterms:created>
  <dcterms:modified xsi:type="dcterms:W3CDTF">2013-12-23T23:15:00Z</dcterms:modified>
  <cp:category/>
</cp:coreProperties>
</file>