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Toward a General Theory of Sustainability</w:t>
      </w:r>
    </w:p>
    <w:p>
      <w:pPr>
        <w:pStyle w:val="Subtitle"/>
        <w:jc w:val="center"/>
      </w:pPr>
      <w:r>
        <w:t>An Architectural Kernel and Composition Language for Ecological, Economic, and Social Systems</w:t>
      </w:r>
    </w:p>
    <w:p/>
    <w:p>
      <w:r>
        <w:rPr>
          <w:b/>
        </w:rPr>
        <w:t>Working manuscript</w:t>
      </w:r>
    </w:p>
    <w:p>
      <w:r>
        <w:rPr>
          <w:b/>
        </w:rPr>
        <w:t>Date:</w:t>
      </w:r>
      <w:r>
        <w:t xml:space="preserve"> 17 August 2026</w:t>
      </w:r>
    </w:p>
    <w:p>
      <w:r>
        <w:rPr>
          <w:b/>
        </w:rPr>
        <w:t>Author:</w:t>
      </w:r>
      <w:r>
        <w:t xml:space="preserve"> [Author name]</w:t>
      </w:r>
    </w:p>
    <w:p>
      <w:pPr>
        <w:pBdr>
          <w:bottom w:val="single" w:sz="6" w:color="AABBC5"/>
        </w:pBdr>
      </w:pPr>
    </w:p>
    <w:p>
      <w:pPr>
        <w:pStyle w:val="Heading1"/>
      </w:pPr>
      <w:r>
        <w:t>Abstract</w:t>
      </w:r>
    </w:p>
    <w:p>
      <w:r>
        <w:t>Sustainability is invoked across ecology, economics, governance, infrastructure, organizations, and social policy, yet its meaning shifts among physical feasibility, persistence, resilience, justice, and long-term provision. This manuscript proposes a candidate architectural kernel and composition language for a general theory of sustainability. The contribution is deliberately top-down: it specifies the objects, judgment types, operators, interfaces, conjectures, and proof obligations that a mature theory would require, while leaving domain mechanisms, empirical calibration, and several formal results as explicit open modules. A sustainability assessment begins with a prospectively frozen specification and an architecture registry. One typed constraint registry distinguishes physical feasibility, functional viability, normative admissibility, relational responsibility, and epistemic status without reducing them to one kind of fact. The formal spine contains two operators: robust viability within a fixed architecture, evaluated from the actual initial state, and hybrid transformation between architectures through reach–avoid–maintain paths constrained by identity continuity, cumulative harm, and irreversibility. Boundary adequacy is represented through explicit interface assumptions, disturbance envelopes, guarantees, and negligibility claims rather than an assertion of causal closure. A typed dependency hypergraph represents obligatory support, substitutable relations, harmful impacts, nested systems, and many-to-one commons burdens. Deterministic, robust, probabilistic, strategic, and scenario contracts allow unlike ecological, economic, and social mechanisms to share interfaces without being treated as identical. The framework derives conditional stock, capacity, buffer, delay, and growth lemmas; supplies diagnostic indicators and certification templates; and formulates conjectures concerning composition, capacity erosion, burden displacement, and transformation. Ecological, economic, public-service, and coupled community models are presented as instantiation sketches rather than as validated results. A named Northern-cod case supplies a bounded negative model test, while accounting, groundwater, phosphorus, delayed-feedback, and community modules retain explicit evidence and readiness gates. The manuscript concludes with an empirical programme and falsification tests. It does not claim a completed universal law. It proposes a stable architecture within which formal proofs, domain models, normative procedures, and comparative evidence can accumulate without requiring incompatible definitions of sustainability.</w:t>
      </w:r>
    </w:p>
    <w:p>
      <w:r>
        <w:rPr>
          <w:b/>
        </w:rPr>
        <w:t>Keywords:</w:t>
      </w:r>
      <w:r>
        <w:t xml:space="preserve"> sustainability; viability theory; transformation; social–ecological systems; ecological economics; robust control; commons; contract-based design; resilience; adaptive governance</w:t>
      </w:r>
    </w:p>
    <w:p>
      <w:pPr>
        <w:pBdr>
          <w:bottom w:val="single" w:sz="6" w:color="AABBC5"/>
        </w:pBdr>
      </w:pPr>
    </w:p>
    <w:p>
      <w:r>
        <w:br w:type="page"/>
      </w:r>
    </w:p>
    <w:p>
      <w:pPr>
        <w:pStyle w:val="Heading1"/>
      </w:pPr>
      <w:r>
        <w:t>Part I. The Architectural Problem</w:t>
      </w:r>
    </w:p>
    <w:p>
      <w:pPr>
        <w:pStyle w:val="Heading1"/>
      </w:pPr>
      <w:r>
        <w:t>1. Introduction</w:t>
      </w:r>
    </w:p>
    <w:p>
      <w:r>
        <w:t>The ambition to formulate a general theory of sustainability confronts a persistent tension. A theory sufficiently abstract to apply to forests, firms, cities, public institutions, economies, and societies can become vacuous. A theory concrete enough to generate predictions usually becomes domain-specific. The task is therefore not to construct one immense model containing every ecological, economic, and social variable. It is to identify a stable architecture that every adequate sustainability model can instantiate while permitting each domain to supply its own mechanisms, evidence, variables, uncertainties, and normative commitments.</w:t>
      </w:r>
    </w:p>
    <w:p>
      <w:r>
        <w:t>The familiar definition of sustainable development—meeting present needs without compromising the ability of future generations to meet their own needs—joins present provision to future capacity (World Commission on Environment and Development, 1987). It does not by itself determine the assessed system, protected identity, thresholds, affected population, disturbance class, policy set, distribution, institutional feasibility, or time horizon. Similar ambiguity appears when sustainability is equated with persistence, equilibrium, resilience, efficiency, circularity, growth, ecological integrity, or justice. These concepts are connected but not interchangeable.</w:t>
      </w:r>
    </w:p>
    <w:p>
      <w:r>
        <w:t>A dictatorship may persist while violating the values an assessment is intended to protect. A profitable industry may continue by degrading an ecosystem on which it depends. An ecosystem may preserve aggregate productivity while losing species or functions judged essential. A national economy may improve territorial indicators by relocating extraction and pollution abroad. A technically possible policy may be institutionally unavailable or strategically unstable. A transition may promise a desirable endpoint while causing prohibited or irreversible harm along the way. A small emitter may not independently destabilize the climate while participating in a collectively destructive burden. These cases imply that sustainability is neither a purely physical property nor a synonym for desirable persistence.</w:t>
      </w:r>
    </w:p>
    <w:p>
      <w:r>
        <w:t>The manuscript proposes the following architectural thesis:</w:t>
      </w:r>
    </w:p>
    <w:p>
      <w:pPr>
        <w:spacing w:before="120" w:after="120"/>
        <w:ind w:left="504" w:right="360"/>
      </w:pPr>
      <w:r>
        <w:rPr>
          <w:i/>
          <w:color w:val="2F5D73"/>
        </w:rPr>
        <w:t>**Sustainability concerns the continued availability of physically feasible, functionally viable, normatively admissible, and relationally responsible trajectories within and across possible transformations of interdependent systems, under declared boundaries, disturbances, horizons, and implementable actions.**</w:t>
      </w:r>
    </w:p>
    <w:p>
      <w:r>
        <w:t>This thesis is implemented by six commitments:</w:t>
      </w:r>
    </w:p>
    <w:p>
      <w:pPr>
        <w:pStyle w:val="ListNumber"/>
      </w:pPr>
      <w:r>
        <w:t>a sustainability claim is relative to a frozen and auditable specification;</w:t>
      </w:r>
    </w:p>
    <w:p>
      <w:pPr>
        <w:pStyle w:val="ListNumber"/>
      </w:pPr>
      <w:r>
        <w:t>constraints share one registry but retain typed meanings;</w:t>
      </w:r>
    </w:p>
    <w:p>
      <w:pPr>
        <w:pStyle w:val="ListNumber"/>
      </w:pPr>
      <w:r>
        <w:t>viability within an architecture and transformation between architectures are distinct operators;</w:t>
      </w:r>
    </w:p>
    <w:p>
      <w:pPr>
        <w:pStyle w:val="ListNumber"/>
      </w:pPr>
      <w:r>
        <w:t>external influences are handled through explicit boundary interfaces, not claims of complete closure;</w:t>
      </w:r>
    </w:p>
    <w:p>
      <w:pPr>
        <w:pStyle w:val="ListNumber"/>
      </w:pPr>
      <w:r>
        <w:t>dependencies and burdens are represented by typed hypergraphs, including commons nodes;</w:t>
      </w:r>
    </w:p>
    <w:p>
      <w:pPr>
        <w:pStyle w:val="ListNumber"/>
      </w:pPr>
      <w:r>
        <w:t>composition uses relation-specific contract modalities rather than one deterministic logic for all domains.</w:t>
      </w:r>
    </w:p>
    <w:p>
      <w:r>
        <w:t>The commonality proposed across domains is formal, not mechanistic. Ecological, economic, and social systems need not obey the same substantive equations. They can nevertheless be described using states, processes, capacities, constraints, disturbances, dependencies, actions, information, distributions, and values. Whether this architecture eventually supports explanatory laws or predictive improvements is an empirical and formal research question.</w:t>
      </w:r>
    </w:p>
    <w:p>
      <w:pPr>
        <w:pStyle w:val="Heading2"/>
      </w:pPr>
      <w:r>
        <w:t>Box 1. Contribution type — architectural kernel</w:t>
      </w:r>
    </w:p>
    <w:p>
      <w:pPr>
        <w:spacing w:before="120" w:after="120"/>
        <w:ind w:left="504" w:right="360"/>
      </w:pPr>
      <w:r>
        <w:rPr>
          <w:i/>
          <w:color w:val="2F5D73"/>
        </w:rPr>
        <w:t>This manuscript presents a **candidate architectural kernel and composition language** intended to support development of a general theory of sustainability. Definitions and interface principles establish the spine. Conditional lemmas, conjectures, templates, placeholder modules, and proof obligations identify future work. The manuscript does not claim a completed universal explanatory theory.</w:t>
      </w:r>
    </w:p>
    <w:p>
      <w:pPr>
        <w:pBdr>
          <w:bottom w:val="single" w:sz="6" w:color="AABBC5"/>
        </w:pBdr>
      </w:pPr>
    </w:p>
    <w:p>
      <w:pPr>
        <w:pStyle w:val="Heading1"/>
      </w:pPr>
      <w:r>
        <w:t>2. Intellectual foundations</w:t>
      </w:r>
    </w:p>
    <w:p>
      <w:pPr>
        <w:pStyle w:val="Heading2"/>
      </w:pPr>
      <w:r>
        <w:t>2.1 Viability theory</w:t>
      </w:r>
    </w:p>
    <w:p>
      <w:r>
        <w:t>Viability theory asks whether a dynamical system can remain within a constraint set under admissible controls. Its central object is the viability kernel: the set of initial states from which at least one admissible trajectory remains in the constraint set (Aubin, 2009; Aubin, Bayen, &amp; Saint-Pierre, 2011). This supplies the mathematical basis for within-architecture sustainability. The present architecture extends the question by typing constraints, using an implementable rather than fictional action set, representing boundaries and commons explicitly, and adding transformation between model architectures.</w:t>
      </w:r>
    </w:p>
    <w:p>
      <w:pPr>
        <w:pStyle w:val="Heading2"/>
      </w:pPr>
      <w:r>
        <w:t>2.2 Resilience, adaptation, and transformation</w:t>
      </w:r>
    </w:p>
    <w:p>
      <w:r>
        <w:t>Holling (1973) distinguished ecological resilience from narrow equilibrium stability by emphasizing persistence of relationships under disturbance. Later work developed adaptability and transformability in social–ecological systems (Walker et al., 2004; Folke et al., 2010). This manuscript preserves value-neutral dynamical resilience as a distinct concept while introducing sustainability robustness for persistence of the complete typed sustainability judgment. It also separates adaptation inside an architecture from transformation between architectures.</w:t>
      </w:r>
    </w:p>
    <w:p>
      <w:pPr>
        <w:pStyle w:val="Heading2"/>
      </w:pPr>
      <w:r>
        <w:t>2.3 Social–ecological systems and institutional analysis</w:t>
      </w:r>
    </w:p>
    <w:p>
      <w:r>
        <w:t>Ostrom’s (2009) social–ecological systems framework organizes analysis around resource systems, resource units, users, governance systems, interactions, and outcomes. It supplies a rich diagnostic ontology and cautions against universal institutional prescriptions. The present proposal contributes a formal interface architecture: typed dependencies, implementable actions, aggregate commons burdens, and a distinction between local module behavior and system-level viability.</w:t>
      </w:r>
    </w:p>
    <w:p>
      <w:pPr>
        <w:pStyle w:val="Heading2"/>
      </w:pPr>
      <w:r>
        <w:t>2.4 Ecological economics and strong sustainability</w:t>
      </w:r>
    </w:p>
    <w:p>
      <w:r>
        <w:t>Ecological economics emphasizes material embeddedness, throughput, scale, distribution, and critical natural capital. Strong-sustainability approaches reject automatic substitution of produced capital for every ecological function (Ekins et al., 2003; Neumayer, 2013). Here, strong and weak sustainability become explicit constraint and substitution specifications rather than metaphysical assumptions hidden in aggregation.</w:t>
      </w:r>
    </w:p>
    <w:p>
      <w:pPr>
        <w:pStyle w:val="Heading2"/>
      </w:pPr>
      <w:r>
        <w:t>2.5 Safe and just operating spaces</w:t>
      </w:r>
    </w:p>
    <w:p>
      <w:r>
        <w:t>Planetary-boundary research identifies Earth-system constraints relevant to a safe operating space (Rockström et al., 2009; Steffen et al., 2015). Raworth (2012, 2017) combines ecological ceilings with social foundations. The sustainability corridor developed below generalizes the lower-bound/upper-bound idea and makes it dynamic, typed, capacity-dependent, disturbance-aware, and distribution-sensitive.</w:t>
      </w:r>
    </w:p>
    <w:p>
      <w:pPr>
        <w:pStyle w:val="Heading2"/>
      </w:pPr>
      <w:r>
        <w:t>2.6 Systems, control, and contract-based design</w:t>
      </w:r>
    </w:p>
    <w:p>
      <w:r>
        <w:t>Systems thinking contributes stocks, flows, feedback, delay, nonlinearity, and leverage points (Meadows, 2008). Control theory contributes observability, controllability, robust invariance, and reachability. Assume–guarantee reasoning contributes component contracts and compositional proof obligations. These tools do not determine the right identity, justice standard, or affected population. They become useful after those choices are declared and typed.</w:t>
      </w:r>
    </w:p>
    <w:p>
      <w:pPr>
        <w:pStyle w:val="Heading2"/>
      </w:pPr>
      <w:r>
        <w:t>2.7 The architectural gap</w:t>
      </w:r>
    </w:p>
    <w:p>
      <w:r>
        <w:t>Existing traditions contain most ingredients, but not one agreed spine that simultaneously:</w:t>
      </w:r>
    </w:p>
    <w:p>
      <w:pPr>
        <w:pStyle w:val="ListBullet"/>
      </w:pPr>
      <w:r>
        <w:t>preserves distinct physical, functional, normative, and relational meanings;</w:t>
      </w:r>
    </w:p>
    <w:p>
      <w:pPr>
        <w:pStyle w:val="ListBullet"/>
      </w:pPr>
      <w:r>
        <w:t>handles current viability and architecture change;</w:t>
      </w:r>
    </w:p>
    <w:p>
      <w:pPr>
        <w:pStyle w:val="ListBullet"/>
      </w:pPr>
      <w:r>
        <w:t>prevents hidden burden displacement;</w:t>
      </w:r>
    </w:p>
    <w:p>
      <w:pPr>
        <w:pStyle w:val="ListBullet"/>
      </w:pPr>
      <w:r>
        <w:t>represents many-to-one commons problems;</w:t>
      </w:r>
    </w:p>
    <w:p>
      <w:pPr>
        <w:pStyle w:val="ListBullet"/>
      </w:pPr>
      <w:r>
        <w:t>distinguishes theoretical from implementable action;</w:t>
      </w:r>
    </w:p>
    <w:p>
      <w:pPr>
        <w:pStyle w:val="ListBullet"/>
      </w:pPr>
      <w:r>
        <w:t>composes unlike domain mechanisms through typed interfaces;</w:t>
      </w:r>
    </w:p>
    <w:p>
      <w:pPr>
        <w:pStyle w:val="ListBullet"/>
      </w:pPr>
      <w:r>
        <w:t>supports conjectures and placeholders without presenting them as completed theorems.</w:t>
      </w:r>
    </w:p>
    <w:p>
      <w:pPr>
        <w:pStyle w:val="Heading2"/>
      </w:pPr>
      <w:r>
        <w:t>2.8 Provisional contribution matrix</w:t>
      </w:r>
    </w:p>
    <w:p>
      <w:r>
        <w:t>The architecture integrates established traditions but does not claim ownership of their component results. The table states the proposed incremental contribution that must be tested against the full literature.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CE8EF"/>
            <w:vAlign w:val="center"/>
          </w:tcPr>
          <w:p>
            <w:r>
              <w:rPr>
                <w:b/>
              </w:rPr>
              <w:t>Established tradition</w:t>
            </w:r>
          </w:p>
        </w:tc>
        <w:tc>
          <w:tcPr>
            <w:tcW w:type="dxa" w:w="2412"/>
            <w:shd w:fill="DCE8EF"/>
            <w:vAlign w:val="center"/>
          </w:tcPr>
          <w:p>
            <w:r>
              <w:rPr>
                <w:b/>
              </w:rPr>
              <w:t>Established contribution</w:t>
            </w:r>
          </w:p>
        </w:tc>
        <w:tc>
          <w:tcPr>
            <w:tcW w:type="dxa" w:w="2412"/>
            <w:shd w:fill="DCE8EF"/>
            <w:vAlign w:val="center"/>
          </w:tcPr>
          <w:p>
            <w:r>
              <w:rPr>
                <w:b/>
              </w:rPr>
              <w:t>Proposed architectural increment</w:t>
            </w:r>
          </w:p>
        </w:tc>
        <w:tc>
          <w:tcPr>
            <w:tcW w:type="dxa" w:w="2412"/>
            <w:shd w:fill="DCE8EF"/>
            <w:vAlign w:val="center"/>
          </w:tcPr>
          <w:p>
            <w:r>
              <w:rPr>
                <w:b/>
              </w:rPr>
              <w:t>Present status</w:t>
            </w:r>
          </w:p>
        </w:tc>
      </w:tr>
      <w:tr>
        <w:tc>
          <w:tcPr>
            <w:tcW w:type="dxa" w:w="2412"/>
          </w:tcPr>
          <w:p>
            <w:r>
              <w:t>Classical viability theory</w:t>
            </w:r>
          </w:p>
        </w:tc>
        <w:tc>
          <w:tcPr>
            <w:tcW w:type="dxa" w:w="2412"/>
          </w:tcPr>
          <w:p>
            <w:r>
              <w:t>Viability kernels, capture basins, tangency and regulation</w:t>
            </w:r>
          </w:p>
        </w:tc>
        <w:tc>
          <w:tcPr>
            <w:tcW w:type="dxa" w:w="2412"/>
          </w:tcPr>
          <w:p>
            <w:r>
              <w:t>Typed sustainability specification plus current-state, recovery, and transformation status map</w:t>
            </w:r>
          </w:p>
        </w:tc>
        <w:tc>
          <w:tcPr>
            <w:tcW w:type="dxa" w:w="2412"/>
          </w:tcPr>
          <w:p>
            <w:r>
              <w:t>Synthesis; formal subclasses supplied by Articles 001–002</w:t>
            </w:r>
          </w:p>
        </w:tc>
      </w:tr>
      <w:tr>
        <w:tc>
          <w:tcPr>
            <w:tcW w:type="dxa" w:w="2412"/>
          </w:tcPr>
          <w:p>
            <w:r>
              <w:t>Robust/discriminating kernels</w:t>
            </w:r>
          </w:p>
        </w:tc>
        <w:tc>
          <w:tcPr>
            <w:tcW w:type="dxa" w:w="2412"/>
          </w:tcPr>
          <w:p>
            <w:r>
              <w:t>Adversarial disturbances and robust invariance</w:t>
            </w:r>
          </w:p>
        </w:tc>
        <w:tc>
          <w:tcPr>
            <w:tcW w:type="dxa" w:w="2412"/>
          </w:tcPr>
          <w:p>
            <w:r>
              <w:t>Explicit disturbance signatures joined to normative, relational, and interface typing</w:t>
            </w:r>
          </w:p>
        </w:tc>
        <w:tc>
          <w:tcPr>
            <w:tcW w:type="dxa" w:w="2412"/>
          </w:tcPr>
          <w:p>
            <w:r>
              <w:t>Architectural synthesis</w:t>
            </w:r>
          </w:p>
        </w:tc>
      </w:tr>
      <w:tr>
        <w:tc>
          <w:tcPr>
            <w:tcW w:type="dxa" w:w="2412"/>
          </w:tcPr>
          <w:p>
            <w:r>
              <w:t>Partial-observation and information-state safety</w:t>
            </w:r>
          </w:p>
        </w:tc>
        <w:tc>
          <w:tcPr>
            <w:tcW w:type="dxa" w:w="2412"/>
          </w:tcPr>
          <w:p>
            <w:r>
              <w:t>Belief states, observers, knowledge games</w:t>
            </w:r>
          </w:p>
        </w:tc>
        <w:tc>
          <w:tcPr>
            <w:tcW w:type="dxa" w:w="2412"/>
          </w:tcPr>
          <w:p>
            <w:r>
              <w:t>Epistemic sustainability reporting linked to implementable policy classes and typed judgments</w:t>
            </w:r>
          </w:p>
        </w:tc>
        <w:tc>
          <w:tcPr>
            <w:tcW w:type="dxa" w:w="2412"/>
          </w:tcPr>
          <w:p>
            <w:r>
              <w:t>Synthesis with restricted theorem programme</w:t>
            </w:r>
          </w:p>
        </w:tc>
      </w:tr>
      <w:tr>
        <w:tc>
          <w:tcPr>
            <w:tcW w:type="dxa" w:w="2412"/>
          </w:tcPr>
          <w:p>
            <w:r>
              <w:t>Sampled, hybrid, and RFDE safety</w:t>
            </w:r>
          </w:p>
        </w:tc>
        <w:tc>
          <w:tcPr>
            <w:tcW w:type="dxa" w:w="2412"/>
          </w:tcPr>
          <w:p>
            <w:r>
              <w:t>Review-time, tube, hybrid, and history-state invariance</w:t>
            </w:r>
          </w:p>
        </w:tc>
        <w:tc>
          <w:tcPr>
            <w:tcW w:type="dxa" w:w="2412"/>
          </w:tcPr>
          <w:p>
            <w:r>
              <w:t>Common decision-clock and interface registry across sustainability modules</w:t>
            </w:r>
          </w:p>
        </w:tc>
        <w:tc>
          <w:tcPr>
            <w:tcW w:type="dxa" w:w="2412"/>
          </w:tcPr>
          <w:p>
            <w:r>
              <w:t>Restricted results and open generalization</w:t>
            </w:r>
          </w:p>
        </w:tc>
      </w:tr>
      <w:tr>
        <w:tc>
          <w:tcPr>
            <w:tcW w:type="dxa" w:w="2412"/>
          </w:tcPr>
          <w:p>
            <w:r>
              <w:t>Contract-based and compositional invariance</w:t>
            </w:r>
          </w:p>
        </w:tc>
        <w:tc>
          <w:tcPr>
            <w:tcW w:type="dxa" w:w="2412"/>
          </w:tcPr>
          <w:p>
            <w:r>
              <w:t>Local assume–guarantee proof rules</w:t>
            </w:r>
          </w:p>
        </w:tc>
        <w:tc>
          <w:tcPr>
            <w:tcW w:type="dxa" w:w="2412"/>
          </w:tcPr>
          <w:p>
            <w:r>
              <w:t>Relation-level deterministic, robust, probabilistic, strategic, and scenario modalities with commons dependencies</w:t>
            </w:r>
          </w:p>
        </w:tc>
        <w:tc>
          <w:tcPr>
            <w:tcW w:type="dxa" w:w="2412"/>
          </w:tcPr>
          <w:p>
            <w:r>
              <w:t>Conjectural general layer; restricted theorems available</w:t>
            </w:r>
          </w:p>
        </w:tc>
      </w:tr>
      <w:tr>
        <w:tc>
          <w:tcPr>
            <w:tcW w:type="dxa" w:w="2412"/>
          </w:tcPr>
          <w:p>
            <w:r>
              <w:t>Social–ecological systems and commons governance</w:t>
            </w:r>
          </w:p>
        </w:tc>
        <w:tc>
          <w:tcPr>
            <w:tcW w:type="dxa" w:w="2412"/>
          </w:tcPr>
          <w:p>
            <w:r>
              <w:t>Resource–user–institution interactions and design mechanisms</w:t>
            </w:r>
          </w:p>
        </w:tc>
        <w:tc>
          <w:tcPr>
            <w:tcW w:type="dxa" w:w="2412"/>
          </w:tcPr>
          <w:p>
            <w:r>
              <w:t>Mapping institutions, information, enforcement, allocation, and shared sinks into viability operators</w:t>
            </w:r>
          </w:p>
        </w:tc>
        <w:tc>
          <w:tcPr>
            <w:tcW w:type="dxa" w:w="2412"/>
          </w:tcPr>
          <w:p>
            <w:r>
              <w:t>Cross-domain synthesis and formal cases</w:t>
            </w:r>
          </w:p>
        </w:tc>
      </w:tr>
      <w:tr>
        <w:tc>
          <w:tcPr>
            <w:tcW w:type="dxa" w:w="2412"/>
          </w:tcPr>
          <w:p>
            <w:r>
              <w:t>Ecological economics and strong sustainability</w:t>
            </w:r>
          </w:p>
        </w:tc>
        <w:tc>
          <w:tcPr>
            <w:tcW w:type="dxa" w:w="2412"/>
          </w:tcPr>
          <w:p>
            <w:r>
              <w:t>Throughput, critical natural capital, substitution limits, distribution</w:t>
            </w:r>
          </w:p>
        </w:tc>
        <w:tc>
          <w:tcPr>
            <w:tcW w:type="dxa" w:w="2412"/>
          </w:tcPr>
          <w:p>
            <w:r>
              <w:t>Typed non-compensation and pathway-specific substitution certificates inside dynamic viability</w:t>
            </w:r>
          </w:p>
        </w:tc>
        <w:tc>
          <w:tcPr>
            <w:tcW w:type="dxa" w:w="2412"/>
          </w:tcPr>
          <w:p>
            <w:r>
              <w:t>Synthesis with formal CES/Farkas modules</w:t>
            </w:r>
          </w:p>
        </w:tc>
      </w:tr>
      <w:tr>
        <w:tc>
          <w:tcPr>
            <w:tcW w:type="dxa" w:w="2412"/>
          </w:tcPr>
          <w:p>
            <w:r>
              <w:t>Safe-and-just-space frameworks</w:t>
            </w:r>
          </w:p>
        </w:tc>
        <w:tc>
          <w:tcPr>
            <w:tcW w:type="dxa" w:w="2412"/>
          </w:tcPr>
          <w:p>
            <w:r>
              <w:t>Ecological ceilings and social foundations</w:t>
            </w:r>
          </w:p>
        </w:tc>
        <w:tc>
          <w:tcPr>
            <w:tcW w:type="dxa" w:w="2412"/>
          </w:tcPr>
          <w:p>
            <w:r>
              <w:t>Horizon-, policy-, information-, and transformation-sensitive safe-and-just trajectories</w:t>
            </w:r>
          </w:p>
        </w:tc>
        <w:tc>
          <w:tcPr>
            <w:tcW w:type="dxa" w:w="2412"/>
          </w:tcPr>
          <w:p>
            <w:r>
              <w:t>Architectural extension</w:t>
            </w:r>
          </w:p>
        </w:tc>
      </w:tr>
      <w:tr>
        <w:tc>
          <w:tcPr>
            <w:tcW w:type="dxa" w:w="2412"/>
          </w:tcPr>
          <w:p>
            <w:r>
              <w:t>Systems and resilience science</w:t>
            </w:r>
          </w:p>
        </w:tc>
        <w:tc>
          <w:tcPr>
            <w:tcW w:type="dxa" w:w="2412"/>
          </w:tcPr>
          <w:p>
            <w:r>
              <w:t>Stocks, flows, feedback, delay, regime persistence</w:t>
            </w:r>
          </w:p>
        </w:tc>
        <w:tc>
          <w:tcPr>
            <w:tcW w:type="dxa" w:w="2412"/>
          </w:tcPr>
          <w:p>
            <w:r>
              <w:t>Distinction among dynamical resilience, sustainability robustness, recoverability, and transformability</w:t>
            </w:r>
          </w:p>
        </w:tc>
        <w:tc>
          <w:tcPr>
            <w:tcW w:type="dxa" w:w="2412"/>
          </w:tcPr>
          <w:p>
            <w:r>
              <w:t>Conceptual and formal synthesis</w:t>
            </w:r>
          </w:p>
        </w:tc>
      </w:tr>
      <w:tr>
        <w:tc>
          <w:tcPr>
            <w:tcW w:type="dxa" w:w="2412"/>
          </w:tcPr>
          <w:p>
            <w:r>
              <w:t>Model reduction and coarse-graining</w:t>
            </w:r>
          </w:p>
        </w:tc>
        <w:tc>
          <w:tcPr>
            <w:tcW w:type="dxa" w:w="2412"/>
          </w:tcPr>
          <w:p>
            <w:r>
              <w:t>Exact projection, approximation, aggregation error</w:t>
            </w:r>
          </w:p>
        </w:tc>
        <w:tc>
          <w:tcPr>
            <w:tcW w:type="dxa" w:w="2412"/>
          </w:tcPr>
          <w:p>
            <w:r>
              <w:t>Mandatory model-map and scale-transfer proof obligations for sustainability claims</w:t>
            </w:r>
          </w:p>
        </w:tc>
        <w:tc>
          <w:tcPr>
            <w:tcW w:type="dxa" w:w="2412"/>
          </w:tcPr>
          <w:p>
            <w:r>
              <w:t>Formal integration programme</w:t>
            </w:r>
          </w:p>
        </w:tc>
      </w:tr>
    </w:tbl>
    <w:p/>
    <w:p>
      <w:r>
        <w:t>This matrix is provisional until a systematic review verifies priority, terminology, and overlap. Novelty may reside in a theorem, counterexample, interface, synthesis, or research programme; those categories must not be conflated.</w:t>
      </w:r>
    </w:p>
    <w:p>
      <w:pPr>
        <w:pBdr>
          <w:bottom w:val="single" w:sz="6" w:color="AABBC5"/>
        </w:pBdr>
      </w:pPr>
    </w:p>
    <w:p>
      <w:pPr>
        <w:pStyle w:val="Heading1"/>
      </w:pPr>
      <w:r>
        <w:t>3. Epistemic discipline and box taxonomy</w:t>
      </w:r>
    </w:p>
    <w:p>
      <w:r>
        <w:t>Every substantive statement should be classified as one of the following:</w:t>
      </w:r>
    </w:p>
    <w:p>
      <w:pPr>
        <w:pStyle w:val="ListBullet"/>
      </w:pPr>
      <w:r>
        <w:rPr>
          <w:b/>
        </w:rPr>
        <w:t>[D] Definition:</w:t>
      </w:r>
      <w:r>
        <w:t xml:space="preserve"> fixes terminology.</w:t>
      </w:r>
    </w:p>
    <w:p>
      <w:pPr>
        <w:pStyle w:val="ListBullet"/>
      </w:pPr>
      <w:r>
        <w:rPr>
          <w:b/>
        </w:rPr>
        <w:t>[L] Logical or mathematical consequence:</w:t>
      </w:r>
      <w:r>
        <w:t xml:space="preserve"> follows from stated premises.</w:t>
      </w:r>
    </w:p>
    <w:p>
      <w:pPr>
        <w:pStyle w:val="ListBullet"/>
      </w:pPr>
      <w:r>
        <w:rPr>
          <w:b/>
        </w:rPr>
        <w:t>[P] Physical constraint:</w:t>
      </w:r>
      <w:r>
        <w:t xml:space="preserve"> follows from accepted physical law under stated scope conditions.</w:t>
      </w:r>
    </w:p>
    <w:p>
      <w:pPr>
        <w:pStyle w:val="ListBullet"/>
      </w:pPr>
      <w:r>
        <w:rPr>
          <w:b/>
        </w:rPr>
        <w:t>[E] Empirical hypothesis:</w:t>
      </w:r>
      <w:r>
        <w:t xml:space="preserve"> requires observation, experiment, or comparative evidence.</w:t>
      </w:r>
    </w:p>
    <w:p>
      <w:pPr>
        <w:pStyle w:val="ListBullet"/>
      </w:pPr>
      <w:r>
        <w:rPr>
          <w:b/>
        </w:rPr>
        <w:t>[M] Modelling assumption:</w:t>
      </w:r>
      <w:r>
        <w:t xml:space="preserve"> simplifies a particular representation.</w:t>
      </w:r>
    </w:p>
    <w:p>
      <w:pPr>
        <w:pStyle w:val="ListBullet"/>
      </w:pPr>
      <w:r>
        <w:rPr>
          <w:b/>
        </w:rPr>
        <w:t>[N] Normative postulate:</w:t>
      </w:r>
      <w:r>
        <w:t xml:space="preserve"> identifies what ought to be protected, prohibited, or distributed.</w:t>
      </w:r>
    </w:p>
    <w:p>
      <w:r>
        <w:t>Conservation of energy is [P]. A claim that institutional trust improves compliance in a specified population is [E]. A minimum-rights threshold is [N]. A finite non-substitutable stock with persistent positive net depletion eventually crosses a positive lower bound is [L] given the balance equation.</w:t>
      </w:r>
    </w:p>
    <w:p>
      <w:r>
        <w:t>The manuscript also distinguishes the function of each displayed box.</w:t>
      </w:r>
    </w:p>
    <w:tbl>
      <w:tblPr>
        <w:tblStyle w:val="TableGrid"/>
        <w:tblW w:type="auto" w:w="0"/>
        <w:jc w:val="center"/>
        <w:tblLook w:firstColumn="1" w:firstRow="1" w:lastColumn="0" w:lastRow="0" w:noHBand="0" w:noVBand="1" w:val="04A0"/>
      </w:tblPr>
      <w:tblGrid>
        <w:gridCol w:w="4824"/>
        <w:gridCol w:w="4824"/>
      </w:tblGrid>
      <w:tr>
        <w:tc>
          <w:tcPr>
            <w:tcW w:type="dxa" w:w="4824"/>
            <w:shd w:fill="DCE8EF"/>
            <w:vAlign w:val="center"/>
          </w:tcPr>
          <w:p>
            <w:r>
              <w:rPr>
                <w:b/>
              </w:rPr>
              <w:t>Box type</w:t>
            </w:r>
          </w:p>
        </w:tc>
        <w:tc>
          <w:tcPr>
            <w:tcW w:type="dxa" w:w="4824"/>
            <w:shd w:fill="DCE8EF"/>
            <w:vAlign w:val="center"/>
          </w:tcPr>
          <w:p>
            <w:r>
              <w:rPr>
                <w:b/>
              </w:rPr>
              <w:t>Function</w:t>
            </w:r>
          </w:p>
        </w:tc>
      </w:tr>
      <w:tr>
        <w:tc>
          <w:tcPr>
            <w:tcW w:type="dxa" w:w="4824"/>
          </w:tcPr>
          <w:p>
            <w:r>
              <w:t>Definition</w:t>
            </w:r>
          </w:p>
        </w:tc>
        <w:tc>
          <w:tcPr>
            <w:tcW w:type="dxa" w:w="4824"/>
          </w:tcPr>
          <w:p>
            <w:r>
              <w:t>Official meaning used by the architecture</w:t>
            </w:r>
          </w:p>
        </w:tc>
      </w:tr>
      <w:tr>
        <w:tc>
          <w:tcPr>
            <w:tcW w:type="dxa" w:w="4824"/>
          </w:tcPr>
          <w:p>
            <w:r>
              <w:t>Well-formedness rule</w:t>
            </w:r>
          </w:p>
        </w:tc>
        <w:tc>
          <w:tcPr>
            <w:tcW w:type="dxa" w:w="4824"/>
          </w:tcPr>
          <w:p>
            <w:r>
              <w:t>Requirement for a valid sustainability claim</w:t>
            </w:r>
          </w:p>
        </w:tc>
      </w:tr>
      <w:tr>
        <w:tc>
          <w:tcPr>
            <w:tcW w:type="dxa" w:w="4824"/>
          </w:tcPr>
          <w:p>
            <w:r>
              <w:t>Interface principle</w:t>
            </w:r>
          </w:p>
        </w:tc>
        <w:tc>
          <w:tcPr>
            <w:tcW w:type="dxa" w:w="4824"/>
          </w:tcPr>
          <w:p>
            <w:r>
              <w:t>Rule governing boundaries, controls, contracts, or dependencies</w:t>
            </w:r>
          </w:p>
        </w:tc>
      </w:tr>
      <w:tr>
        <w:tc>
          <w:tcPr>
            <w:tcW w:type="dxa" w:w="4824"/>
          </w:tcPr>
          <w:p>
            <w:r>
              <w:t>Conditional lemma</w:t>
            </w:r>
          </w:p>
        </w:tc>
        <w:tc>
          <w:tcPr>
            <w:tcW w:type="dxa" w:w="4824"/>
          </w:tcPr>
          <w:p>
            <w:r>
              <w:t>Consequence under an explicit model signature</w:t>
            </w:r>
          </w:p>
        </w:tc>
      </w:tr>
      <w:tr>
        <w:tc>
          <w:tcPr>
            <w:tcW w:type="dxa" w:w="4824"/>
          </w:tcPr>
          <w:p>
            <w:r>
              <w:t>Conjecture</w:t>
            </w:r>
          </w:p>
        </w:tc>
        <w:tc>
          <w:tcPr>
            <w:tcW w:type="dxa" w:w="4824"/>
          </w:tcPr>
          <w:p>
            <w:r>
              <w:t>Open formal or empirical claim</w:t>
            </w:r>
          </w:p>
        </w:tc>
      </w:tr>
      <w:tr>
        <w:tc>
          <w:tcPr>
            <w:tcW w:type="dxa" w:w="4824"/>
          </w:tcPr>
          <w:p>
            <w:r>
              <w:t>Template</w:t>
            </w:r>
          </w:p>
        </w:tc>
        <w:tc>
          <w:tcPr>
            <w:tcW w:type="dxa" w:w="4824"/>
          </w:tcPr>
          <w:p>
            <w:r>
              <w:t>Reusable specification, register, contract, or certificate</w:t>
            </w:r>
          </w:p>
        </w:tc>
      </w:tr>
      <w:tr>
        <w:tc>
          <w:tcPr>
            <w:tcW w:type="dxa" w:w="4824"/>
          </w:tcPr>
          <w:p>
            <w:r>
              <w:t>Placeholder module</w:t>
            </w:r>
          </w:p>
        </w:tc>
        <w:tc>
          <w:tcPr>
            <w:tcW w:type="dxa" w:w="4824"/>
          </w:tcPr>
          <w:p>
            <w:r>
              <w:t>Required component whose internal theory remains open</w:t>
            </w:r>
          </w:p>
        </w:tc>
      </w:tr>
      <w:tr>
        <w:tc>
          <w:tcPr>
            <w:tcW w:type="dxa" w:w="4824"/>
          </w:tcPr>
          <w:p>
            <w:r>
              <w:t>Proof obligation</w:t>
            </w:r>
          </w:p>
        </w:tc>
        <w:tc>
          <w:tcPr>
            <w:tcW w:type="dxa" w:w="4824"/>
          </w:tcPr>
          <w:p>
            <w:r>
              <w:t>Condition future work must discharge</w:t>
            </w:r>
          </w:p>
        </w:tc>
      </w:tr>
      <w:tr>
        <w:tc>
          <w:tcPr>
            <w:tcW w:type="dxa" w:w="4824"/>
          </w:tcPr>
          <w:p>
            <w:r>
              <w:t>Instantiation sketch</w:t>
            </w:r>
          </w:p>
        </w:tc>
        <w:tc>
          <w:tcPr>
            <w:tcW w:type="dxa" w:w="4824"/>
          </w:tcPr>
          <w:p>
            <w:r>
              <w:t>Domain example displaying interfaces and possible mechanisms</w:t>
            </w:r>
          </w:p>
        </w:tc>
      </w:tr>
      <w:tr>
        <w:tc>
          <w:tcPr>
            <w:tcW w:type="dxa" w:w="4824"/>
          </w:tcPr>
          <w:p>
            <w:r>
              <w:t>Limitation</w:t>
            </w:r>
          </w:p>
        </w:tc>
        <w:tc>
          <w:tcPr>
            <w:tcW w:type="dxa" w:w="4824"/>
          </w:tcPr>
          <w:p>
            <w:r>
              <w:t>Declared boundary on present claims</w:t>
            </w:r>
          </w:p>
        </w:tc>
      </w:tr>
    </w:tbl>
    <w:p/>
    <w:p>
      <w:r>
        <w:t>This taxonomy allows ambitious anticipation without confusing scaffolding with established results.</w:t>
      </w:r>
    </w:p>
    <w:p>
      <w:r>
        <w:t>A second, independent axis records epistemic status.</w:t>
      </w:r>
    </w:p>
    <w:tbl>
      <w:tblPr>
        <w:tblStyle w:val="TableGrid"/>
        <w:tblW w:type="auto" w:w="0"/>
        <w:jc w:val="center"/>
        <w:tblLook w:firstColumn="1" w:firstRow="1" w:lastColumn="0" w:lastRow="0" w:noHBand="0" w:noVBand="1" w:val="04A0"/>
      </w:tblPr>
      <w:tblGrid>
        <w:gridCol w:w="4824"/>
        <w:gridCol w:w="4824"/>
      </w:tblGrid>
      <w:tr>
        <w:tc>
          <w:tcPr>
            <w:tcW w:type="dxa" w:w="4824"/>
            <w:shd w:fill="DCE8EF"/>
            <w:vAlign w:val="center"/>
          </w:tcPr>
          <w:p>
            <w:r>
              <w:rPr>
                <w:b/>
              </w:rPr>
              <w:t>Epistemic status</w:t>
            </w:r>
          </w:p>
        </w:tc>
        <w:tc>
          <w:tcPr>
            <w:tcW w:type="dxa" w:w="4824"/>
            <w:shd w:fill="DCE8EF"/>
            <w:vAlign w:val="center"/>
          </w:tcPr>
          <w:p>
            <w:r>
              <w:rPr>
                <w:b/>
              </w:rPr>
              <w:t>Admission rule</w:t>
            </w:r>
          </w:p>
        </w:tc>
      </w:tr>
      <w:tr>
        <w:tc>
          <w:tcPr>
            <w:tcW w:type="dxa" w:w="4824"/>
          </w:tcPr>
          <w:p>
            <w:r>
              <w:t>Definition/architectural postulate</w:t>
            </w:r>
          </w:p>
        </w:tc>
        <w:tc>
          <w:tcPr>
            <w:tcW w:type="dxa" w:w="4824"/>
          </w:tcPr>
          <w:p>
            <w:r>
              <w:t>Declares an object, type, convention, or adopted normative requirement</w:t>
            </w:r>
          </w:p>
        </w:tc>
      </w:tr>
      <w:tr>
        <w:tc>
          <w:tcPr>
            <w:tcW w:type="dxa" w:w="4824"/>
          </w:tcPr>
          <w:p>
            <w:r>
              <w:t>Identity</w:t>
            </w:r>
          </w:p>
        </w:tc>
        <w:tc>
          <w:tcPr>
            <w:tcW w:type="dxa" w:w="4824"/>
          </w:tcPr>
          <w:p>
            <w:r>
              <w:t>Follows by construction or direct algebra</w:t>
            </w:r>
          </w:p>
        </w:tc>
      </w:tr>
      <w:tr>
        <w:tc>
          <w:tcPr>
            <w:tcW w:type="dxa" w:w="4824"/>
          </w:tcPr>
          <w:p>
            <w:r>
              <w:t>Theorem</w:t>
            </w:r>
          </w:p>
        </w:tc>
        <w:tc>
          <w:tcPr>
            <w:tcW w:type="dxa" w:w="4824"/>
          </w:tcPr>
          <w:p>
            <w:r>
              <w:t>Complete proof under explicit mathematical assumptions</w:t>
            </w:r>
          </w:p>
        </w:tc>
      </w:tr>
      <w:tr>
        <w:tc>
          <w:tcPr>
            <w:tcW w:type="dxa" w:w="4824"/>
          </w:tcPr>
          <w:p>
            <w:r>
              <w:t>Conditional theorem/lemma</w:t>
            </w:r>
          </w:p>
        </w:tc>
        <w:tc>
          <w:tcPr>
            <w:tcW w:type="dxa" w:w="4824"/>
          </w:tcPr>
          <w:p>
            <w:r>
              <w:t>Complete implication whose hypotheses are not established for every intended application</w:t>
            </w:r>
          </w:p>
        </w:tc>
      </w:tr>
      <w:tr>
        <w:tc>
          <w:tcPr>
            <w:tcW w:type="dxa" w:w="4824"/>
          </w:tcPr>
          <w:p>
            <w:r>
              <w:t>Conjecture</w:t>
            </w:r>
          </w:p>
        </w:tc>
        <w:tc>
          <w:tcPr>
            <w:tcW w:type="dxa" w:w="4824"/>
          </w:tcPr>
          <w:p>
            <w:r>
              <w:t>Precise unproved statement with a proof gap and disproof route</w:t>
            </w:r>
          </w:p>
        </w:tc>
      </w:tr>
      <w:tr>
        <w:tc>
          <w:tcPr>
            <w:tcW w:type="dxa" w:w="4824"/>
          </w:tcPr>
          <w:p>
            <w:r>
              <w:t>Numerical proposition</w:t>
            </w:r>
          </w:p>
        </w:tc>
        <w:tc>
          <w:tcPr>
            <w:tcW w:type="dxa" w:w="4824"/>
          </w:tcPr>
          <w:p>
            <w:r>
              <w:t>Reproducible statement tied to a model version, algorithm, tolerances, and archived output</w:t>
            </w:r>
          </w:p>
        </w:tc>
      </w:tr>
      <w:tr>
        <w:tc>
          <w:tcPr>
            <w:tcW w:type="dxa" w:w="4824"/>
          </w:tcPr>
          <w:p>
            <w:r>
              <w:t>Empirical hypothesis</w:t>
            </w:r>
          </w:p>
        </w:tc>
        <w:tc>
          <w:tcPr>
            <w:tcW w:type="dxa" w:w="4824"/>
          </w:tcPr>
          <w:p>
            <w:r>
              <w:t>Population, observables, estimator, uncertainty, and falsification rule are declared</w:t>
            </w:r>
          </w:p>
        </w:tc>
      </w:tr>
      <w:tr>
        <w:tc>
          <w:tcPr>
            <w:tcW w:type="dxa" w:w="4824"/>
          </w:tcPr>
          <w:p>
            <w:r>
              <w:t>Normative postulate</w:t>
            </w:r>
          </w:p>
        </w:tc>
        <w:tc>
          <w:tcPr>
            <w:tcW w:type="dxa" w:w="4824"/>
          </w:tcPr>
          <w:p>
            <w:r>
              <w:t>Protected value, right, entitlement, or authority is explicitly adopted rather than inferred from dynamics</w:t>
            </w:r>
          </w:p>
        </w:tc>
      </w:tr>
      <w:tr>
        <w:tc>
          <w:tcPr>
            <w:tcW w:type="dxa" w:w="4824"/>
          </w:tcPr>
          <w:p>
            <w:r>
              <w:t>Research programme</w:t>
            </w:r>
          </w:p>
        </w:tc>
        <w:tc>
          <w:tcPr>
            <w:tcW w:type="dxa" w:w="4824"/>
          </w:tcPr>
          <w:p>
            <w:r>
              <w:t>Proposed extension or connection without a claim of completion</w:t>
            </w:r>
          </w:p>
        </w:tc>
      </w:tr>
    </w:tbl>
    <w:p/>
    <w:p>
      <w:r>
        <w:t>Box function and epistemic status are orthogonal. A “conjecture box” can contain a formal or empirical conjecture; an “instantiation sketch” can contain identities, assumptions, and hypotheses. Appendix G contains the populated claim-status ledger for the named claims in this manuscript.</w:t>
      </w:r>
    </w:p>
    <w:p>
      <w:pPr>
        <w:pBdr>
          <w:bottom w:val="single" w:sz="6" w:color="AABBC5"/>
        </w:pBdr>
      </w:pPr>
    </w:p>
    <w:p>
      <w:r>
        <w:br w:type="page"/>
      </w:r>
    </w:p>
    <w:p>
      <w:pPr>
        <w:pStyle w:val="Heading1"/>
      </w:pPr>
      <w:r>
        <w:t>Part II. The Formal Spine</w:t>
      </w:r>
    </w:p>
    <w:p>
      <w:pPr>
        <w:pStyle w:val="Heading1"/>
      </w:pPr>
      <w:r>
        <w:t>4. The sustainability specification</w:t>
      </w:r>
    </w:p>
    <w:p>
      <w:pPr>
        <w:pStyle w:val="Heading2"/>
      </w:pPr>
      <w:r>
        <w:t>4.1 Definition</w:t>
      </w:r>
    </w:p>
    <w:p>
      <w:r>
        <w:t>A sustainability assessment begins with</w:t>
      </w:r>
    </w:p>
    <w:p>
      <w:pPr>
        <w:jc w:val="center"/>
      </w:pPr>
      <w:r>
        <w:rPr>
          <w:rFonts w:ascii="Cambria Math" w:hAnsi="Cambria Math"/>
          <w:i/>
          <w:sz w:val="21"/>
        </w:rPr>
        <w:t>\Omega=(S,z_0,I^H,I^L,\mathcal V,B,\mathscr C,\mathcal I,W,\Delta,T,\mathcal N,\mathcal R_A),</w:t>
      </w:r>
    </w:p>
    <w:p>
      <w:r>
        <w:t>where:</w:t>
      </w:r>
    </w:p>
    <w:p>
      <w:pPr>
        <w:pStyle w:val="ListBullet"/>
      </w:pPr>
      <w:r>
        <w:t>\(S\) is the focal system;</w:t>
      </w:r>
    </w:p>
    <w:p>
      <w:pPr>
        <w:pStyle w:val="ListBullet"/>
      </w:pPr>
      <w:r>
        <w:t>\(z_0\) is the actual initial state or an uncertainty set of initial states;</w:t>
      </w:r>
    </w:p>
    <w:p>
      <w:pPr>
        <w:pStyle w:val="ListBullet"/>
      </w:pPr>
      <w:r>
        <w:t>\(I^H\) is the protected higher-order identity;</w:t>
      </w:r>
    </w:p>
    <w:p>
      <w:pPr>
        <w:pStyle w:val="ListBullet"/>
      </w:pPr>
      <w:r>
        <w:t>\(I^L\) contains lower-level features permitted to change under declared rules;</w:t>
      </w:r>
    </w:p>
    <w:p>
      <w:pPr>
        <w:pStyle w:val="ListBullet"/>
      </w:pPr>
      <w:r>
        <w:t>\(\mathcal V\) is the set of protected functions and values;</w:t>
      </w:r>
    </w:p>
    <w:p>
      <w:pPr>
        <w:pStyle w:val="ListBullet"/>
      </w:pPr>
      <w:r>
        <w:t>\(B\) is the provisional system boundary;</w:t>
      </w:r>
    </w:p>
    <w:p>
      <w:pPr>
        <w:pStyle w:val="ListBullet"/>
      </w:pPr>
      <w:r>
        <w:t>\(\mathscr C\) is the typed constraint registry;</w:t>
      </w:r>
    </w:p>
    <w:p>
      <w:pPr>
        <w:pStyle w:val="ListBullet"/>
      </w:pPr>
      <w:r>
        <w:t>\(\mathcal I\) is the declared observation and information structure;</w:t>
      </w:r>
    </w:p>
    <w:p>
      <w:pPr>
        <w:pStyle w:val="ListBullet"/>
      </w:pPr>
      <w:r>
        <w:t>\(W\) is the disturbance and uncertainty signature;</w:t>
      </w:r>
    </w:p>
    <w:p>
      <w:pPr>
        <w:pStyle w:val="ListBullet"/>
      </w:pPr>
      <w:r>
        <w:t>\(\Delta\) is the admissible disturbance-signal or nonanticipating-strategy class;</w:t>
      </w:r>
    </w:p>
    <w:p>
      <w:pPr>
        <w:pStyle w:val="ListBullet"/>
      </w:pPr>
      <w:r>
        <w:t>\(T\) is the horizon;</w:t>
      </w:r>
    </w:p>
    <w:p>
      <w:pPr>
        <w:pStyle w:val="ListBullet"/>
      </w:pPr>
      <w:r>
        <w:t>\(\mathcal N\) identifies normative authority and procedure;</w:t>
      </w:r>
    </w:p>
    <w:p>
      <w:pPr>
        <w:pStyle w:val="ListBullet"/>
      </w:pPr>
      <w:r>
        <w:t>\(\mathcal R_A\) contains permitted architecture-change and specification-revision rules.</w:t>
      </w:r>
    </w:p>
    <w:p>
      <w:r>
        <w:t>“System \(S\) is sustainable” is incomplete without these qualifiers.</w:t>
      </w:r>
    </w:p>
    <w:p>
      <w:pPr>
        <w:pStyle w:val="Heading2"/>
      </w:pPr>
      <w:r>
        <w:t>Box 2. Well-formedness rule — prospective specification</w:t>
      </w:r>
    </w:p>
    <w:p>
      <w:pPr>
        <w:spacing w:before="120" w:after="120"/>
        <w:ind w:left="504" w:right="360"/>
      </w:pPr>
      <w:r>
        <w:rPr>
          <w:i/>
          <w:color w:val="2F5D73"/>
        </w:rPr>
        <w:t>Identity, values, horizon, affected population, normative authority, and principal constraints must be declared before the assessment outcome is known. Revisions produce a new specification \(\Omega'\) and cannot retroactively change the verdict under \(\Omega\).</w:t>
      </w:r>
    </w:p>
    <w:p>
      <w:r>
        <w:t>This rule permits learning while preventing retrospective goalpost movement.</w:t>
      </w:r>
    </w:p>
    <w:p>
      <w:pPr>
        <w:pStyle w:val="Heading2"/>
      </w:pPr>
      <w:r>
        <w:t>4.2 System and boundary</w:t>
      </w:r>
    </w:p>
    <w:p>
      <w:r>
        <w:t>A system is an observer-specified collection of components, relations, processes, and boundaries treated as coherent for a stated purpose:</w:t>
      </w:r>
    </w:p>
    <w:p>
      <w:pPr>
        <w:jc w:val="center"/>
      </w:pPr>
      <w:r>
        <w:rPr>
          <w:rFonts w:ascii="Cambria Math" w:hAnsi="Cambria Math"/>
          <w:i/>
          <w:sz w:val="21"/>
        </w:rPr>
        <w:t>S=(X,R,F,B).</w:t>
      </w:r>
    </w:p>
    <w:p>
      <w:r>
        <w:t>Boundaries may be spatial, organizational, legal, demographic, functional, informational, or temporal. No boundary is uniquely correct for all questions. The theory requires exportable justification and interface accounting, not a claim of absolute closure.</w:t>
      </w:r>
    </w:p>
    <w:p>
      <w:pPr>
        <w:pStyle w:val="Heading2"/>
      </w:pPr>
      <w:r>
        <w:t>4.3 Identity hierarchy</w:t>
      </w:r>
    </w:p>
    <w:p>
      <w:r>
        <w:t>System identity is the subset of structures, functions, relationships, or values whose continuity permits later states to count as continuations of the relevant system. The architecture distinguishes:</w:t>
      </w:r>
    </w:p>
    <w:p>
      <w:pPr>
        <w:pStyle w:val="ListBullet"/>
      </w:pPr>
      <w:r>
        <w:t>\(I^H\): higher-order identity predicates protected across transformation;</w:t>
      </w:r>
    </w:p>
    <w:p>
      <w:pPr>
        <w:pStyle w:val="ListBullet"/>
      </w:pPr>
      <w:r>
        <w:t>\(I^L\): lower-level realizations that may change.</w:t>
      </w:r>
    </w:p>
    <w:p>
      <w:r>
        <w:t>A forest may replace organisms; an economy may replace firms; a public service may replace technologies. Whether a forest-to-plantation change preserves identity depends on the prospectively declared higher-order predicates—not on an after-the-fact claim that timber production was the only relevant function.</w:t>
      </w:r>
    </w:p>
    <w:p>
      <w:r>
        <w:t>A transformation must satisfy an identity-continuity relation</w:t>
      </w:r>
    </w:p>
    <w:p>
      <w:pPr>
        <w:jc w:val="center"/>
      </w:pPr>
      <w:r>
        <w:rPr>
          <w:rFonts w:ascii="Cambria Math" w:hAnsi="Cambria Math"/>
          <w:i/>
          <w:sz w:val="21"/>
        </w:rPr>
        <w:t>\mathcal C_I(q,z;q',z')=1.</w:t>
      </w:r>
    </w:p>
    <w:p>
      <w:r>
        <w:t>The theory does not derive the universally correct identity. It forces the identity and its authority into the assessment record.</w:t>
      </w:r>
    </w:p>
    <w:p>
      <w:pPr>
        <w:pStyle w:val="Heading2"/>
      </w:pPr>
      <w:r>
        <w:t>4.4 Normative authority</w:t>
      </w:r>
    </w:p>
    <w:p>
      <w:r>
        <w:t>The slot \(\mathcal N\) records:</w:t>
      </w:r>
    </w:p>
    <w:p>
      <w:pPr>
        <w:pStyle w:val="ListBullet"/>
      </w:pPr>
      <w:r>
        <w:t>who selected normative constraints;</w:t>
      </w:r>
    </w:p>
    <w:p>
      <w:pPr>
        <w:pStyle w:val="ListBullet"/>
      </w:pPr>
      <w:r>
        <w:t>which populations participated or were represented;</w:t>
      </w:r>
    </w:p>
    <w:p>
      <w:pPr>
        <w:pStyle w:val="ListBullet"/>
      </w:pPr>
      <w:r>
        <w:t>which legal, constitutional, ethical, or rights framework applies;</w:t>
      </w:r>
    </w:p>
    <w:p>
      <w:pPr>
        <w:pStyle w:val="ListBullet"/>
      </w:pPr>
      <w:r>
        <w:t>which constraints are non-revisable;</w:t>
      </w:r>
    </w:p>
    <w:p>
      <w:pPr>
        <w:pStyle w:val="ListBullet"/>
      </w:pPr>
      <w:r>
        <w:t>how conflict and revision are handled.</w:t>
      </w:r>
    </w:p>
    <w:p>
      <w:r>
        <w:t>The framework does not mechanically solve the dictatorship example. It distinguishes a dictator-relative specification from a constitutional or human-rights specification and prevents either from masquerading as value-free physics.</w:t>
      </w:r>
    </w:p>
    <w:p>
      <w:pPr>
        <w:pBdr>
          <w:bottom w:val="single" w:sz="6" w:color="AABBC5"/>
        </w:pBdr>
      </w:pPr>
    </w:p>
    <w:p>
      <w:pPr>
        <w:pStyle w:val="Heading1"/>
      </w:pPr>
      <w:r>
        <w:t>5. Architecture registry and control hierarchy</w:t>
      </w:r>
    </w:p>
    <w:p>
      <w:pPr>
        <w:pStyle w:val="Heading2"/>
      </w:pPr>
      <w:r>
        <w:t>5.1 System architecture</w:t>
      </w:r>
    </w:p>
    <w:p>
      <w:r>
        <w:t>For architecture index \(q\), define</w:t>
      </w:r>
    </w:p>
    <w:p>
      <w:pPr>
        <w:jc w:val="center"/>
      </w:pPr>
      <w:r>
        <w:rPr>
          <w:rFonts w:ascii="Cambria Math" w:hAnsi="Cambria Math"/>
          <w:i/>
          <w:sz w:val="21"/>
        </w:rPr>
        <w:t>\mathfrak A_q=(Z_q,F_q,U_q^{\mathrm{impl}},\mathcal I_q,</w:t>
        <w:br/>
        <w:t>\mathbb P_q^{\mathrm{impl}},\Delta_q,B_q,I_q,\mathscr C_q,\partial_q),</w:t>
      </w:r>
    </w:p>
    <w:p>
      <w:r>
        <w:t>where \(Z_q\) is the state space, \(F_q\) the dynamics or transition correspondence, \(U_q^{\mathrm{impl}}(z)\) the implementable instantaneous-action correspondence, \(\mathcal I_q\) the information pattern, \(\mathbb P_q^{\mathrm{impl}}\) the implementable causal policy class, \(\Delta_q\) the disturbance signal or strategy class, \(B_q\) the architecture-specific boundary, \(I_q\) the identity realization, \(\mathscr C_q\) the applicable constraints, and \(\partial_q\) the boundary interfaces.</w:t>
      </w:r>
    </w:p>
    <w:p>
      <w:r>
        <w:t>Let</w:t>
      </w:r>
    </w:p>
    <w:p>
      <w:pPr>
        <w:jc w:val="center"/>
      </w:pPr>
      <w:r>
        <w:rPr>
          <w:rFonts w:ascii="Cambria Math" w:hAnsi="Cambria Math"/>
          <w:i/>
          <w:sz w:val="21"/>
        </w:rPr>
        <w:t>\mathbb A=\{\mathfrak A_q:q\in Q\}</w:t>
      </w:r>
    </w:p>
    <w:p>
      <w:r>
        <w:t>be a registry of recognized or conjectured architectures. It is intentionally open. A first manuscript cannot enumerate all possible institutional, technological, ecological, or social architectures.</w:t>
      </w:r>
    </w:p>
    <w:p>
      <w:pPr>
        <w:pStyle w:val="Heading2"/>
      </w:pPr>
      <w:r>
        <w:t>5.2 Augmented-state template</w:t>
      </w:r>
    </w:p>
    <w:p>
      <w:r>
        <w:t>A useful architecture may organize its state as</w:t>
      </w:r>
    </w:p>
    <w:p>
      <w:pPr>
        <w:jc w:val="center"/>
      </w:pPr>
      <w:r>
        <w:rPr>
          <w:rFonts w:ascii="Cambria Math" w:hAnsi="Cambria Math"/>
          <w:i/>
          <w:sz w:val="21"/>
        </w:rPr>
        <w:t>z_q(t)=</w:t>
        <w:br/>
        <w:t>\begin{bmatrix}</w:t>
        <w:br/>
        <w:t>x_q(t)\\</w:t>
        <w:br/>
        <w:t>c_q(t)\\</w:t>
        <w:br/>
        <w:t>e_q(t)\\</w:t>
        <w:br/>
        <w:t>d_q(t)\\</w:t>
        <w:br/>
        <w:t>\lambda_q(t)</w:t>
        <w:br/>
        <w:t>\end{bmatrix},</w:t>
        <w:br/>
        <w:t>\qquad</w:t>
        <w:br/>
        <w:t>\dot z_q\in F_q(z_q,u_q,w_q),</w:t>
      </w:r>
    </w:p>
    <w:p>
      <w:r>
        <w:t>where:</w:t>
      </w:r>
    </w:p>
    <w:p>
      <w:pPr>
        <w:pStyle w:val="ListBullet"/>
      </w:pPr>
      <w:r>
        <w:t>\(x_q\) contains focal-system states;</w:t>
      </w:r>
    </w:p>
    <w:p>
      <w:pPr>
        <w:pStyle w:val="ListBullet"/>
      </w:pPr>
      <w:r>
        <w:t>\(c_q\) contains enabling, regenerative, maintenance, informational, or governance capacities;</w:t>
      </w:r>
    </w:p>
    <w:p>
      <w:pPr>
        <w:pStyle w:val="ListBullet"/>
      </w:pPr>
      <w:r>
        <w:t>\(e_q\) contains internally represented supporting-system states;</w:t>
      </w:r>
    </w:p>
    <w:p>
      <w:pPr>
        <w:pStyle w:val="ListBullet"/>
      </w:pPr>
      <w:r>
        <w:t>\(d_q\) contains distributions of benefits, burdens, rights, and risks;</w:t>
      </w:r>
    </w:p>
    <w:p>
      <w:pPr>
        <w:pStyle w:val="ListBullet"/>
      </w:pPr>
      <w:r>
        <w:t>\(\lambda_q\) contains deferred liabilities.</w:t>
      </w:r>
    </w:p>
    <w:p>
      <w:r>
        <w:t>This is a template, not a mandatory universal decomposition. Each block may be vector-valued, replaced, or omitted when it is irrelevant. For discrete, stochastic, set-valued, agent-based, or hybrid systems, \(F_q\) is interpreted as the appropriate transition rule or correspondence rather than an ordinary differential equation.</w:t>
      </w:r>
    </w:p>
    <w:p>
      <w:pPr>
        <w:pStyle w:val="Heading2"/>
      </w:pPr>
      <w:r>
        <w:t>5.3 Action and policy hierarchy</w:t>
      </w:r>
    </w:p>
    <w:p>
      <w:r>
        <w:t>Instantaneous action correspondences satisfy</w:t>
      </w:r>
    </w:p>
    <w:p>
      <w:pPr>
        <w:jc w:val="center"/>
      </w:pPr>
      <w:r>
        <w:rPr>
          <w:rFonts w:ascii="Cambria Math" w:hAnsi="Cambria Math"/>
          <w:i/>
          <w:sz w:val="21"/>
        </w:rPr>
        <w:t>U_{\mathrm{impl}}(z)</w:t>
        <w:br/>
        <w:t>\subseteq U_{\mathrm{inst}}(z)</w:t>
        <w:br/>
        <w:t>\subseteq U_{\mathrm{tech}}(z)</w:t>
        <w:br/>
        <w:t>\subseteq U_{\mathrm{theor}}(z).</w:t>
      </w:r>
    </w:p>
    <w:p>
      <w:pPr>
        <w:pStyle w:val="ListBullet"/>
      </w:pPr>
      <w:r>
        <w:t>\(U_{\mathrm{theor}}\): actions permitted by an abstract equation;</w:t>
      </w:r>
    </w:p>
    <w:p>
      <w:pPr>
        <w:pStyle w:val="ListBullet"/>
      </w:pPr>
      <w:r>
        <w:t>\(U_{\mathrm{tech}}\): technically feasible actions;</w:t>
      </w:r>
    </w:p>
    <w:p>
      <w:pPr>
        <w:pStyle w:val="ListBullet"/>
      </w:pPr>
      <w:r>
        <w:t>\(U_{\mathrm{inst}}\): institutionally authorized and resourced actions;</w:t>
      </w:r>
    </w:p>
    <w:p>
      <w:pPr>
        <w:pStyle w:val="ListBullet"/>
      </w:pPr>
      <w:r>
        <w:t>\(U_{\mathrm{impl}}\): actions actually executable given incentives, power, legitimacy, compliance, and enforcement.</w:t>
      </w:r>
    </w:p>
    <w:p>
      <w:r>
        <w:t>A causal policy is not an action. It is a rule mapping an available information history to an admissible action. Let</w:t>
      </w:r>
    </w:p>
    <w:p>
      <w:pPr>
        <w:jc w:val="center"/>
      </w:pPr>
      <w:r>
        <w:rPr>
          <w:rFonts w:ascii="Cambria Math" w:hAnsi="Cambria Math"/>
          <w:i/>
          <w:sz w:val="21"/>
        </w:rPr>
        <w:t>\mathbb P_{\mathrm{impl}}</w:t>
        <w:br/>
        <w:t>\subseteq</w:t>
        <w:br/>
        <w:t>\mathbb P_{\mathrm{inst}}</w:t>
        <w:br/>
        <w:t>\subseteq</w:t>
        <w:br/>
        <w:t>\mathbb P_{\mathrm{tech}}</w:t>
        <w:br/>
        <w:t>\subseteq</w:t>
        <w:br/>
        <w:t>\mathbb P_{\mathrm{theor}}</w:t>
      </w:r>
    </w:p>
    <w:p>
      <w:r>
        <w:t>be the corresponding policy classes, with</w:t>
      </w:r>
    </w:p>
    <w:p>
      <w:pPr>
        <w:jc w:val="center"/>
      </w:pPr>
      <w:r>
        <w:rPr>
          <w:rFonts w:ascii="Cambria Math" w:hAnsi="Cambria Math"/>
          <w:i/>
          <w:sz w:val="21"/>
        </w:rPr>
        <w:t>\pi(\mathcal I_{[0,t]})</w:t>
        <w:br/>
        <w:t>\in U_{\mathrm{impl}}(z(t))</w:t>
      </w:r>
    </w:p>
    <w:p>
      <w:r>
        <w:t>for every state and history compatible with the declared information semantics. A decentralized or strategic implementation may use a policy profile rather than a single controller; its membership in \(\mathbb P_{\mathrm{impl}}\) depends on the applicable equilibrium, enforcement, and information conditions.</w:t>
      </w:r>
    </w:p>
    <w:p>
      <w:r>
        <w:t>Within-architecture viability quantifies over \(\mathbb P_{\mathrm{impl}}\), not over \(U_{\mathrm{impl}}\). Transformation may change both the action correspondence and policy class.</w:t>
      </w:r>
    </w:p>
    <w:p>
      <w:pPr>
        <w:pStyle w:val="Heading2"/>
      </w:pPr>
      <w:r>
        <w:t>Box 3. Placeholder module — implementability</w:t>
      </w:r>
    </w:p>
    <w:p>
      <w:pPr>
        <w:spacing w:before="120" w:after="120"/>
        <w:ind w:left="504" w:right="360"/>
      </w:pPr>
      <w:r>
        <w:rPr>
          <w:i/>
          <w:color w:val="2F5D73"/>
        </w:rPr>
        <w:t>A mature theory requires domain-specific institutional, political, and game-theoretic models that estimate both \(U_{\mathrm{impl}}\) and \(\mathbb P_{\mathrm{impl}}\). The architecture fixes where those models enter without claiming a universal equilibrium theory.</w:t>
      </w:r>
    </w:p>
    <w:p>
      <w:pPr>
        <w:pStyle w:val="Heading2"/>
      </w:pPr>
      <w:r>
        <w:t>5.4 Disturbance-class signature</w:t>
      </w:r>
    </w:p>
    <w:p>
      <w:r>
        <w:t>A robustness claim must characterize more than a generic disturbance symbol. A disturbance specification should record, as relevant:</w:t>
      </w:r>
    </w:p>
    <w:p>
      <w:pPr>
        <w:pStyle w:val="ListBullet"/>
      </w:pPr>
      <w:r>
        <w:t>admissible support or scenario set;</w:t>
      </w:r>
    </w:p>
    <w:p>
      <w:pPr>
        <w:pStyle w:val="ListBullet"/>
      </w:pPr>
      <w:r>
        <w:t>magnitude or intensity;</w:t>
      </w:r>
    </w:p>
    <w:p>
      <w:pPr>
        <w:pStyle w:val="ListBullet"/>
      </w:pPr>
      <w:r>
        <w:t>duration;</w:t>
      </w:r>
    </w:p>
    <w:p>
      <w:pPr>
        <w:pStyle w:val="ListBullet"/>
      </w:pPr>
      <w:r>
        <w:t>frequency or recurrence structure;</w:t>
      </w:r>
    </w:p>
    <w:p>
      <w:pPr>
        <w:pStyle w:val="ListBullet"/>
      </w:pPr>
      <w:r>
        <w:t>temporal and cross-domain correlation;</w:t>
      </w:r>
    </w:p>
    <w:p>
      <w:pPr>
        <w:pStyle w:val="ListBullet"/>
      </w:pPr>
      <w:r>
        <w:t>spatial extent;</w:t>
      </w:r>
    </w:p>
    <w:p>
      <w:pPr>
        <w:pStyle w:val="ListBullet"/>
      </w:pPr>
      <w:r>
        <w:t>predictability and observation delay;</w:t>
      </w:r>
    </w:p>
    <w:p>
      <w:pPr>
        <w:pStyle w:val="ListBullet"/>
      </w:pPr>
      <w:r>
        <w:t>probability law, adversarial status, or deep-uncertainty status.</w:t>
      </w:r>
    </w:p>
    <w:p>
      <w:r>
        <w:t>A generic template is</w:t>
      </w:r>
    </w:p>
    <w:p>
      <w:pPr>
        <w:jc w:val="center"/>
      </w:pPr>
      <w:r>
        <w:rPr>
          <w:rFonts w:ascii="Cambria Math" w:hAnsi="Cambria Math"/>
          <w:i/>
          <w:sz w:val="21"/>
        </w:rPr>
        <w:t>W=(\mathcal W,\mu,\Delta,\phi,\chi,\ell,\mathcal P),</w:t>
      </w:r>
    </w:p>
    <w:p>
      <w:r>
        <w:t>where the entries respectively record admissible disturbances, magnitude, duration, recurrence, correlation, spatial extent, and probability or model status. The exact representation remains domain-specific. Two systems are not meaningfully compared as “equally robust” unless their disturbance signatures are comparable.</w:t>
      </w:r>
    </w:p>
    <w:p>
      <w:pPr>
        <w:pBdr>
          <w:bottom w:val="single" w:sz="6" w:color="AABBC5"/>
        </w:pBdr>
      </w:pPr>
    </w:p>
    <w:p>
      <w:pPr>
        <w:pStyle w:val="Heading2"/>
      </w:pPr>
      <w:r>
        <w:t>5.5 Canonical notation and theorem-source hierarchy</w:t>
      </w:r>
    </w:p>
    <w:p>
      <w:r>
        <w:t>To prevent type collisions across the formal corpus, the architecture uses the following interface notation:</w:t>
      </w:r>
    </w:p>
    <w:tbl>
      <w:tblPr>
        <w:tblStyle w:val="TableGrid"/>
        <w:tblW w:type="auto" w:w="0"/>
        <w:jc w:val="center"/>
        <w:tblLook w:firstColumn="1" w:firstRow="1" w:lastColumn="0" w:lastRow="0" w:noHBand="0" w:noVBand="1" w:val="04A0"/>
      </w:tblPr>
      <w:tblGrid>
        <w:gridCol w:w="4824"/>
        <w:gridCol w:w="4824"/>
      </w:tblGrid>
      <w:tr>
        <w:tc>
          <w:tcPr>
            <w:tcW w:type="dxa" w:w="4824"/>
            <w:shd w:fill="DCE8EF"/>
            <w:vAlign w:val="center"/>
          </w:tcPr>
          <w:p>
            <w:r>
              <w:rPr>
                <w:b/>
              </w:rPr>
              <w:t>Object</w:t>
            </w:r>
          </w:p>
        </w:tc>
        <w:tc>
          <w:tcPr>
            <w:tcW w:type="dxa" w:w="4824"/>
            <w:shd w:fill="DCE8EF"/>
            <w:vAlign w:val="center"/>
          </w:tcPr>
          <w:p>
            <w:r>
              <w:rPr>
                <w:b/>
              </w:rPr>
              <w:t>Canonical notation</w:t>
            </w:r>
          </w:p>
        </w:tc>
      </w:tr>
      <w:tr>
        <w:tc>
          <w:tcPr>
            <w:tcW w:type="dxa" w:w="4824"/>
          </w:tcPr>
          <w:p>
            <w:r>
              <w:t>Frozen sustainability specification</w:t>
            </w:r>
          </w:p>
        </w:tc>
        <w:tc>
          <w:tcPr>
            <w:tcW w:type="dxa" w:w="4824"/>
          </w:tcPr>
          <w:p>
            <w:r>
              <w:t>\(\Omega\)</w:t>
            </w:r>
          </w:p>
        </w:tc>
      </w:tr>
      <w:tr>
        <w:tc>
          <w:tcPr>
            <w:tcW w:type="dxa" w:w="4824"/>
          </w:tcPr>
          <w:p>
            <w:r>
              <w:t>Architecture</w:t>
            </w:r>
          </w:p>
        </w:tc>
        <w:tc>
          <w:tcPr>
            <w:tcW w:type="dxa" w:w="4824"/>
          </w:tcPr>
          <w:p>
            <w:r>
              <w:t>\(\mathfrak A_q\)</w:t>
            </w:r>
          </w:p>
        </w:tc>
      </w:tr>
      <w:tr>
        <w:tc>
          <w:tcPr>
            <w:tcW w:type="dxa" w:w="4824"/>
          </w:tcPr>
          <w:p>
            <w:r>
              <w:t>Physical or augmented state space</w:t>
            </w:r>
          </w:p>
        </w:tc>
        <w:tc>
          <w:tcPr>
            <w:tcW w:type="dxa" w:w="4824"/>
          </w:tcPr>
          <w:p>
            <w:r>
              <w:t>\(\mathsf X_q\) or \(\mathsf Z_q\)</w:t>
            </w:r>
          </w:p>
        </w:tc>
      </w:tr>
      <w:tr>
        <w:tc>
          <w:tcPr>
            <w:tcW w:type="dxa" w:w="4824"/>
          </w:tcPr>
          <w:p>
            <w:r>
              <w:t>Typed constraint registry</w:t>
            </w:r>
          </w:p>
        </w:tc>
        <w:tc>
          <w:tcPr>
            <w:tcW w:type="dxa" w:w="4824"/>
          </w:tcPr>
          <w:p>
            <w:r>
              <w:t>\(\mathscr C_\Omega\)</w:t>
            </w:r>
          </w:p>
        </w:tc>
      </w:tr>
      <w:tr>
        <w:tc>
          <w:tcPr>
            <w:tcW w:type="dxa" w:w="4824"/>
          </w:tcPr>
          <w:p>
            <w:r>
              <w:t>Safe set generated by the specification</w:t>
            </w:r>
          </w:p>
        </w:tc>
        <w:tc>
          <w:tcPr>
            <w:tcW w:type="dxa" w:w="4824"/>
          </w:tcPr>
          <w:p>
            <w:r>
              <w:t>\(\mathsf K_{q,\Omega}\)</w:t>
            </w:r>
          </w:p>
        </w:tc>
      </w:tr>
      <w:tr>
        <w:tc>
          <w:tcPr>
            <w:tcW w:type="dxa" w:w="4824"/>
          </w:tcPr>
          <w:p>
            <w:r>
              <w:t>Observation map</w:t>
            </w:r>
          </w:p>
        </w:tc>
        <w:tc>
          <w:tcPr>
            <w:tcW w:type="dxa" w:w="4824"/>
          </w:tcPr>
          <w:p>
            <w:r>
              <w:t>\(\mathsf O_q\)</w:t>
            </w:r>
          </w:p>
        </w:tc>
      </w:tr>
      <w:tr>
        <w:tc>
          <w:tcPr>
            <w:tcW w:type="dxa" w:w="4824"/>
          </w:tcPr>
          <w:p>
            <w:r>
              <w:t>Assessment or filter</w:t>
            </w:r>
          </w:p>
        </w:tc>
        <w:tc>
          <w:tcPr>
            <w:tcW w:type="dxa" w:w="4824"/>
          </w:tcPr>
          <w:p>
            <w:r>
              <w:t>\(\mathsf A_q\)</w:t>
            </w:r>
          </w:p>
        </w:tc>
      </w:tr>
      <w:tr>
        <w:tc>
          <w:tcPr>
            <w:tcW w:type="dxa" w:w="4824"/>
          </w:tcPr>
          <w:p>
            <w:r>
              <w:t>Service readout</w:t>
            </w:r>
          </w:p>
        </w:tc>
        <w:tc>
          <w:tcPr>
            <w:tcW w:type="dxa" w:w="4824"/>
          </w:tcPr>
          <w:p>
            <w:r>
              <w:t>\(\mathsf S_{svc}\)</w:t>
            </w:r>
          </w:p>
        </w:tc>
      </w:tr>
      <w:tr>
        <w:tc>
          <w:tcPr>
            <w:tcW w:type="dxa" w:w="4824"/>
          </w:tcPr>
          <w:p>
            <w:r>
              <w:t>Constitutive/model class</w:t>
            </w:r>
          </w:p>
        </w:tc>
        <w:tc>
          <w:tcPr>
            <w:tcW w:type="dxa" w:w="4824"/>
          </w:tcPr>
          <w:p>
            <w:r>
              <w:t>\(\mathfrak M_q\)</w:t>
            </w:r>
          </w:p>
        </w:tc>
      </w:tr>
      <w:tr>
        <w:tc>
          <w:tcPr>
            <w:tcW w:type="dxa" w:w="4824"/>
          </w:tcPr>
          <w:p>
            <w:r>
              <w:t>Action correspondence</w:t>
            </w:r>
          </w:p>
        </w:tc>
        <w:tc>
          <w:tcPr>
            <w:tcW w:type="dxa" w:w="4824"/>
          </w:tcPr>
          <w:p>
            <w:r>
              <w:t>\(U_q(z)\)</w:t>
            </w:r>
          </w:p>
        </w:tc>
      </w:tr>
      <w:tr>
        <w:tc>
          <w:tcPr>
            <w:tcW w:type="dxa" w:w="4824"/>
          </w:tcPr>
          <w:p>
            <w:r>
              <w:t>Causal policy class</w:t>
            </w:r>
          </w:p>
        </w:tc>
        <w:tc>
          <w:tcPr>
            <w:tcW w:type="dxa" w:w="4824"/>
          </w:tcPr>
          <w:p>
            <w:r>
              <w:t>\(\mathbb P_q\)</w:t>
            </w:r>
          </w:p>
        </w:tc>
      </w:tr>
      <w:tr>
        <w:tc>
          <w:tcPr>
            <w:tcW w:type="dxa" w:w="4824"/>
          </w:tcPr>
          <w:p>
            <w:r>
              <w:t>Disturbance signals or strategies</w:t>
            </w:r>
          </w:p>
        </w:tc>
        <w:tc>
          <w:tcPr>
            <w:tcW w:type="dxa" w:w="4824"/>
          </w:tcPr>
          <w:p>
            <w:r>
              <w:t>\(\Delta_q\)</w:t>
            </w:r>
          </w:p>
        </w:tc>
      </w:tr>
      <w:tr>
        <w:tc>
          <w:tcPr>
            <w:tcW w:type="dxa" w:w="4824"/>
          </w:tcPr>
          <w:p>
            <w:r>
              <w:t>Information state or belief</w:t>
            </w:r>
          </w:p>
        </w:tc>
        <w:tc>
          <w:tcPr>
            <w:tcW w:type="dxa" w:w="4824"/>
          </w:tcPr>
          <w:p>
            <w:r>
              <w:t>\(\iota\) or \(B\)</w:t>
            </w:r>
          </w:p>
        </w:tc>
      </w:tr>
      <w:tr>
        <w:tc>
          <w:tcPr>
            <w:tcW w:type="dxa" w:w="4824"/>
          </w:tcPr>
          <w:p>
            <w:r>
              <w:t>Protected identities</w:t>
            </w:r>
          </w:p>
        </w:tc>
        <w:tc>
          <w:tcPr>
            <w:tcW w:type="dxa" w:w="4824"/>
          </w:tcPr>
          <w:p>
            <w:r>
              <w:t>\(I^H,I^L\)</w:t>
            </w:r>
          </w:p>
        </w:tc>
      </w:tr>
      <w:tr>
        <w:tc>
          <w:tcPr>
            <w:tcW w:type="dxa" w:w="4824"/>
          </w:tcPr>
          <w:p>
            <w:r>
              <w:t>Typed verdict</w:t>
            </w:r>
          </w:p>
        </w:tc>
        <w:tc>
          <w:tcPr>
            <w:tcW w:type="dxa" w:w="4824"/>
          </w:tcPr>
          <w:p>
            <w:r>
              <w:t>\(\mathbf J_\Omega=(P,F,N,R,E)\)</w:t>
            </w:r>
          </w:p>
        </w:tc>
      </w:tr>
    </w:tbl>
    <w:p/>
    <w:p>
      <w:r>
        <w:t>Local source notation may be retained inside a theorem when a translation table is supplied. Symbols such as \(K\), \(A\), and \(O\) must not simultaneously denote a safe set, carrying capacity or sink stock; architecture or assessment; and observation or service readout.</w:t>
      </w:r>
    </w:p>
    <w:p>
      <w:r>
        <w:t>The master manuscript controls the specification, typed judgment, official assessment map, and Operator II architecture. Article 002 supplies the canonical restricted theorem spine after its selector and application assumptions are made explicit. Corrected Article 001 results supply the broader viability, resource, coupling, commons, and institutional theorem reservoir. Article 013 supplies worked accounting exposition rather than a rival general theorem source. Duplicate formulations in earlier sources remain preserved but do not create parallel primitives.</w:t>
      </w:r>
    </w:p>
    <w:p>
      <w:pPr>
        <w:pStyle w:val="Heading1"/>
      </w:pPr>
      <w:r>
        <w:t>6. One typed constraint registry</w:t>
      </w:r>
    </w:p>
    <w:p>
      <w:pPr>
        <w:pStyle w:val="Heading2"/>
      </w:pPr>
      <w:r>
        <w:t>6.1 Constraint object</w:t>
      </w:r>
    </w:p>
    <w:p>
      <w:r>
        <w:t>The official source of constraints is</w:t>
      </w:r>
    </w:p>
    <w:p>
      <w:pPr>
        <w:jc w:val="center"/>
      </w:pPr>
      <w:r>
        <w:rPr>
          <w:rFonts w:ascii="Cambria Math" w:hAnsi="Cambria Math"/>
          <w:i/>
          <w:sz w:val="21"/>
        </w:rPr>
        <w:t>\mathscr C=\{c_1,\ldots,c_m\}.</w:t>
      </w:r>
    </w:p>
    <w:p>
      <w:r>
        <w:t>Each entry is</w:t>
      </w:r>
    </w:p>
    <w:p>
      <w:pPr>
        <w:jc w:val="center"/>
      </w:pPr>
      <w:r>
        <w:rPr>
          <w:rFonts w:ascii="Cambria Math" w:hAnsi="Cambria Math"/>
          <w:i/>
          <w:sz w:val="21"/>
        </w:rPr>
        <w:t>c_j=(p_j,\tau_j,s_j,\rho_j,\nu_j,\kappa_j,g_j,h_j,\zeta_j),</w:t>
      </w:r>
    </w:p>
    <w:p>
      <w:r>
        <w:t>where:</w:t>
      </w:r>
    </w:p>
    <w:p>
      <w:pPr>
        <w:pStyle w:val="ListBullet"/>
      </w:pPr>
      <w:r>
        <w:t>\(p_j\): predicate, interval, inequality, or behavioral condition;</w:t>
      </w:r>
    </w:p>
    <w:p>
      <w:pPr>
        <w:pStyle w:val="ListBullet"/>
      </w:pPr>
      <w:r>
        <w:t>\(\tau_j\): physical, functional, normative, or relational constraint type;</w:t>
      </w:r>
    </w:p>
    <w:p>
      <w:pPr>
        <w:pStyle w:val="ListBullet"/>
      </w:pPr>
      <w:r>
        <w:t>\(s_j\): subject—state, process, capacity, supporting system, distribution, liability, or interface;</w:t>
      </w:r>
    </w:p>
    <w:p>
      <w:pPr>
        <w:pStyle w:val="ListBullet"/>
      </w:pPr>
      <w:r>
        <w:t>\(\rho_j\): provenance, evidence, uncertainty, and epistemic status;</w:t>
      </w:r>
    </w:p>
    <w:p>
      <w:pPr>
        <w:pStyle w:val="ListBullet"/>
      </w:pPr>
      <w:r>
        <w:t>\(\nu_j\): substitutability rule;</w:t>
      </w:r>
    </w:p>
    <w:p>
      <w:pPr>
        <w:pStyle w:val="ListBullet"/>
      </w:pPr>
      <w:r>
        <w:t>\(\kappa_j\): reversibility, criticality, and priority;</w:t>
      </w:r>
    </w:p>
    <w:p>
      <w:pPr>
        <w:pStyle w:val="ListBullet"/>
      </w:pPr>
      <w:r>
        <w:t>\(g_j\): affected group or system;</w:t>
      </w:r>
    </w:p>
    <w:p>
      <w:pPr>
        <w:pStyle w:val="ListBullet"/>
      </w:pPr>
      <w:r>
        <w:t>\(h_j\): horizon;</w:t>
      </w:r>
    </w:p>
    <w:p>
      <w:pPr>
        <w:pStyle w:val="ListBullet"/>
      </w:pPr>
      <w:r>
        <w:t>\(\zeta_j\): transition status and authorized relaxation rule.</w:t>
      </w:r>
    </w:p>
    <w:p>
      <w:r>
        <w:t>The registry supports two orthogonal classifications. Physical, functional, normative, and relational tags describe a constraint’s meaning; state, capacity, support, distribution, liability, and interface tags describe its subject. They are properties of one record, not rival geometries.</w:t>
      </w:r>
    </w:p>
    <w:p>
      <w:pPr>
        <w:pStyle w:val="Heading2"/>
      </w:pPr>
      <w:r>
        <w:t>6.2 Typed projections</w:t>
      </w:r>
    </w:p>
    <w:p>
      <w:r>
        <w:t>Define</w:t>
      </w:r>
    </w:p>
    <w:p>
      <w:pPr>
        <w:jc w:val="center"/>
      </w:pPr>
      <w:r>
        <w:rPr>
          <w:rFonts w:ascii="Cambria Math" w:hAnsi="Cambria Math"/>
          <w:i/>
          <w:sz w:val="21"/>
        </w:rPr>
        <w:t>K_P=\bigcap_{\tau_j=P}\{z:p_j(z)\},</w:t>
        <w:br/>
        <w:t>\qquad</w:t>
        <w:br/>
        <w:t>K_F=\bigcap_{\tau_j=F}\{z:p_j(z)\},</w:t>
      </w:r>
    </w:p>
    <w:p>
      <w:pPr>
        <w:jc w:val="center"/>
      </w:pPr>
      <w:r>
        <w:rPr>
          <w:rFonts w:ascii="Cambria Math" w:hAnsi="Cambria Math"/>
          <w:i/>
          <w:sz w:val="21"/>
        </w:rPr>
        <w:t>K_N=\bigcap_{\tau_j=N}\{z:p_j(z)\},</w:t>
        <w:br/>
        <w:t>\qquad</w:t>
        <w:br/>
        <w:t>K_R=\bigcap_{\tau_j=R}\{z:p_j(z)\}.</w:t>
      </w:r>
    </w:p>
    <w:p>
      <w:r>
        <w:t>The combined target may be written</w:t>
      </w:r>
    </w:p>
    <w:p>
      <w:pPr>
        <w:jc w:val="center"/>
      </w:pPr>
      <w:r>
        <w:rPr>
          <w:rFonts w:ascii="Cambria Math" w:hAnsi="Cambria Math"/>
          <w:i/>
          <w:sz w:val="21"/>
        </w:rPr>
        <w:t>\mathsf K_{q,\Omega}:=K_P\cap K_F\cap K_N\cap K_R,</w:t>
      </w:r>
    </w:p>
    <w:p>
      <w:r>
        <w:t>but leaving one projection retains a typed reason:</w:t>
      </w:r>
    </w:p>
    <w:p>
      <w:pPr>
        <w:pStyle w:val="ListBullet"/>
      </w:pPr>
      <w:r>
        <w:t>leaving \(K_P\): physical infeasibility or model inconsistency;</w:t>
      </w:r>
    </w:p>
    <w:p>
      <w:pPr>
        <w:pStyle w:val="ListBullet"/>
      </w:pPr>
      <w:r>
        <w:t>leaving \(K_F\): loss of declared function or identity;</w:t>
      </w:r>
    </w:p>
    <w:p>
      <w:pPr>
        <w:pStyle w:val="ListBullet"/>
      </w:pPr>
      <w:r>
        <w:t>leaving \(K_N\): normative inadmissibility;</w:t>
      </w:r>
    </w:p>
    <w:p>
      <w:pPr>
        <w:pStyle w:val="ListBullet"/>
      </w:pPr>
      <w:r>
        <w:t>leaving \(K_R\): externalization, burden-allocation failure, or damage to protected relations.</w:t>
      </w:r>
    </w:p>
    <w:p>
      <w:r>
        <w:t>Conjunction does not make the sources equivalent.</w:t>
      </w:r>
    </w:p>
    <w:p>
      <w:pPr>
        <w:pStyle w:val="Heading2"/>
      </w:pPr>
      <w:r>
        <w:t>6.3 Typed judgment vector</w:t>
      </w:r>
    </w:p>
    <w:p>
      <w:r>
        <w:t>For trajectory \(\tau\), define</w:t>
      </w:r>
    </w:p>
    <w:p>
      <w:pPr>
        <w:jc w:val="center"/>
      </w:pPr>
      <w:r>
        <w:rPr>
          <w:rFonts w:ascii="Cambria Math" w:hAnsi="Cambria Math"/>
          <w:i/>
          <w:sz w:val="21"/>
        </w:rPr>
        <w:t>\mathbf J_\Omega(\tau)</w:t>
        <w:br/>
        <w:t>=</w:t>
        <w:br/>
        <w:t>\left(P_\Omega(\tau),F_\Omega(\tau),N_\Omega(\tau),R_\Omega(\tau),E_\Omega(\tau)\right).</w:t>
      </w:r>
    </w:p>
    <w:p>
      <w:r>
        <w:t>Qualified sustainability is</w:t>
      </w:r>
    </w:p>
    <w:p>
      <w:pPr>
        <w:jc w:val="center"/>
      </w:pPr>
      <w:r>
        <w:rPr>
          <w:rFonts w:ascii="Cambria Math" w:hAnsi="Cambria Math"/>
          <w:i/>
          <w:sz w:val="21"/>
        </w:rPr>
        <w:t>\operatorname{QSust}_\Omega(\tau)</w:t>
        <w:br/>
        <w:t>=</w:t>
        <w:br/>
        <w:t>P_\Omega(\tau)</w:t>
        <w:br/>
        <w:t>\land F_\Omega(\tau)</w:t>
        <w:br/>
        <w:t>\land N_\Omega(\tau)</w:t>
        <w:br/>
        <w:t>\land R_\Omega(\tau)</w:t>
        <w:br/>
        <w:t>\land E_\Omega(\tau).</w:t>
      </w:r>
    </w:p>
    <w:p>
      <w:r>
        <w:t>The first four components prevent injustice from being reported as physical impossibility and prevent local persistence from hiding relational failure. The epistemic component \(E_\Omega\) records whether the claimed guarantee is knowable and implementable under the declared information and policy classes; it does not change whether the underlying physical trajectory is possible.</w:t>
      </w:r>
    </w:p>
    <w:p>
      <w:pPr>
        <w:pStyle w:val="Heading2"/>
      </w:pPr>
      <w:r>
        <w:t>6.3A Epistemic provenance and epistemic viability</w:t>
      </w:r>
    </w:p>
    <w:p>
      <w:r>
        <w:t>Epistemic status enters the architecture in three distinct places:</w:t>
      </w:r>
    </w:p>
    <w:p>
      <w:pPr>
        <w:pStyle w:val="ListNumber"/>
      </w:pPr>
      <w:r>
        <w:t>\(\rho_j\) records the evidence, uncertainty, and confidence supporting each constraint;</w:t>
      </w:r>
    </w:p>
    <w:p>
      <w:pPr>
        <w:pStyle w:val="ListNumber"/>
      </w:pPr>
      <w:r>
        <w:t>an information or belief state evolves under \(\mathcal I_q\);</w:t>
      </w:r>
    </w:p>
    <w:p>
      <w:pPr>
        <w:pStyle w:val="ListNumber"/>
      </w:pPr>
      <w:r>
        <w:t>the policy class \(\mathbb P_q^{\mathrm{impl}}\) restricts actions to rules implementable from available information.</w:t>
      </w:r>
    </w:p>
    <w:p>
      <w:r>
        <w:t>Define \(E_\Omega(\tau)=1\) when the safety or sustainability claim for \(\tau\) can be certified and implemented under the declared information process and policy class. Physical or full-information viability may therefore exist while epistemic viability is empty. If</w:t>
      </w:r>
    </w:p>
    <w:p>
      <w:pPr>
        <w:jc w:val="center"/>
      </w:pPr>
      <w:r>
        <w:rPr>
          <w:rFonts w:ascii="Cambria Math" w:hAnsi="Cambria Math"/>
          <w:i/>
          <w:sz w:val="21"/>
        </w:rPr>
        <w:t>\mathbb P_q^{\mathrm{epi}}</w:t>
        <w:br/>
        <w:t>\subseteq</w:t>
        <w:br/>
        <w:t>\mathbb P_q^{\mathrm{full}},</w:t>
      </w:r>
    </w:p>
    <w:p>
      <w:r>
        <w:t>then policy-class monotonicity gives</w:t>
      </w:r>
    </w:p>
    <w:p>
      <w:pPr>
        <w:jc w:val="center"/>
      </w:pPr>
      <w:r>
        <w:rPr>
          <w:rFonts w:ascii="Cambria Math" w:hAnsi="Cambria Math"/>
          <w:i/>
          <w:sz w:val="21"/>
        </w:rPr>
        <w:t>\operatorname{Viab}</w:t>
        <w:br/>
        <w:t>(\mathcal V_\Omega;\mathbb P_q^{\mathrm{epi}})</w:t>
        <w:br/>
        <w:t>\subseteq</w:t>
        <w:br/>
        <w:t>\operatorname{Viab}</w:t>
        <w:br/>
        <w:t>(\mathcal V_\Omega;\mathbb P_q^{\mathrm{full}}).</w:t>
      </w:r>
    </w:p>
    <w:p>
      <w:r>
        <w:t>Epistemic viability is therefore primarily an Operator I restriction, not an ordinary fifth geometric constraint. The reporting component \(E_\Omega\) identifies inability to certify or implement a guarantee without relabeling that failure as physical impossibility.</w:t>
      </w:r>
    </w:p>
    <w:p>
      <w:pPr>
        <w:pStyle w:val="Heading2"/>
      </w:pPr>
      <w:r>
        <w:t>6.4 Essential variables without definitional circularity</w:t>
      </w:r>
    </w:p>
    <w:p>
      <w:r>
        <w:t xml:space="preserve">A protected loss criterion is first declared through \(I^H\), \(\mathcal V\), or \(\mathscr C\). A variable is </w:t>
      </w:r>
      <w:r>
        <w:rPr>
          <w:b/>
        </w:rPr>
        <w:t>essential relative to that criterion</w:t>
      </w:r>
      <w:r>
        <w:t xml:space="preserve"> when a justified causal model shows that its departure from a range can force violation of the criterion under the stated disturbance and action sets. Viability is then preservation of the protected predicates. This breaks the circle in which essentiality and viability define each other.</w:t>
      </w:r>
    </w:p>
    <w:p>
      <w:pPr>
        <w:pStyle w:val="Heading2"/>
      </w:pPr>
      <w:r>
        <w:t>6.5 Strong and weak sustainability</w:t>
      </w:r>
    </w:p>
    <w:p>
      <w:r>
        <w:t>Weak sustainability permits compensation among designated capacities, for example</w:t>
      </w:r>
    </w:p>
    <w:p>
      <w:pPr>
        <w:jc w:val="center"/>
      </w:pPr>
      <w:r>
        <w:rPr>
          <w:rFonts w:ascii="Cambria Math" w:hAnsi="Cambria Math"/>
          <w:i/>
          <w:sz w:val="21"/>
        </w:rPr>
        <w:t>\sum_i w_iC_i(t)\ge C_{\min}.</w:t>
      </w:r>
    </w:p>
    <w:p>
      <w:r>
        <w:t>Strong sustainability assigns independent non-compensable constraints:</w:t>
      </w:r>
    </w:p>
    <w:p>
      <w:pPr>
        <w:jc w:val="center"/>
      </w:pPr>
      <w:r>
        <w:rPr>
          <w:rFonts w:ascii="Cambria Math" w:hAnsi="Cambria Math"/>
          <w:i/>
          <w:sz w:val="21"/>
        </w:rPr>
        <w:t>C_i(t)\ge C_i^{\min}</w:t>
        <w:br/>
        <w:t>\quad\forall i\in\mathcal C_{\mathrm{critical}}.</w:t>
      </w:r>
    </w:p>
    <w:p>
      <w:r>
        <w:t>The architecture does not decide which capacities are critical. The registry makes that normative and empirical decision explicit.</w:t>
      </w:r>
    </w:p>
    <w:p>
      <w:pPr>
        <w:pStyle w:val="Heading2"/>
      </w:pPr>
      <w:r>
        <w:t>Box 4. Template — substitution test</w:t>
      </w:r>
    </w:p>
    <w:p>
      <w:r>
        <w:t>A proposed substitution should record:</w:t>
      </w:r>
    </w:p>
    <w:p>
      <w:pPr>
        <w:pStyle w:val="ListNumber"/>
      </w:pPr>
      <w:r>
        <w:t>the essential function being replaced;</w:t>
      </w:r>
    </w:p>
    <w:p>
      <w:pPr>
        <w:pStyle w:val="ListNumber"/>
      </w:pPr>
      <w:r>
        <w:t>the substitute and causal mechanism;</w:t>
      </w:r>
    </w:p>
    <w:p>
      <w:pPr>
        <w:pStyle w:val="ListNumber"/>
      </w:pPr>
      <w:r>
        <w:t>whether all protected functions or only one output are preserved;</w:t>
      </w:r>
    </w:p>
    <w:p>
      <w:pPr>
        <w:pStyle w:val="ListNumber"/>
      </w:pPr>
      <w:r>
        <w:t>deployment scale and rate;</w:t>
      </w:r>
    </w:p>
    <w:p>
      <w:pPr>
        <w:pStyle w:val="ListNumber"/>
      </w:pPr>
      <w:r>
        <w:t>energy, material, institutional, and informational requirements;</w:t>
      </w:r>
    </w:p>
    <w:p>
      <w:pPr>
        <w:pStyle w:val="ListNumber"/>
      </w:pPr>
      <w:r>
        <w:t>new wastes, risks, and dependencies;</w:t>
      </w:r>
    </w:p>
    <w:p>
      <w:pPr>
        <w:pStyle w:val="ListNumber"/>
      </w:pPr>
      <w:r>
        <w:t>distribution of benefits and burdens;</w:t>
      </w:r>
    </w:p>
    <w:p>
      <w:pPr>
        <w:pStyle w:val="ListNumber"/>
      </w:pPr>
      <w:r>
        <w:t>reversibility;</w:t>
      </w:r>
    </w:p>
    <w:p>
      <w:pPr>
        <w:pStyle w:val="ListNumber"/>
      </w:pPr>
      <w:r>
        <w:t>performance under disturbance and uncertainty;</w:t>
      </w:r>
    </w:p>
    <w:p>
      <w:pPr>
        <w:pStyle w:val="ListNumber"/>
      </w:pPr>
      <w:r>
        <w:t>evidence and authority approving the substitution.</w:t>
      </w:r>
    </w:p>
    <w:p>
      <w:r>
        <w:t>Monetary equivalence is not automatically functional equivalence.</w:t>
      </w:r>
    </w:p>
    <w:p>
      <w:pPr>
        <w:pStyle w:val="Heading2"/>
      </w:pPr>
      <w:r>
        <w:t>6.5A Two formal substitution certificates</w:t>
      </w:r>
    </w:p>
    <w:p>
      <w:r>
        <w:t>A substitution claim needs both a production/substitution model and a pathway-feasibility model. Neither can be inferred from monetary equivalence.</w:t>
      </w:r>
    </w:p>
    <w:p>
      <w:pPr>
        <w:pStyle w:val="Heading3"/>
      </w:pPr>
      <w:r>
        <w:t>Dimensionally normalized CES classification</w:t>
      </w:r>
    </w:p>
    <w:p>
      <w:r>
        <w:t>For fixed resource flow \(R&gt;0\), consider</w:t>
      </w:r>
    </w:p>
    <w:p>
      <w:pPr>
        <w:jc w:val="center"/>
      </w:pPr>
      <w:r>
        <w:rPr>
          <w:rFonts w:ascii="Cambria Math" w:hAnsi="Cambria Math"/>
          <w:i/>
          <w:sz w:val="21"/>
        </w:rPr>
        <w:t>F(A,R)=Y_0</w:t>
        <w:br/>
        <w:t>\left[</w:t>
        <w:br/>
        <w:t>\alpha\left(\frac{A}{A_0}\right)^\rho</w:t>
        <w:br/>
        <w:t>+(1-\alpha)\left(\frac{R}{R_0}\right)^\rho</w:t>
        <w:br/>
        <w:t>\right]^{1/\rho},</w:t>
        <w:br/>
        <w:t>\qquad</w:t>
        <w:br/>
        <w:t>\rho=\frac{\sigma-1}{\sigma},</w:t>
      </w:r>
    </w:p>
    <w:p>
      <w:r>
        <w:t>and net capital-supported provision \(\Phi(A;R)=F(A,R)-\delta_AA\). All ratios inside the CES aggregator are dimensionless, while \(Y_0\) carries output-per-time units and \(\delta_A\) has inverse-time units.</w:t>
      </w:r>
    </w:p>
    <w:p>
      <w:r>
        <w:t>For \(\sigma&lt;1\), output approaches a finite ceiling as \(A\to\infty\); for \(\sigma=1\), \(F(A,R)/A\to0\). For \(\sigma&gt;1\), define</w:t>
      </w:r>
    </w:p>
    <w:p>
      <w:pPr>
        <w:jc w:val="center"/>
      </w:pPr>
      <w:r>
        <w:rPr>
          <w:rFonts w:ascii="Cambria Math" w:hAnsi="Cambria Math"/>
          <w:i/>
          <w:sz w:val="21"/>
        </w:rPr>
        <w:t>\mu_A=\frac{Y_0}{A_0}\alpha^{\sigma/(\sigma-1)}.</w:t>
      </w:r>
    </w:p>
    <w:p>
      <w:r>
        <w:t>Then the maximum net provision is finite when \(\mu_A&lt;\delta_A\) and unbounded in this mathematical specification when \(\mu_A\ge\delta_A\). The essentiality threshold is distinct: \(F(A,0)=0\) for \(\sigma\le1\), whereas \(F(A,0)&gt;0\) for \(\sigma&gt;1\). These are properties of the declared value-production model, not physical laws permitting unbounded throughput.</w:t>
      </w:r>
    </w:p>
    <w:p>
      <w:pPr>
        <w:pStyle w:val="Heading3"/>
      </w:pPr>
      <w:r>
        <w:t>Linear pathway alternative</w:t>
      </w:r>
    </w:p>
    <w:p>
      <w:r>
        <w:t>Let \(a\ge0\) be activity levels, with typed resource requirements \(Ra\), capacity or exergy requirements \(Ea\), service outputs \(Qa\), available stocks \(x\), capacities \(e\), and required services \(s^{req}\). The declared pathway system is</w:t>
      </w:r>
    </w:p>
    <w:p>
      <w:pPr>
        <w:jc w:val="center"/>
      </w:pPr>
      <w:r>
        <w:rPr>
          <w:rFonts w:ascii="Cambria Math" w:hAnsi="Cambria Math"/>
          <w:i/>
          <w:sz w:val="21"/>
        </w:rPr>
        <w:t>Ra\le x,</w:t>
        <w:br/>
        <w:t>\qquad Ea\le e,</w:t>
        <w:br/>
        <w:t>\qquad Qa\ge s^{req},</w:t>
        <w:br/>
        <w:t>\qquad a\ge0.</w:t>
      </w:r>
    </w:p>
    <w:p>
      <w:r>
        <w:t>Exactly one of the following holds:</w:t>
      </w:r>
    </w:p>
    <w:p>
      <w:pPr>
        <w:pStyle w:val="ListNumber"/>
      </w:pPr>
      <w:r>
        <w:t>a feasible activity vector exists; or</w:t>
      </w:r>
    </w:p>
    <w:p>
      <w:pPr>
        <w:pStyle w:val="ListNumber"/>
      </w:pPr>
      <w:r>
        <w:t>there are nonnegative multipliers \(\alpha,\beta,\gamma\) satisfying</w:t>
      </w:r>
    </w:p>
    <w:p>
      <w:pPr>
        <w:jc w:val="center"/>
      </w:pPr>
      <w:r>
        <w:rPr>
          <w:rFonts w:ascii="Cambria Math" w:hAnsi="Cambria Math"/>
          <w:i/>
          <w:sz w:val="21"/>
        </w:rPr>
        <w:t>\alpha^\top R+\beta^\top E-\gamma^\top Q\ge0,</w:t>
        <w:br/>
        <w:t>\qquad</w:t>
        <w:br/>
        <w:t>\gamma^\top s^{req}&gt;\alpha^\top x+\beta^\top e.</w:t>
      </w:r>
    </w:p>
    <w:p>
      <w:r>
        <w:t>The second alternative is a Farkas certificate that the registered pathways cannot meet the service requirement inside the typed resource and capacity bounds. It does not rule out unregistered technologies, changed boundaries, or architecture transformation.</w:t>
      </w:r>
    </w:p>
    <w:p>
      <w:pPr>
        <w:pStyle w:val="Heading2"/>
      </w:pPr>
      <w:r>
        <w:t>6.6 Relation between constraint subject and constraint type</w:t>
      </w:r>
    </w:p>
    <w:p>
      <w:r>
        <w:t>The registry has two independent axes. A capacity constraint may be physical, functional, normative, or relational. A distributional constraint is usually normative but can also enter functional dynamics. An ecological support constraint may be physical in one model and precautionary in another. The two-axis representation can be displayed as a matrix:</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DCE8EF"/>
            <w:vAlign w:val="center"/>
          </w:tcPr>
          <w:p>
            <w:r>
              <w:rPr>
                <w:b/>
              </w:rPr>
              <w:t>Subject</w:t>
            </w:r>
          </w:p>
        </w:tc>
        <w:tc>
          <w:tcPr>
            <w:tcW w:type="dxa" w:w="1930"/>
            <w:shd w:fill="DCE8EF"/>
            <w:vAlign w:val="center"/>
          </w:tcPr>
          <w:p>
            <w:r>
              <w:rPr>
                <w:b/>
              </w:rPr>
              <w:t>Physical</w:t>
            </w:r>
          </w:p>
        </w:tc>
        <w:tc>
          <w:tcPr>
            <w:tcW w:type="dxa" w:w="1930"/>
            <w:shd w:fill="DCE8EF"/>
            <w:vAlign w:val="center"/>
          </w:tcPr>
          <w:p>
            <w:r>
              <w:rPr>
                <w:b/>
              </w:rPr>
              <w:t>Functional</w:t>
            </w:r>
          </w:p>
        </w:tc>
        <w:tc>
          <w:tcPr>
            <w:tcW w:type="dxa" w:w="1930"/>
            <w:shd w:fill="DCE8EF"/>
            <w:vAlign w:val="center"/>
          </w:tcPr>
          <w:p>
            <w:r>
              <w:rPr>
                <w:b/>
              </w:rPr>
              <w:t>Normative</w:t>
            </w:r>
          </w:p>
        </w:tc>
        <w:tc>
          <w:tcPr>
            <w:tcW w:type="dxa" w:w="1930"/>
            <w:shd w:fill="DCE8EF"/>
            <w:vAlign w:val="center"/>
          </w:tcPr>
          <w:p>
            <w:r>
              <w:rPr>
                <w:b/>
              </w:rPr>
              <w:t>Relational</w:t>
            </w:r>
          </w:p>
        </w:tc>
      </w:tr>
      <w:tr>
        <w:tc>
          <w:tcPr>
            <w:tcW w:type="dxa" w:w="1930"/>
          </w:tcPr>
          <w:p>
            <w:r>
              <w:t>Focal state</w:t>
            </w:r>
          </w:p>
        </w:tc>
        <w:tc>
          <w:tcPr>
            <w:tcW w:type="dxa" w:w="1930"/>
          </w:tcPr>
          <w:p>
            <w:r>
              <w:t>material feasibility</w:t>
            </w:r>
          </w:p>
        </w:tc>
        <w:tc>
          <w:tcPr>
            <w:tcW w:type="dxa" w:w="1930"/>
          </w:tcPr>
          <w:p>
            <w:r>
              <w:t>identity/function threshold</w:t>
            </w:r>
          </w:p>
        </w:tc>
        <w:tc>
          <w:tcPr>
            <w:tcW w:type="dxa" w:w="1930"/>
          </w:tcPr>
          <w:p>
            <w:r>
              <w:t>prohibited focal condition</w:t>
            </w:r>
          </w:p>
        </w:tc>
        <w:tc>
          <w:tcPr>
            <w:tcW w:type="dxa" w:w="1930"/>
          </w:tcPr>
          <w:p>
            <w:r>
              <w:t>local state linked to external obligation</w:t>
            </w:r>
          </w:p>
        </w:tc>
      </w:tr>
      <w:tr>
        <w:tc>
          <w:tcPr>
            <w:tcW w:type="dxa" w:w="1930"/>
          </w:tcPr>
          <w:p>
            <w:r>
              <w:t>Capacity</w:t>
            </w:r>
          </w:p>
        </w:tc>
        <w:tc>
          <w:tcPr>
            <w:tcW w:type="dxa" w:w="1930"/>
          </w:tcPr>
          <w:p>
            <w:r>
              <w:t>process-rate limit</w:t>
            </w:r>
          </w:p>
        </w:tc>
        <w:tc>
          <w:tcPr>
            <w:tcW w:type="dxa" w:w="1930"/>
          </w:tcPr>
          <w:p>
            <w:r>
              <w:t>minimum maintenance/adaptation capacity</w:t>
            </w:r>
          </w:p>
        </w:tc>
        <w:tc>
          <w:tcPr>
            <w:tcW w:type="dxa" w:w="1930"/>
          </w:tcPr>
          <w:p>
            <w:r>
              <w:t>required reserve or safety margin</w:t>
            </w:r>
          </w:p>
        </w:tc>
        <w:tc>
          <w:tcPr>
            <w:tcW w:type="dxa" w:w="1930"/>
          </w:tcPr>
          <w:p>
            <w:r>
              <w:t>capacity owed to dependent systems</w:t>
            </w:r>
          </w:p>
        </w:tc>
      </w:tr>
      <w:tr>
        <w:tc>
          <w:tcPr>
            <w:tcW w:type="dxa" w:w="1930"/>
          </w:tcPr>
          <w:p>
            <w:r>
              <w:t>Supporting system</w:t>
            </w:r>
          </w:p>
        </w:tc>
        <w:tc>
          <w:tcPr>
            <w:tcW w:type="dxa" w:w="1930"/>
          </w:tcPr>
          <w:p>
            <w:r>
              <w:t>biophysical boundary</w:t>
            </w:r>
          </w:p>
        </w:tc>
        <w:tc>
          <w:tcPr>
            <w:tcW w:type="dxa" w:w="1930"/>
          </w:tcPr>
          <w:p>
            <w:r>
              <w:t>required service level</w:t>
            </w:r>
          </w:p>
        </w:tc>
        <w:tc>
          <w:tcPr>
            <w:tcW w:type="dxa" w:w="1930"/>
          </w:tcPr>
          <w:p>
            <w:r>
              <w:t>protected ecological status</w:t>
            </w:r>
          </w:p>
        </w:tc>
        <w:tc>
          <w:tcPr>
            <w:tcW w:type="dxa" w:w="1930"/>
          </w:tcPr>
          <w:p>
            <w:r>
              <w:t>impact or dependency obligation</w:t>
            </w:r>
          </w:p>
        </w:tc>
      </w:tr>
      <w:tr>
        <w:tc>
          <w:tcPr>
            <w:tcW w:type="dxa" w:w="1930"/>
          </w:tcPr>
          <w:p>
            <w:r>
              <w:t>Distribution</w:t>
            </w:r>
          </w:p>
        </w:tc>
        <w:tc>
          <w:tcPr>
            <w:tcW w:type="dxa" w:w="1930"/>
          </w:tcPr>
          <w:p>
            <w:r>
              <w:t>accounting feasibility</w:t>
            </w:r>
          </w:p>
        </w:tc>
        <w:tc>
          <w:tcPr>
            <w:tcW w:type="dxa" w:w="1930"/>
          </w:tcPr>
          <w:p>
            <w:r>
              <w:t>distribution affecting system performance</w:t>
            </w:r>
          </w:p>
        </w:tc>
        <w:tc>
          <w:tcPr>
            <w:tcW w:type="dxa" w:w="1930"/>
          </w:tcPr>
          <w:p>
            <w:r>
              <w:t>rights, minima, maximum burdens</w:t>
            </w:r>
          </w:p>
        </w:tc>
        <w:tc>
          <w:tcPr>
            <w:tcW w:type="dxa" w:w="1930"/>
          </w:tcPr>
          <w:p>
            <w:r>
              <w:t>cross-group or cross-scale allocation</w:t>
            </w:r>
          </w:p>
        </w:tc>
      </w:tr>
      <w:tr>
        <w:tc>
          <w:tcPr>
            <w:tcW w:type="dxa" w:w="1930"/>
          </w:tcPr>
          <w:p>
            <w:r>
              <w:t>Liability</w:t>
            </w:r>
          </w:p>
        </w:tc>
        <w:tc>
          <w:tcPr>
            <w:tcW w:type="dxa" w:w="1930"/>
          </w:tcPr>
          <w:p>
            <w:r>
              <w:t>physically accumulated debt or damage</w:t>
            </w:r>
          </w:p>
        </w:tc>
        <w:tc>
          <w:tcPr>
            <w:tcW w:type="dxa" w:w="1930"/>
          </w:tcPr>
          <w:p>
            <w:r>
              <w:t>future functional impairment</w:t>
            </w:r>
          </w:p>
        </w:tc>
        <w:tc>
          <w:tcPr>
            <w:tcW w:type="dxa" w:w="1930"/>
          </w:tcPr>
          <w:p>
            <w:r>
              <w:t>prohibited deferred burden</w:t>
            </w:r>
          </w:p>
        </w:tc>
        <w:tc>
          <w:tcPr>
            <w:tcW w:type="dxa" w:w="1930"/>
          </w:tcPr>
          <w:p>
            <w:r>
              <w:t>burden transferred across time or place</w:t>
            </w:r>
          </w:p>
        </w:tc>
      </w:tr>
    </w:tbl>
    <w:p/>
    <w:p>
      <w:r>
        <w:t>This matrix prevents an ontological subject from being mistaken for an epistemic or normative type.</w:t>
      </w:r>
    </w:p>
    <w:p>
      <w:pPr>
        <w:pStyle w:val="Heading2"/>
      </w:pPr>
      <w:r>
        <w:t>6.7 Ordering and conflict among constraints</w:t>
      </w:r>
    </w:p>
    <w:p>
      <w:r>
        <w:t>Typed separation does not eliminate conflict. A policy may satisfy a physical and functional condition while violating a right, or satisfy a social minimum only by crossing an ecological bound under the current architecture. The registry therefore records priority and revisability.</w:t>
      </w:r>
    </w:p>
    <w:p>
      <w:r>
        <w:t>A possible decision structure is lexicographic:</w:t>
      </w:r>
    </w:p>
    <w:p>
      <w:pPr>
        <w:pStyle w:val="ListNumber"/>
      </w:pPr>
      <w:r>
        <w:t>exclude physically impossible trajectories;</w:t>
      </w:r>
    </w:p>
    <w:p>
      <w:pPr>
        <w:pStyle w:val="ListNumber"/>
      </w:pPr>
      <w:r>
        <w:t>exclude trajectories violating non-revisable rights or irreversible critical constraints;</w:t>
      </w:r>
    </w:p>
    <w:p>
      <w:pPr>
        <w:pStyle w:val="ListNumber"/>
      </w:pPr>
      <w:r>
        <w:t>evaluate remaining functional and relational trade-offs;</w:t>
      </w:r>
    </w:p>
    <w:p>
      <w:pPr>
        <w:pStyle w:val="ListNumber"/>
      </w:pPr>
      <w:r>
        <w:t>report unresolved conflicts rather than hiding them in a weighted sum.</w:t>
      </w:r>
    </w:p>
    <w:p>
      <w:r>
        <w:t>This ordering is a template, not a universal moral theorem. Alternative legitimate procedures may use constitutional rules, deliberation, multi-criteria decision analysis, negotiated allocations, or precaution. The architectural requirement is that the procedure and its authority be explicit.</w:t>
      </w:r>
    </w:p>
    <w:p>
      <w:pPr>
        <w:pStyle w:val="Heading2"/>
      </w:pPr>
      <w:r>
        <w:t>6.8 Comparison of competing specifications</w:t>
      </w:r>
    </w:p>
    <w:p>
      <w:r>
        <w:t>The framework permits multiple specifications \(\Omega_1,\ldots,\Omega_n\) for the same physical system. Rather than forcing a false unique verdict, it can report:</w:t>
      </w:r>
    </w:p>
    <w:p>
      <w:pPr>
        <w:pStyle w:val="ListBullet"/>
      </w:pPr>
      <w:r>
        <w:t>constraints shared across specifications;</w:t>
      </w:r>
    </w:p>
    <w:p>
      <w:pPr>
        <w:pStyle w:val="ListBullet"/>
      </w:pPr>
      <w:r>
        <w:t>verdicts invariant across specifications;</w:t>
      </w:r>
    </w:p>
    <w:p>
      <w:pPr>
        <w:pStyle w:val="ListBullet"/>
      </w:pPr>
      <w:r>
        <w:t>disagreements caused by identity, horizon, boundary, or normative authority;</w:t>
      </w:r>
    </w:p>
    <w:p>
      <w:pPr>
        <w:pStyle w:val="ListBullet"/>
      </w:pPr>
      <w:r>
        <w:t>policies viable under all specifications;</w:t>
      </w:r>
    </w:p>
    <w:p>
      <w:pPr>
        <w:pStyle w:val="ListBullet"/>
      </w:pPr>
      <w:r>
        <w:t>policies viable only under contested assumptions.</w:t>
      </w:r>
    </w:p>
    <w:p>
      <w:r>
        <w:t xml:space="preserve">A </w:t>
      </w:r>
      <w:r>
        <w:rPr>
          <w:b/>
        </w:rPr>
        <w:t>respecification-robust conclusion</w:t>
      </w:r>
      <w:r>
        <w:t xml:space="preserve"> is one that holds across a declared family \(\mathfrak O\):</w:t>
      </w:r>
    </w:p>
    <w:p>
      <w:pPr>
        <w:jc w:val="center"/>
      </w:pPr>
      <w:r>
        <w:rPr>
          <w:rFonts w:ascii="Cambria Math" w:hAnsi="Cambria Math"/>
          <w:i/>
          <w:sz w:val="21"/>
        </w:rPr>
        <w:t>\forall\Omega\in\mathfrak O,</w:t>
        <w:br/>
        <w:t>\quad</w:t>
        <w:br/>
        <w:t>\mathbf J_\Omega(\tau)</w:t>
        <w:br/>
        <w:t>\text{ satisfies the target condition}.</w:t>
      </w:r>
    </w:p>
    <w:p>
      <w:r>
        <w:t>This does not solve moral disagreement. It identifies which conclusions depend on it.</w:t>
      </w:r>
    </w:p>
    <w:p>
      <w:pPr>
        <w:pStyle w:val="Heading2"/>
      </w:pPr>
      <w:r>
        <w:t>6.9 Transition status of constraints</w:t>
      </w:r>
    </w:p>
    <w:p>
      <w:r>
        <w:t>Each constraint receives one transition status \(\zeta_j\):</w:t>
      </w:r>
    </w:p>
    <w:p>
      <w:pPr>
        <w:pStyle w:val="ListBullet"/>
      </w:pPr>
      <w:r>
        <w:rPr>
          <w:b/>
        </w:rPr>
        <w:t>non-relaxable:</w:t>
      </w:r>
      <w:r>
        <w:t xml:space="preserve"> must hold throughout every admissible path;</w:t>
      </w:r>
    </w:p>
    <w:p>
      <w:pPr>
        <w:pStyle w:val="ListBullet"/>
      </w:pPr>
      <w:r>
        <w:rPr>
          <w:b/>
        </w:rPr>
        <w:t>temporarily relaxable:</w:t>
      </w:r>
      <w:r>
        <w:t xml:space="preserve"> may be weakened only within a declared magnitude and duration;</w:t>
      </w:r>
    </w:p>
    <w:p>
      <w:pPr>
        <w:pStyle w:val="ListBullet"/>
      </w:pPr>
      <w:r>
        <w:rPr>
          <w:b/>
        </w:rPr>
        <w:t>emergency-only:</w:t>
      </w:r>
      <w:r>
        <w:t xml:space="preserve"> may be weakened only after a registered emergency trigger;</w:t>
      </w:r>
    </w:p>
    <w:p>
      <w:pPr>
        <w:pStyle w:val="ListBullet"/>
      </w:pPr>
      <w:r>
        <w:rPr>
          <w:b/>
        </w:rPr>
        <w:t>substitutable:</w:t>
      </w:r>
      <w:r>
        <w:t xml:space="preserve"> may be discharged through a successful registered substitution test;</w:t>
      </w:r>
    </w:p>
    <w:p>
      <w:pPr>
        <w:pStyle w:val="ListBullet"/>
      </w:pPr>
      <w:r>
        <w:rPr>
          <w:b/>
        </w:rPr>
        <w:t>destination-only:</w:t>
      </w:r>
      <w:r>
        <w:t xml:space="preserve"> applies upon entry into the target architecture;</w:t>
      </w:r>
    </w:p>
    <w:p>
      <w:pPr>
        <w:pStyle w:val="ListBullet"/>
      </w:pPr>
      <w:r>
        <w:rPr>
          <w:b/>
        </w:rPr>
        <w:t>compensable under rule:</w:t>
      </w:r>
      <w:r>
        <w:t xml:space="preserve"> may be offset only through a specified, authorized, non-silent compensation rule.</w:t>
      </w:r>
    </w:p>
    <w:p>
      <w:r>
        <w:t>Write every constraint as a safety margin \(p_j(z)\ge0\). For an authorized temporary relaxation \(r_j(t)\ge0\), define</w:t>
      </w:r>
    </w:p>
    <w:p>
      <w:pPr>
        <w:jc w:val="center"/>
      </w:pPr>
      <w:r>
        <w:rPr>
          <w:rFonts w:ascii="Cambria Math" w:hAnsi="Cambria Math"/>
          <w:i/>
          <w:sz w:val="21"/>
        </w:rPr>
        <w:t>K_{\mathrm{tr}}(t)</w:t>
        <w:br/>
        <w:t>=</w:t>
        <w:br/>
        <w:t>\bigcap_j</w:t>
        <w:br/>
        <w:t>\{z:p_j(z)\ge-r_j(t)\},</w:t>
      </w:r>
    </w:p>
    <w:p>
      <w:r>
        <w:t>with \(r_j(t)=0\) for non-relaxable constraints. A relaxation record must specify authority, trigger, magnitude, duration, affected groups, monitoring, cumulative harm, and required repair. A transition-debt state may satisfy</w:t>
      </w:r>
    </w:p>
    <w:p>
      <w:pPr>
        <w:jc w:val="center"/>
      </w:pPr>
      <w:r>
        <w:rPr>
          <w:rFonts w:ascii="Cambria Math" w:hAnsi="Cambria Math"/>
          <w:i/>
          <w:sz w:val="21"/>
        </w:rPr>
        <w:t>\dot\lambda_j^{\mathrm{tr}}</w:t>
        <w:br/>
        <w:t>\ge a_j r_j(t)-\operatorname{repair}_j(t),</w:t>
        <w:br/>
        <w:t>\qquad</w:t>
        <w:br/>
        <w:t>0\le\lambda_j^{\mathrm{tr}}</w:t>
        <w:br/>
        <w:t>\le\bar\lambda_j^{\mathrm{tr}}.</w:t>
      </w:r>
    </w:p>
    <w:p>
      <w:r>
        <w:t>Physical impossibilities cannot be relaxed. Normative constraints declared non-revisable by \(\mathcal N\) remain non-relaxable. The transition region is therefore generated by typed authorization, not selected after observing which constraints a proposed path violates.</w:t>
      </w:r>
    </w:p>
    <w:p>
      <w:pPr>
        <w:pBdr>
          <w:bottom w:val="single" w:sz="6" w:color="AABBC5"/>
        </w:pBdr>
      </w:pPr>
    </w:p>
    <w:p>
      <w:pPr>
        <w:pStyle w:val="Heading1"/>
      </w:pPr>
      <w:r>
        <w:t>7. Operator I: within-architecture viability</w:t>
      </w:r>
    </w:p>
    <w:p>
      <w:r>
        <w:t>For architecture \(\mathfrak A_q\), define the robust viability kernel over horizon \(T\):</w:t>
      </w:r>
    </w:p>
    <w:p>
      <w:pPr>
        <w:jc w:val="center"/>
      </w:pPr>
      <w:r>
        <w:rPr>
          <w:rFonts w:ascii="Cambria Math" w:hAnsi="Cambria Math"/>
          <w:i/>
          <w:sz w:val="21"/>
        </w:rPr>
        <w:t>\operatorname{RViab}_{\mathfrak A_q}</w:t>
        <w:br/>
        <w:t>(\mathsf K_{q,\Omega},T)</w:t>
        <w:br/>
        <w:t>=</w:t>
        <w:br/>
        <w:t>\left\{</w:t>
        <w:br/>
        <w:t>z_0\in\mathsf K_{q,\Omega}:</w:t>
        <w:br/>
        <w:t>\exists\pi\in\mathbb P_q^{\mathrm{impl}}</w:t>
        <w:br/>
        <w:t>\ \forall\delta\in\Delta_q,</w:t>
        <w:br/>
        <w:t>\ z^{\pi,\delta}(t)\in\mathsf K_{q,\Omega}</w:t>
        <w:br/>
        <w:t>\ \forall t\in T</w:t>
        <w:br/>
        <w:t>\right\}.</w:t>
      </w:r>
    </w:p>
    <w:p>
      <w:r>
        <w:t>The focal system is viable within the architecture when</w:t>
      </w:r>
    </w:p>
    <w:p>
      <w:pPr>
        <w:jc w:val="center"/>
      </w:pPr>
      <w:r>
        <w:rPr>
          <w:rFonts w:ascii="Cambria Math" w:hAnsi="Cambria Math"/>
          <w:i/>
          <w:sz w:val="21"/>
        </w:rPr>
        <w:t>z_0\in</w:t>
        <w:br/>
        <w:t>\operatorname{RViab}_{\mathfrak A_q}(\mathsf K_{q,\Omega},T).</w:t>
      </w:r>
    </w:p>
    <w:p>
      <w:r>
        <w:t>Kernel non-emptiness alone proves only that some initial state is viable.</w:t>
      </w:r>
    </w:p>
    <w:p>
      <w:r>
        <w:t>For probabilistic uncertainty, one may instead require</w:t>
      </w:r>
    </w:p>
    <w:p>
      <w:pPr>
        <w:jc w:val="center"/>
      </w:pPr>
      <w:r>
        <w:rPr>
          <w:rFonts w:ascii="Cambria Math" w:hAnsi="Cambria Math"/>
          <w:i/>
          <w:sz w:val="21"/>
        </w:rPr>
        <w:t>\Pr\left[z^{\pi,\delta}(t)\in\mathsf K_{q,\Omega}\ \forall t\in T\right]</w:t>
        <w:br/>
        <w:t>\ge1-\epsilon.</w:t>
      </w:r>
    </w:p>
    <w:p>
      <w:r>
        <w:t>Risk tolerance \(\epsilon\), and who bears the risk, remain explicit normative and empirical inputs.</w:t>
      </w:r>
    </w:p>
    <w:p>
      <w:pPr>
        <w:pStyle w:val="Heading2"/>
      </w:pPr>
      <w:r>
        <w:t>7.1 Viability, invariance, information, and recovery hierarchy</w:t>
      </w:r>
    </w:p>
    <w:p>
      <w:r>
        <w:t>Several mathematically different objects must not share one label.</w:t>
      </w:r>
    </w:p>
    <w:p>
      <w:r>
        <w:rPr>
          <w:b/>
        </w:rPr>
        <w:t>Controlled viability</w:t>
      </w:r>
      <w:r>
        <w:t xml:space="preserve"> is existential in the policy and, in a deterministic model, in the resulting trajectory:</w:t>
      </w:r>
    </w:p>
    <w:p>
      <w:pPr>
        <w:jc w:val="center"/>
      </w:pPr>
      <w:r>
        <w:rPr>
          <w:rFonts w:ascii="Cambria Math" w:hAnsi="Cambria Math"/>
          <w:i/>
          <w:sz w:val="21"/>
        </w:rPr>
        <w:t>\operatorname{Viab}^{T}(\mathsf K;\mathbb P)</w:t>
        <w:br/>
        <w:t>=\{x_0\in\mathsf K:\exists\pi\in\mathbb P,\ x^\pi(t)\in\mathsf K\ \forall t\in T\}.</w:t>
      </w:r>
    </w:p>
    <w:p>
      <w:r>
        <w:rPr>
          <w:b/>
        </w:rPr>
        <w:t>Robust or discriminating viability</w:t>
      </w:r>
      <w:r>
        <w:t xml:space="preserve"> preserves one causal policy against every admissible disturbance signal or nonanticipating strategy:</w:t>
      </w:r>
    </w:p>
    <w:p>
      <w:pPr>
        <w:jc w:val="center"/>
      </w:pPr>
      <w:r>
        <w:rPr>
          <w:rFonts w:ascii="Cambria Math" w:hAnsi="Cambria Math"/>
          <w:i/>
          <w:sz w:val="21"/>
        </w:rPr>
        <w:t>\operatorname{RViab}^{T}(\mathsf K;\mathbb P,\Delta)</w:t>
        <w:br/>
        <w:t>=\{x_0\in\mathsf K:\exists\pi\in\mathbb P\ \forall\delta\in\Delta,\ x^{\pi,\delta}(t)\in\mathsf K\ \forall t\in T\}.</w:t>
      </w:r>
    </w:p>
    <w:p>
      <w:r>
        <w:rPr>
          <w:b/>
        </w:rPr>
        <w:t>Fixed-policy robust safety</w:t>
      </w:r>
      <w:r>
        <w:t xml:space="preserve"> removes the existential policy choice:</w:t>
      </w:r>
    </w:p>
    <w:p>
      <w:pPr>
        <w:jc w:val="center"/>
      </w:pPr>
      <w:r>
        <w:rPr>
          <w:rFonts w:ascii="Cambria Math" w:hAnsi="Cambria Math"/>
          <w:i/>
          <w:sz w:val="21"/>
        </w:rPr>
        <w:t>\operatorname{Inv}^{T}(\mathsf K;\pi,\Delta)</w:t>
        <w:br/>
        <w:t>=\{x_0:\forall\delta\in\Delta,\ x^{\pi,\delta}(t)\in\mathsf K\ \forall t\in T\}.</w:t>
      </w:r>
    </w:p>
    <w:p>
      <w:r>
        <w:t>Literal inclusions require the same state space, safe set, horizon, information pattern, and aligned policy and disturbance classes. Under those conditions,</w:t>
      </w:r>
    </w:p>
    <w:p>
      <w:pPr>
        <w:jc w:val="center"/>
      </w:pPr>
      <w:r>
        <w:rPr>
          <w:rFonts w:ascii="Cambria Math" w:hAnsi="Cambria Math"/>
          <w:i/>
          <w:sz w:val="21"/>
        </w:rPr>
        <w:t>\operatorname{Inv}(\mathsf K;\pi,\Delta)</w:t>
        <w:br/>
        <w:t>\subseteq</w:t>
        <w:br/>
        <w:t>\operatorname{RViab}(\mathsf K;\mathbb P,\Delta)</w:t>
        <w:br/>
        <w:t>\subseteq</w:t>
        <w:br/>
        <w:t>\operatorname{Viab}(\mathsf K;\mathbb P).</w:t>
      </w:r>
    </w:p>
    <w:p>
      <w:r>
        <w:t>Epistemic viability is defined on an information or belief space and uses observation-based policies. Institutional viability is either an explicitly typed kernel or a robust kernel whose policy class has been restricted by authority, prescription, implementation, enforcement, and compliance. Chance viability additionally requires a probability law and filtration. If stochastic realizations lie almost surely inside the robust disturbance class, robust safety implies chance safety with probability one. The reverse implication does not follow.</w:t>
      </w:r>
    </w:p>
    <w:p>
      <w:r>
        <w:t>Recovery is represented by a capture basin whose notation retains the target, emergency envelope, horizon, policy class, and disturbance class. Recovery inside one architecture is not Operator II transformation.</w:t>
      </w:r>
    </w:p>
    <w:p>
      <w:pPr>
        <w:pStyle w:val="Heading2"/>
      </w:pPr>
      <w:r>
        <w:t>Conditional strong-invariance certificate</w:t>
      </w:r>
    </w:p>
    <w:p>
      <w:r>
        <w:t>Let \(\mathsf K\) be closed and let a feedback \(k\) induce</w:t>
      </w:r>
    </w:p>
    <w:p>
      <w:pPr>
        <w:jc w:val="center"/>
      </w:pPr>
      <w:r>
        <w:rPr>
          <w:rFonts w:ascii="Cambria Math" w:hAnsi="Cambria Math"/>
          <w:i/>
          <w:sz w:val="21"/>
        </w:rPr>
        <w:t>F_k(x)=\{f(x,k(x),d):d\in D(x)\}.</w:t>
      </w:r>
    </w:p>
    <w:p>
      <w:r>
        <w:t>Under the regularity, existence, completeness, and solution assumptions of an applicable strong-invariance theorem, the condition</w:t>
      </w:r>
    </w:p>
    <w:p>
      <w:pPr>
        <w:jc w:val="center"/>
      </w:pPr>
      <w:r>
        <w:rPr>
          <w:rFonts w:ascii="Cambria Math" w:hAnsi="Cambria Math"/>
          <w:i/>
          <w:sz w:val="21"/>
        </w:rPr>
        <w:t>F_k(x)\subseteq T_{\mathsf K}^{C}(x)</w:t>
        <w:br/>
        <w:t>\qquad\forall x\in\mathsf K</w:t>
      </w:r>
    </w:p>
    <w:p>
      <w:r>
        <w:t>is a sufficient certificate that every closed-loop disturbance solution remains in \(\mathsf K\). By contrast,</w:t>
      </w:r>
    </w:p>
    <w:p>
      <w:pPr>
        <w:jc w:val="center"/>
      </w:pPr>
      <w:r>
        <w:rPr>
          <w:rFonts w:ascii="Cambria Math" w:hAnsi="Cambria Math"/>
          <w:i/>
          <w:sz w:val="21"/>
        </w:rPr>
        <w:t>F_k(x)\cap T_{\mathsf K}(x)\ne\varnothing</w:t>
      </w:r>
    </w:p>
    <w:p>
      <w:r>
        <w:t>is only a weak existential viability condition. No general pointwise-tangency “if and only if” is claimed without an exact theorem matching the strategy and solution semantics.</w:t>
      </w:r>
    </w:p>
    <w:p>
      <w:pPr>
        <w:pStyle w:val="Heading2"/>
      </w:pPr>
      <w:r>
        <w:t>Epistemic predecessor and fixed point</w:t>
      </w:r>
    </w:p>
    <w:p>
      <w:r>
        <w:t>On a declared information-state domain, let \(\operatorname{Pre}(Q)\) contain the information states from which one admissible prescription has only safe implementation/disturbance successors in \(Q\). The official safety operator is</w:t>
      </w:r>
    </w:p>
    <w:p>
      <w:pPr>
        <w:jc w:val="center"/>
      </w:pPr>
      <w:r>
        <w:rPr>
          <w:rFonts w:ascii="Cambria Math" w:hAnsi="Cambria Math"/>
          <w:i/>
          <w:sz w:val="21"/>
        </w:rPr>
        <w:t>\Phi(Q)=\mathsf S_{safe}\cap\operatorname{Pre}(Q),</w:t>
        <w:br/>
        <w:t>\qquad Q_0=\mathsf S_{safe}.</w:t>
      </w:r>
    </w:p>
    <w:p>
      <w:r>
        <w:t>When \(\operatorname{Pre}\) is monotone, both \(\Phi\) and \(Q\mapsto Q\cap\operatorname{Pre}(Q)\) are monotone. The latter may implement the same descending orbit from the safe top set only after that equivalence is proved. Countable intersection is justified in finite models or under compact/closed continuity-from-above conditions preserving common action witnesses. A general complete lattice may require transfinite descent; no exact ordinal bound is asserted here.</w:t>
      </w:r>
    </w:p>
    <w:p>
      <w:r>
        <w:t>For belief \(B\) and institutional state \(h\), a common safe prescription is</w:t>
      </w:r>
    </w:p>
    <w:p>
      <w:pPr>
        <w:jc w:val="center"/>
      </w:pPr>
      <w:r>
        <w:rPr>
          <w:rFonts w:ascii="Cambria Math" w:hAnsi="Cambria Math"/>
          <w:i/>
          <w:sz w:val="21"/>
        </w:rPr>
        <w:t>\operatorname{Pres}_{safe}(B,h)</w:t>
        <w:br/>
        <w:t>=\{a\in\Gamma(B,h):\mathcal E(x,h,a)\subseteq U_{safe}(x)\ \forall x\in B\}.</w:t>
      </w:r>
    </w:p>
    <w:p>
      <w:r>
        <w:t>This object is preferable to a raw common-action intersection when one prescription can induce state-dependent implementations. Information refinement is compared through a common prior, a causal refinement map, or physical projection—not through untyped inclusion of different belief spaces.</w:t>
      </w:r>
    </w:p>
    <w:p>
      <w:pPr>
        <w:pStyle w:val="Heading2"/>
      </w:pPr>
      <w:r>
        <w:t>Selector and solution-semantics ladder</w:t>
      </w:r>
    </w:p>
    <w:p>
      <w:r>
        <w:t>A pointwise nonempty saving-action correspondence does not by itself provide an implementable controller. Results must separately establish, where needed:</w:t>
      </w:r>
    </w:p>
    <w:p>
      <w:pPr>
        <w:pStyle w:val="ListNumber"/>
      </w:pPr>
      <w:r>
        <w:t>pointwise selector existence;</w:t>
      </w:r>
    </w:p>
    <w:p>
      <w:pPr>
        <w:pStyle w:val="ListNumber"/>
      </w:pPr>
      <w:r>
        <w:t>measurable selection on the declared information domain;</w:t>
      </w:r>
    </w:p>
    <w:p>
      <w:pPr>
        <w:pStyle w:val="ListNumber"/>
      </w:pPr>
      <w:r>
        <w:t>continuous selection under stronger topological and convexity assumptions;</w:t>
      </w:r>
    </w:p>
    <w:p>
      <w:pPr>
        <w:pStyle w:val="ListNumber"/>
      </w:pPr>
      <w:r>
        <w:t>closed-loop existence and an explicit solution concept;</w:t>
      </w:r>
    </w:p>
    <w:p>
      <w:pPr>
        <w:pStyle w:val="ListNumber"/>
      </w:pPr>
      <w:r>
        <w:t>institutional and computational implementability.</w:t>
      </w:r>
    </w:p>
    <w:p>
      <w:r>
        <w:t>Sample-and-hold is the default implementation semantics. Filippov, Krasovskii, relaxed, viscosity, or game-strategy semantics are used only when explicitly declared.</w:t>
      </w:r>
    </w:p>
    <w:p>
      <w:pPr>
        <w:pStyle w:val="Heading2"/>
      </w:pPr>
      <w:r>
        <w:t>7.1A Observation fibres, hidden modes, and observer erosion</w:t>
      </w:r>
    </w:p>
    <w:p>
      <w:pPr>
        <w:pStyle w:val="Heading3"/>
      </w:pPr>
      <w:r>
        <w:t>Exact observation-fibre criterion</w:t>
      </w:r>
    </w:p>
    <w:p>
      <w:r>
        <w:t>Let \(O:Z\to\mathcal Y\) be an observation map on an admissible domain and let \(K\subseteq Z\) be the safe set. An exact observation-only certifier \(C:\mathcal Y\to\{0,1\}\) satisfying</w:t>
      </w:r>
    </w:p>
    <w:p>
      <w:pPr>
        <w:jc w:val="center"/>
      </w:pPr>
      <w:r>
        <w:rPr>
          <w:rFonts w:ascii="Cambria Math" w:hAnsi="Cambria Math"/>
          <w:i/>
          <w:sz w:val="21"/>
        </w:rPr>
        <w:t>C(O(z))=1\quad\Longleftrightarrow\quad z\in K</w:t>
      </w:r>
    </w:p>
    <w:p>
      <w:r>
        <w:t>exists if and only if safe-set membership is constant on every observation fibre:</w:t>
      </w:r>
    </w:p>
    <w:p>
      <w:pPr>
        <w:jc w:val="center"/>
      </w:pPr>
      <w:r>
        <w:rPr>
          <w:rFonts w:ascii="Cambria Math" w:hAnsi="Cambria Math"/>
          <w:i/>
          <w:sz w:val="21"/>
        </w:rPr>
        <w:t>O(z_1)=O(z_2)</w:t>
        <w:br/>
        <w:t>\Longrightarrow</w:t>
        <w:br/>
        <w:t>[z_1\in K\Longleftrightarrow z_2\in K].</w:t>
      </w:r>
    </w:p>
    <w:p>
      <w:r>
        <w:t>Equivalently, \(K=O^{-1}(O(K))\) on the admissible domain. The largest observation set that can be labelled safe without false positives is</w:t>
      </w:r>
    </w:p>
    <w:p>
      <w:pPr>
        <w:jc w:val="center"/>
      </w:pPr>
      <w:r>
        <w:rPr>
          <w:rFonts w:ascii="Cambria Math" w:hAnsi="Cambria Math"/>
          <w:i/>
          <w:sz w:val="21"/>
        </w:rPr>
        <w:t>\mathcal Y_{certain}</w:t>
        <w:br/>
        <w:t>=\{y\in O(Z):O^{-1}(y)\subseteq K\}.</w:t>
      </w:r>
    </w:p>
    <w:p>
      <w:r>
        <w:t>This exact deterministic result is not a statistical-consistency theorem. Noise and model discrepancy require set-valued or probabilistic fibres.</w:t>
      </w:r>
    </w:p>
    <w:p>
      <w:pPr>
        <w:pStyle w:val="Heading3"/>
      </w:pPr>
      <w:r>
        <w:t>Hidden-mode common-prescription obstruction</w:t>
      </w:r>
    </w:p>
    <w:p>
      <w:r>
        <w:t>Let \(\theta\in\{-1,+1\}\) be unobserved, \(\dot z=\theta u\), \(u\in\{-1,+1\}\), and require \(z\ge0\). At \(z=0\), mode \(\theta=+1\) requires \(u=+1\), while mode \(\theta=-1\) requires \(u=-1\). Each latent state is individually viable, but the belief containing both modes admits no common safe prescription. Physical viability therefore need not imply epistemic viability.</w:t>
      </w:r>
    </w:p>
    <w:p>
      <w:pPr>
        <w:pStyle w:val="Heading3"/>
      </w:pPr>
      <w:r>
        <w:t>Observer-error erosion certificate</w:t>
      </w:r>
    </w:p>
    <w:p>
      <w:r>
        <w:t>Suppose \(K=\{x:b_j(x)\ge0\}\) and a nominal feedback has strict inward boundary margin</w:t>
      </w:r>
    </w:p>
    <w:p>
      <w:pPr>
        <w:jc w:val="center"/>
      </w:pPr>
      <w:r>
        <w:rPr>
          <w:rFonts w:ascii="Cambria Math" w:hAnsi="Cambria Math"/>
          <w:i/>
          <w:sz w:val="21"/>
        </w:rPr>
        <w:t>\inf_d\nabla b_j(x)\cdot f(x,k(x),d)\ge\eta_j&gt;0.</w:t>
      </w:r>
    </w:p>
    <w:p>
      <w:r>
        <w:t>If replacing \(x\) by estimate \(\hat x\) perturbs the boundary derivative by at most \(L_j\|\hat x-x\|\), then a uniform error bound \(\|\hat x-x\|\le\bar e\) is absorbed whenever</w:t>
      </w:r>
    </w:p>
    <w:p>
      <w:pPr>
        <w:jc w:val="center"/>
      </w:pPr>
      <w:r>
        <w:rPr>
          <w:rFonts w:ascii="Cambria Math" w:hAnsi="Cambria Math"/>
          <w:i/>
          <w:sz w:val="21"/>
        </w:rPr>
        <w:t>L_j\bar e\le\eta_j.</w:t>
      </w:r>
    </w:p>
    <w:p>
      <w:r>
        <w:t>Under the regularity and strong-invariance assumptions of §7.1, the output-feedback law preserves the corresponding safe set or a conservatively eroded inner set. The constants, norm, active region, action admissibility, and disturbance class must be verified in each application.</w:t>
      </w:r>
    </w:p>
    <w:p>
      <w:pPr>
        <w:pStyle w:val="Heading2"/>
      </w:pPr>
      <w:r>
        <w:t>7.2 Four analytical views</w:t>
      </w:r>
    </w:p>
    <w:p>
      <w:r>
        <w:t>State, process, capacity, and relational sustainability are treated as four analytical views—not four parallel primitives.</w:t>
      </w:r>
    </w:p>
    <w:p>
      <w:pPr>
        <w:pStyle w:val="ListBullet"/>
      </w:pPr>
      <w:r>
        <w:rPr>
          <w:b/>
        </w:rPr>
        <w:t>State view:</w:t>
      </w:r>
      <w:r>
        <w:t xml:space="preserve"> Are current variables inside their typed bounds?</w:t>
      </w:r>
    </w:p>
    <w:p>
      <w:pPr>
        <w:pStyle w:val="ListBullet"/>
      </w:pPr>
      <w:r>
        <w:rPr>
          <w:b/>
        </w:rPr>
        <w:t>Process view:</w:t>
      </w:r>
      <w:r>
        <w:t xml:space="preserve"> Do the dynamics and admissible successors preserve future viability?</w:t>
      </w:r>
    </w:p>
    <w:p>
      <w:pPr>
        <w:pStyle w:val="ListBullet"/>
      </w:pPr>
      <w:r>
        <w:rPr>
          <w:b/>
        </w:rPr>
        <w:t>Capacity view:</w:t>
      </w:r>
      <w:r>
        <w:t xml:space="preserve"> Are regenerative, maintenance, monitoring, and adaptive capacities preserved?</w:t>
      </w:r>
    </w:p>
    <w:p>
      <w:pPr>
        <w:pStyle w:val="ListBullet"/>
      </w:pPr>
      <w:r>
        <w:rPr>
          <w:b/>
        </w:rPr>
        <w:t>Relational view:</w:t>
      </w:r>
      <w:r>
        <w:t xml:space="preserve"> Does local viability respect protected dependencies, affected populations, and allocated commons burdens?</w:t>
      </w:r>
    </w:p>
    <w:p>
      <w:r>
        <w:t>The views can diverge. A lake may currently satisfy a water-quality threshold while continuing pollutant accumulation commits it to later failure. A firm may be solvent while obligations accumulate faster than repayment capacity. A service may preserve current output by exhausting staff and maintenance capacity. A local economy may remain viable by exporting pollution or deprivation beyond its reporting boundary.</w:t>
      </w:r>
    </w:p>
    <w:p>
      <w:r>
        <w:t>The process view is a property of \(F_q\) relative to \(\mathsf K_{q,\Omega}\), not a “process stock.” Capacity and relational variables appear through tagged registry entries.</w:t>
      </w:r>
    </w:p>
    <w:p>
      <w:pPr>
        <w:pStyle w:val="Heading2"/>
      </w:pPr>
      <w:r>
        <w:t>7.3 Sustainability corridor</w:t>
      </w:r>
    </w:p>
    <w:p>
      <w:r>
        <w:t>Many systems face a lower provision requirement and upper capacity bound:</w:t>
      </w:r>
    </w:p>
    <w:p>
      <w:pPr>
        <w:jc w:val="center"/>
      </w:pPr>
      <w:r>
        <w:rPr>
          <w:rFonts w:ascii="Cambria Math" w:hAnsi="Cambria Math"/>
          <w:i/>
          <w:sz w:val="21"/>
        </w:rPr>
        <w:t>a(t)\ge a_{\min}(z),</w:t>
        <w:br/>
        <w:t>\qquad</w:t>
        <w:br/>
        <w:t>a(t)\le a_{\max}(z).</w:t>
      </w:r>
    </w:p>
    <w:p>
      <w:r>
        <w:t>A local corridor exists when</w:t>
      </w:r>
    </w:p>
    <w:p>
      <w:pPr>
        <w:jc w:val="center"/>
      </w:pPr>
      <w:r>
        <w:rPr>
          <w:rFonts w:ascii="Cambria Math" w:hAnsi="Cambria Math"/>
          <w:i/>
          <w:sz w:val="21"/>
        </w:rPr>
        <w:t>a_{\min}(z)\le a_{\max}(z).</w:t>
      </w:r>
    </w:p>
    <w:p>
      <w:r>
        <w:t>If the inequality fails at the current state, the state is locally infeasible. Architectural transformation is required only if no admissible within-architecture trajectory can reach a state with a nonempty corridor before entering a forbidden set.</w:t>
      </w:r>
    </w:p>
    <w:p>
      <w:pPr>
        <w:pStyle w:val="Heading2"/>
      </w:pPr>
      <w:r>
        <w:t>7.4 Constraint slack</w:t>
      </w:r>
    </w:p>
    <w:p>
      <w:r>
        <w:t>For lower-bound constraint \(z_i\ge z_i^{\min}\), define, when the denominator is positive,</w:t>
      </w:r>
    </w:p>
    <w:p>
      <w:pPr>
        <w:jc w:val="center"/>
      </w:pPr>
      <w:r>
        <w:rPr>
          <w:rFonts w:ascii="Cambria Math" w:hAnsi="Cambria Math"/>
          <w:i/>
          <w:sz w:val="21"/>
        </w:rPr>
        <w:t>\sigma_i^-(t)</w:t>
        <w:br/>
        <w:t>=</w:t>
        <w:br/>
        <w:t>\frac{z_i(t)-z_i^{\min}}</w:t>
        <w:br/>
        <w:t>{z_i^{\mathrm{ref}}-z_i^{\min}}.</w:t>
      </w:r>
    </w:p>
    <w:p>
      <w:r>
        <w:t>For upper-bound constraint \(z_i\le z_i^{\max}\), define</w:t>
      </w:r>
    </w:p>
    <w:p>
      <w:pPr>
        <w:jc w:val="center"/>
      </w:pPr>
      <w:r>
        <w:rPr>
          <w:rFonts w:ascii="Cambria Math" w:hAnsi="Cambria Math"/>
          <w:i/>
          <w:sz w:val="21"/>
        </w:rPr>
        <w:t>\sigma_i^+(t)</w:t>
        <w:br/>
        <w:t>=</w:t>
        <w:br/>
        <w:t>\frac{z_i^{\max}-z_i(t)}</w:t>
        <w:br/>
        <w:t>{z_i^{\max}-z_i^{\mathrm{ref}}}.</w:t>
      </w:r>
    </w:p>
    <w:p>
      <w:r>
        <w:t>If the reference equals the bound, use an absolute or problem-specific normalization. The bottleneck diagnostic is</w:t>
      </w:r>
    </w:p>
    <w:p>
      <w:pPr>
        <w:jc w:val="center"/>
      </w:pPr>
      <w:r>
        <w:rPr>
          <w:rFonts w:ascii="Cambria Math" w:hAnsi="Cambria Math"/>
          <w:i/>
          <w:sz w:val="21"/>
        </w:rPr>
        <w:t>M(t)=\min_i\sigma_i(t).</w:t>
      </w:r>
    </w:p>
    <w:p>
      <w:r>
        <w:t>This is not a welfare aggregate. It reports proximity to the nearest non-compensable boundary.</w:t>
      </w:r>
    </w:p>
    <w:p>
      <w:r>
        <w:t>Let \(W_\gamma\) be an explicitly defined nested family of disturbance sets satisfying \(W_{\gamma_1}\subseteq W_{\gamma_2}\) for \(\gamma_1&lt;\gamma_2\). A robustness margin is</w:t>
      </w:r>
    </w:p>
    <w:p>
      <w:pPr>
        <w:jc w:val="center"/>
      </w:pPr>
      <w:r>
        <w:rPr>
          <w:rFonts w:ascii="Cambria Math" w:hAnsi="Cambria Math"/>
          <w:i/>
          <w:sz w:val="21"/>
        </w:rPr>
        <w:t>\Gamma(z_0)</w:t>
        <w:br/>
        <w:t>=</w:t>
        <w:br/>
        <w:t>\sup\left\{</w:t>
        <w:br/>
        <w:t>\gamma:</w:t>
        <w:br/>
        <w:t>z_0\in</w:t>
        <w:br/>
        <w:t>\operatorname{RViab}_{\mathfrak A_q}(\mathsf K_{q,\Omega},T;\Delta_\gamma)</w:t>
        <w:br/>
        <w:t>\right\}.</w:t>
      </w:r>
    </w:p>
    <w:p>
      <w:pPr>
        <w:pStyle w:val="Heading2"/>
      </w:pPr>
      <w:r>
        <w:t>7.5 Dynamics-aware safety value and intervention cost</w:t>
      </w:r>
    </w:p>
    <w:p>
      <w:r>
        <w:t>For \(K=\{x:q_j(x)\ge0,\ j=1,\ldots,m\}\), define</w:t>
      </w:r>
    </w:p>
    <w:p>
      <w:pPr>
        <w:jc w:val="center"/>
      </w:pPr>
      <w:r>
        <w:rPr>
          <w:rFonts w:ascii="Cambria Math" w:hAnsi="Cambria Math"/>
          <w:i/>
          <w:sz w:val="21"/>
        </w:rPr>
        <w:t>V_T(x)</w:t>
        <w:br/>
        <w:t>=</w:t>
        <w:br/>
        <w:t>\sup_{\pi}</w:t>
        <w:br/>
        <w:t>\inf_{\delta}</w:t>
        <w:br/>
        <w:t>\inf_{0\le t\le T}</w:t>
        <w:br/>
        <w:t>\min_j q_j(x^{\pi,\delta}(t)).</w:t>
      </w:r>
    </w:p>
    <w:p>
      <w:r>
        <w:t>When the policy supremum is attained and the declared trajectory class is well posed, \(V_T(x)\ge0\) is equivalent to finite-horizon robust viability. Without attainment, a supremum of zero may be approached by unsafe policies; one must use an attained policy or the appropriate viability closure. Unlike geometric slack, \(V_T\) incorporates dynamics, policy, disturbance, direction, and rate of approach.</w:t>
      </w:r>
    </w:p>
    <w:p>
      <w:r>
        <w:t>For target kernel \(\mathcal K\), emergency envelope \(\mathcal E\), and running intervention cost \(\ell\), define</w:t>
      </w:r>
    </w:p>
    <w:p>
      <w:pPr>
        <w:jc w:val="center"/>
      </w:pPr>
      <w:r>
        <w:rPr>
          <w:rFonts w:ascii="Cambria Math" w:hAnsi="Cambria Math"/>
          <w:i/>
          <w:sz w:val="21"/>
        </w:rPr>
        <w:t>J_{\mathcal E}(x)</w:t>
        <w:br/>
        <w:t>=</w:t>
        <w:br/>
        <w:t>\inf_{\pi,T}</w:t>
        <w:br/>
        <w:t>\left\{</w:t>
        <w:br/>
        <w:t>\int_0^T\ell(x(t),\pi(t))\,dt:</w:t>
        <w:br/>
        <w:t>x(t)\in\mathcal E,\ x(T)\in\mathcal K</w:t>
        <w:br/>
        <w:t>\right\}.</w:t>
      </w:r>
    </w:p>
    <w:p>
      <w:r>
        <w:t>Then \(J_{\mathcal E}=+\infty\) marks impossibility relative to the declared envelope and policy class, a positive finite value marks costly recovery, and zero applies to a state already in the target or reachable at zero registered cost.</w:t>
      </w:r>
    </w:p>
    <w:p>
      <w:pPr>
        <w:pStyle w:val="Heading2"/>
      </w:pPr>
      <w:r>
        <w:t>Box 5. Limitation — within-architecture scope</w:t>
      </w:r>
    </w:p>
    <w:p>
      <w:pPr>
        <w:spacing w:before="120" w:after="120"/>
        <w:ind w:left="504" w:right="360"/>
      </w:pPr>
      <w:r>
        <w:rPr>
          <w:i/>
          <w:color w:val="2F5D73"/>
        </w:rPr>
        <w:t>Operator I does not represent a change in state space, dynamics, boundary, higher-level identity, or implementable action architecture. Those changes belong to Operator II.</w:t>
      </w:r>
    </w:p>
    <w:p>
      <w:pPr>
        <w:pStyle w:val="Heading1"/>
      </w:pPr>
      <w:r>
        <w:t>8. Operator II: transformation between architectures</w:t>
      </w:r>
    </w:p>
    <w:p>
      <w:pPr>
        <w:pStyle w:val="Heading2"/>
      </w:pPr>
      <w:r>
        <w:t>8.1 Architecture graph</w:t>
      </w:r>
    </w:p>
    <w:p>
      <w:r>
        <w:t>Let</w:t>
      </w:r>
    </w:p>
    <w:p>
      <w:pPr>
        <w:jc w:val="center"/>
      </w:pPr>
      <w:r>
        <w:rPr>
          <w:rFonts w:ascii="Cambria Math" w:hAnsi="Cambria Math"/>
          <w:i/>
          <w:sz w:val="21"/>
        </w:rPr>
        <w:t>\mathcal G_A=(Q,E_A)</w:t>
      </w:r>
    </w:p>
    <w:p>
      <w:r>
        <w:t>be a graph of architectures and permitted transitions. A transition is</w:t>
      </w:r>
    </w:p>
    <w:p>
      <w:pPr>
        <w:jc w:val="center"/>
      </w:pPr>
      <w:r>
        <w:rPr>
          <w:rFonts w:ascii="Cambria Math" w:hAnsi="Cambria Math"/>
          <w:i/>
          <w:sz w:val="21"/>
        </w:rPr>
        <w:t>(q,z)</w:t>
        <w:br/>
        <w:t>\longrightarrow</w:t>
        <w:br/>
        <w:t>\left(q',R_{qq'}(z)\right),</w:t>
      </w:r>
    </w:p>
    <w:p>
      <w:r>
        <w:t>where \(R_{qq'}\) is a reset or translation map between potentially different state spaces. It carries forward physical stocks, capacities, obligations, affected populations, liabilities, and protected identity predicates.</w:t>
      </w:r>
    </w:p>
    <w:p>
      <w:r>
        <w:t>A hybrid trajectory is</w:t>
      </w:r>
    </w:p>
    <w:p>
      <w:pPr>
        <w:jc w:val="center"/>
      </w:pPr>
      <w:r>
        <w:rPr>
          <w:rFonts w:ascii="Cambria Math" w:hAnsi="Cambria Math"/>
          <w:i/>
          <w:sz w:val="21"/>
        </w:rPr>
        <w:t>\tau=</w:t>
        <w:br/>
        <w:t>(q_0,z_0)</w:t>
        <w:br/>
        <w:t>ightarrow(q_1,z_1)</w:t>
        <w:br/>
        <w:t>ightarrow\cdots .</w:t>
      </w:r>
    </w:p>
    <w:p>
      <w:pPr>
        <w:pStyle w:val="Heading2"/>
      </w:pPr>
      <w:r>
        <w:t>8.2 Reach–avoid–maintain transformation</w:t>
      </w:r>
    </w:p>
    <w:p>
      <w:r>
        <w:t>Let \(F_{\mathrm{forbid}}\) be a forbidden set, \(K_{\mathrm{tr}}\) a transition region, and \(\mathsf K_{q',\Omega}\) the typed target region in architecture \(q'\). A transformation policy must:</w:t>
      </w:r>
    </w:p>
    <w:p>
      <w:pPr>
        <w:pStyle w:val="ListNumber"/>
      </w:pPr>
      <w:r>
        <w:t>avoid \(F_{\mathrm{forbid}}\);</w:t>
      </w:r>
    </w:p>
    <w:p>
      <w:pPr>
        <w:pStyle w:val="ListNumber"/>
      </w:pPr>
      <w:r>
        <w:t>respect transition constraints;</w:t>
      </w:r>
    </w:p>
    <w:p>
      <w:pPr>
        <w:pStyle w:val="ListNumber"/>
      </w:pPr>
      <w:r>
        <w:t>reach a state in the destination viability kernel;</w:t>
      </w:r>
    </w:p>
    <w:p>
      <w:pPr>
        <w:pStyle w:val="ListNumber"/>
      </w:pPr>
      <w:r>
        <w:t>maintain viability thereafter;</w:t>
      </w:r>
    </w:p>
    <w:p>
      <w:pPr>
        <w:pStyle w:val="ListNumber"/>
      </w:pPr>
      <w:r>
        <w:t>satisfy identity continuity and normative procedure.</w:t>
      </w:r>
    </w:p>
    <w:p>
      <w:r>
        <w:t>Formally, a candidate meta-policy \(\Pi\in\mathbb P^{\mathrm{meta}}\) seeks some \(q'\) and time \(T^*\) satisfying the hybrid reach–avoid–maintain conditions</w:t>
      </w:r>
    </w:p>
    <w:p>
      <w:pPr>
        <w:jc w:val="center"/>
      </w:pPr>
      <w:r>
        <w:rPr>
          <w:rFonts w:ascii="Cambria Math" w:hAnsi="Cambria Math"/>
          <w:i/>
          <w:sz w:val="21"/>
        </w:rPr>
        <w:t>(q(t),z(t))\notin F_{\mathrm{forbid}}</w:t>
        <w:br/>
        <w:t>\qquad\forall t,</w:t>
      </w:r>
    </w:p>
    <w:p>
      <w:pPr>
        <w:jc w:val="center"/>
      </w:pPr>
      <w:r>
        <w:rPr>
          <w:rFonts w:ascii="Cambria Math" w:hAnsi="Cambria Math"/>
          <w:i/>
          <w:sz w:val="21"/>
        </w:rPr>
        <w:t>(q(t),z(t))\in K_{\mathrm{tr}}(t)</w:t>
        <w:br/>
        <w:t>\qquad 0\le t&lt;T^*,</w:t>
      </w:r>
    </w:p>
    <w:p>
      <w:pPr>
        <w:jc w:val="center"/>
      </w:pPr>
      <w:r>
        <w:rPr>
          <w:rFonts w:ascii="Cambria Math" w:hAnsi="Cambria Math"/>
          <w:i/>
          <w:sz w:val="21"/>
        </w:rPr>
        <w:t>(q(T^*),z(T^*))</w:t>
        <w:br/>
        <w:t>\in</w:t>
        <w:br/>
        <w:t>\{q'\}\times</w:t>
        <w:br/>
        <w:t>\operatorname{RViab}_{\mathfrak A_{q'}}</w:t>
        <w:br/>
        <w:t>(\mathsf K_{q',\Omega},T'),</w:t>
      </w:r>
    </w:p>
    <w:p>
      <w:r>
        <w:t>followed by</w:t>
      </w:r>
    </w:p>
    <w:p>
      <w:pPr>
        <w:jc w:val="center"/>
      </w:pPr>
      <w:r>
        <w:rPr>
          <w:rFonts w:ascii="Cambria Math" w:hAnsi="Cambria Math"/>
          <w:i/>
          <w:sz w:val="21"/>
        </w:rPr>
        <w:t>z(t)\in\mathsf K_{q',\Omega}</w:t>
        <w:br/>
        <w:t>\qquad\forall t\in[T^*,T^*+T']</w:t>
      </w:r>
    </w:p>
    <w:p>
      <w:r>
        <w:t>under the destination architecture and declared disturbance class. The target is therefore not merely a point in a new state space; it is a state from which destination-architecture viability can be maintained.</w:t>
      </w:r>
    </w:p>
    <w:p>
      <w:pPr>
        <w:pStyle w:val="Heading2"/>
      </w:pPr>
      <w:r>
        <w:t>8.3 Cumulative harm and irreversibility</w:t>
      </w:r>
    </w:p>
    <w:p>
      <w:r>
        <w:t>For harm \(h_g(t)\) to group or system \(g\), require</w:t>
      </w:r>
    </w:p>
    <w:p>
      <w:pPr>
        <w:jc w:val="center"/>
      </w:pPr>
      <w:r>
        <w:rPr>
          <w:rFonts w:ascii="Cambria Math" w:hAnsi="Cambria Math"/>
          <w:i/>
          <w:sz w:val="21"/>
        </w:rPr>
        <w:t>\int_0^{T^*}h_g(t)\,dt</w:t>
        <w:br/>
        <w:t>\le H_g^{\max}.</w:t>
      </w:r>
    </w:p>
    <w:p>
      <w:r>
        <w:t>Irreversible outcomes belong to \(F_{\mathrm{irr}}\subseteq F_{\mathrm{forbid}}\). Under uncertainty:</w:t>
      </w:r>
    </w:p>
    <w:p>
      <w:pPr>
        <w:jc w:val="center"/>
      </w:pPr>
      <w:r>
        <w:rPr>
          <w:rFonts w:ascii="Cambria Math" w:hAnsi="Cambria Math"/>
          <w:i/>
          <w:sz w:val="21"/>
        </w:rPr>
        <w:t>\Pr\left[</w:t>
        <w:br/>
        <w:t>(q(t),z(t))\in F_{\mathrm{irr}}</w:t>
        <w:br/>
        <w:t>\text{ for some }t</w:t>
        <w:br/>
        <w:t>\right]</w:t>
        <w:br/>
        <w:t>\le\epsilon_{\mathrm{irr}}.</w:t>
      </w:r>
    </w:p>
    <w:p>
      <w:r>
        <w:t>The accepted probability is normatively specified and must identify who bears the risk.</w:t>
      </w:r>
    </w:p>
    <w:p>
      <w:pPr>
        <w:pStyle w:val="Heading2"/>
      </w:pPr>
      <w:r>
        <w:t>8.4 Restoration, adaptation, transition, and transformation</w:t>
      </w:r>
    </w:p>
    <w:p>
      <w:pPr>
        <w:pStyle w:val="ListBullet"/>
      </w:pPr>
      <w:r>
        <w:rPr>
          <w:b/>
        </w:rPr>
        <w:t>Restoration:</w:t>
      </w:r>
      <w:r>
        <w:t xml:space="preserve"> moves a degraded state toward a viable region without changing the architecture.</w:t>
      </w:r>
    </w:p>
    <w:p>
      <w:pPr>
        <w:pStyle w:val="ListBullet"/>
      </w:pPr>
      <w:r>
        <w:rPr>
          <w:b/>
        </w:rPr>
        <w:t>Adaptation:</w:t>
      </w:r>
      <w:r>
        <w:t xml:space="preserve"> changes behavior or parameters within the architecture.</w:t>
      </w:r>
    </w:p>
    <w:p>
      <w:pPr>
        <w:pStyle w:val="ListBullet"/>
      </w:pPr>
      <w:r>
        <w:rPr>
          <w:b/>
        </w:rPr>
        <w:t>Transition:</w:t>
      </w:r>
      <w:r>
        <w:t xml:space="preserve"> follows a time-bounded pathway between regimes; it may or may not change architecture.</w:t>
      </w:r>
    </w:p>
    <w:p>
      <w:pPr>
        <w:pStyle w:val="ListBullet"/>
      </w:pPr>
      <w:r>
        <w:rPr>
          <w:b/>
        </w:rPr>
        <w:t>Transformation:</w:t>
      </w:r>
      <w:r>
        <w:t xml:space="preserve"> changes state space, dynamics, institutions, boundary, identity realization, or implementable actions.</w:t>
      </w:r>
    </w:p>
    <w:p>
      <w:r>
        <w:t>Kernel emptiness in the current architecture means that Operator I cannot preserve all frozen constraints. It does not prove that Operator II succeeds.</w:t>
      </w:r>
    </w:p>
    <w:p>
      <w:pPr>
        <w:pStyle w:val="Heading2"/>
      </w:pPr>
      <w:r>
        <w:t>Box 6. Conjecture — transformability</w:t>
      </w:r>
    </w:p>
    <w:p>
      <w:pPr>
        <w:spacing w:before="120" w:after="120"/>
        <w:ind w:left="504" w:right="360"/>
      </w:pPr>
      <w:r>
        <w:rPr>
          <w:i/>
          <w:color w:val="2F5D73"/>
        </w:rPr>
        <w:t>**Transformability Conjecture:** For identifiable classes of systems, persistent contraction or emptiness of the within-architecture viability kernel predicts the need for architecture change earlier than failure of current output indicators.</w:t>
      </w:r>
    </w:p>
    <w:p>
      <w:r>
        <w:t>The terms “identifiable classes,” “contraction,” and “predicts” require formal and empirical development.</w:t>
      </w:r>
    </w:p>
    <w:p>
      <w:pPr>
        <w:pStyle w:val="Heading2"/>
      </w:pPr>
      <w:r>
        <w:t>8.5 Transition credibility</w:t>
      </w:r>
    </w:p>
    <w:p>
      <w:r>
        <w:t>A transition claim must specify:</w:t>
      </w:r>
    </w:p>
    <w:p>
      <w:pPr>
        <w:pStyle w:val="ListBullet"/>
      </w:pPr>
      <w:r>
        <w:t>destination architecture or target class;</w:t>
      </w:r>
    </w:p>
    <w:p>
      <w:pPr>
        <w:pStyle w:val="ListBullet"/>
      </w:pPr>
      <w:r>
        <w:t>deadline and milestones;</w:t>
      </w:r>
    </w:p>
    <w:p>
      <w:pPr>
        <w:pStyle w:val="ListBullet"/>
      </w:pPr>
      <w:r>
        <w:t>transition constraints;</w:t>
      </w:r>
    </w:p>
    <w:p>
      <w:pPr>
        <w:pStyle w:val="ListBullet"/>
      </w:pPr>
      <w:r>
        <w:t>resources and responsible actors;</w:t>
      </w:r>
    </w:p>
    <w:p>
      <w:pPr>
        <w:pStyle w:val="ListBullet"/>
      </w:pPr>
      <w:r>
        <w:t>identity-continuity test;</w:t>
      </w:r>
    </w:p>
    <w:p>
      <w:pPr>
        <w:pStyle w:val="ListBullet"/>
      </w:pPr>
      <w:r>
        <w:t>cumulative-harm budgets;</w:t>
      </w:r>
    </w:p>
    <w:p>
      <w:pPr>
        <w:pStyle w:val="ListBullet"/>
      </w:pPr>
      <w:r>
        <w:t>monitoring and correction triggers;</w:t>
      </w:r>
    </w:p>
    <w:p>
      <w:pPr>
        <w:pStyle w:val="ListBullet"/>
      </w:pPr>
      <w:r>
        <w:t>fallback or reversal conditions.</w:t>
      </w:r>
    </w:p>
    <w:p>
      <w:r>
        <w:t>Without these elements, “transition” is an aspiration rather than a modeled path.</w:t>
      </w:r>
    </w:p>
    <w:p>
      <w:pPr>
        <w:pStyle w:val="Heading2"/>
      </w:pPr>
      <w:r>
        <w:t>Box 6B. Interface principle — transition delay and justice</w:t>
      </w:r>
    </w:p>
    <w:p>
      <w:pPr>
        <w:spacing w:before="120" w:after="120"/>
        <w:ind w:left="504" w:right="360"/>
      </w:pPr>
      <w:r>
        <w:rPr>
          <w:i/>
          <w:color w:val="2F5D73"/>
        </w:rPr>
        <w:t>Transition language is not evidence of a transition path and must not legitimize indefinite postponement. Interim constraints must cover group-specific provision, burdens, rights, displacement, participation, cumulative harm, funding, responsible actors, milestones, and correction triggers. An ecologically viable destination reached through prohibited deprivation or irreversible damage is normatively inadmissible under the original specification.</w:t>
      </w:r>
    </w:p>
    <w:p>
      <w:pPr>
        <w:pStyle w:val="Heading2"/>
      </w:pPr>
      <w:r>
        <w:t>8.6 Architecture-change costs and option value</w:t>
      </w:r>
    </w:p>
    <w:p>
      <w:r>
        <w:t>Transformation consumes resources and may close future options. Let \(C_{qq'}(z)\) denote financial, material, ecological, institutional, and social transition costs. Let \(O(q,z)\) represent the set of future architecture transitions still available. A meta-policy should account for both immediate viability and option preservation.</w:t>
      </w:r>
    </w:p>
    <w:p>
      <w:r>
        <w:t>A transition can be rejected because it:</w:t>
      </w:r>
    </w:p>
    <w:p>
      <w:pPr>
        <w:pStyle w:val="ListBullet"/>
      </w:pPr>
      <w:r>
        <w:t>crosses an irreversible state;</w:t>
      </w:r>
    </w:p>
    <w:p>
      <w:pPr>
        <w:pStyle w:val="ListBullet"/>
      </w:pPr>
      <w:r>
        <w:t>violates cumulative-harm budgets;</w:t>
      </w:r>
    </w:p>
    <w:p>
      <w:pPr>
        <w:pStyle w:val="ListBullet"/>
      </w:pPr>
      <w:r>
        <w:t>destroys higher-order identity;</w:t>
      </w:r>
    </w:p>
    <w:p>
      <w:pPr>
        <w:pStyle w:val="ListBullet"/>
      </w:pPr>
      <w:r>
        <w:t>transfers prohibited burdens;</w:t>
      </w:r>
    </w:p>
    <w:p>
      <w:pPr>
        <w:pStyle w:val="ListBullet"/>
      </w:pPr>
      <w:r>
        <w:t>makes the destination architecture nonviable under plausible disturbances;</w:t>
      </w:r>
    </w:p>
    <w:p>
      <w:pPr>
        <w:pStyle w:val="ListBullet"/>
      </w:pPr>
      <w:r>
        <w:t>eliminates necessary future options.</w:t>
      </w:r>
    </w:p>
    <w:p>
      <w:r>
        <w:t>The architecture does not assume that transformation is always desirable. Some transformations preserve one function by eliminating others. Typed judgments and identity continuity evaluate those changes.</w:t>
      </w:r>
    </w:p>
    <w:p>
      <w:pPr>
        <w:pStyle w:val="Heading2"/>
      </w:pPr>
      <w:r>
        <w:t>8.7 Unknown architectures</w:t>
      </w:r>
    </w:p>
    <w:p>
      <w:r>
        <w:t>The registry \(\mathbb A\) is incomplete. An assessment can distinguish:</w:t>
      </w:r>
    </w:p>
    <w:p>
      <w:pPr>
        <w:pStyle w:val="ListBullet"/>
      </w:pPr>
      <w:r>
        <w:t>no viable path among known architectures;</w:t>
      </w:r>
    </w:p>
    <w:p>
      <w:pPr>
        <w:pStyle w:val="ListBullet"/>
      </w:pPr>
      <w:r>
        <w:t>evidence that no path exists within a bounded architecture class;</w:t>
      </w:r>
    </w:p>
    <w:p>
      <w:pPr>
        <w:pStyle w:val="ListBullet"/>
      </w:pPr>
      <w:r>
        <w:t>genuine global impossibility under stated physical or logical constraints;</w:t>
      </w:r>
    </w:p>
    <w:p>
      <w:pPr>
        <w:pStyle w:val="ListBullet"/>
      </w:pPr>
      <w:r>
        <w:t>indeterminacy caused by unrepresented architectures.</w:t>
      </w:r>
    </w:p>
    <w:p>
      <w:r>
        <w:t>This distinction prevents “no known transformation” from being reported as universal impossibility.</w:t>
      </w:r>
    </w:p>
    <w:p>
      <w:pPr>
        <w:pStyle w:val="Heading2"/>
      </w:pPr>
      <w:r>
        <w:t>Box 6A. Proof obligation — hybrid sustainability semantics</w:t>
      </w:r>
    </w:p>
    <w:p>
      <w:pPr>
        <w:spacing w:before="120" w:after="120"/>
        <w:ind w:left="504" w:right="360"/>
      </w:pPr>
      <w:r>
        <w:rPr>
          <w:i/>
          <w:color w:val="2F5D73"/>
        </w:rPr>
        <w:t>Future formal work must define the admissible sequence of architecture changes, composition of disturbances across modes, translation of obligations and uncertainty through reset maps, and conditions under which a hybrid strategy preserves the complete typed judgment.</w:t>
      </w:r>
    </w:p>
    <w:p>
      <w:pPr>
        <w:pStyle w:val="Heading2"/>
      </w:pPr>
      <w:r>
        <w:t>8.8 Official system-level assessment map</w:t>
      </w:r>
    </w:p>
    <w:p>
      <w:r>
        <w:t>Let</w:t>
      </w:r>
    </w:p>
    <w:p>
      <w:pPr>
        <w:jc w:val="center"/>
      </w:pPr>
      <w:r>
        <w:rPr>
          <w:rFonts w:ascii="Cambria Math" w:hAnsi="Cambria Math"/>
          <w:i/>
          <w:sz w:val="21"/>
        </w:rPr>
        <w:t>\mathcal K_q</w:t>
        <w:br/>
        <w:t>=</w:t>
        <w:br/>
        <w:t>\operatorname{RViab}_{\mathfrak A_q}(\mathsf K_{q,\Omega},T)</w:t>
      </w:r>
    </w:p>
    <w:p>
      <w:r>
        <w:t>be the current architecture's robust kernel. Let \(\mathcal E_q\supseteq\mathsf K_{q,\Omega}\) be an authorized emergency envelope and</w:t>
      </w:r>
    </w:p>
    <w:p>
      <w:pPr>
        <w:jc w:val="center"/>
      </w:pPr>
      <w:r>
        <w:rPr>
          <w:rFonts w:ascii="Cambria Math" w:hAnsi="Cambria Math"/>
          <w:i/>
          <w:sz w:val="21"/>
        </w:rPr>
        <w:t>\mathcal C_q</w:t>
        <w:br/>
        <w:t>=</w:t>
        <w:br/>
        <w:t>\operatorname{Capt}^{H}_{\mathbb P_q^{\mathrm{impl}},\Delta_q}</w:t>
        <w:br/>
        <w:t>(\mathcal K_q;\mathcal E_q)</w:t>
      </w:r>
    </w:p>
    <w:p>
      <w:r>
        <w:t>its robust capture basin over recovery horizon \(H\). Let \(\operatorname{Trans}_\Omega(q_0,z_0)\) mean that an admissible meta-policy satisfies the Operator II reach–avoid–maintain, identity, transition-relaxation, and cumulative-harm conditions and reaches a destination kernel.</w:t>
      </w:r>
    </w:p>
    <w:p>
      <w:r>
        <w:t>The official assessment map is ordered as</w:t>
      </w:r>
    </w:p>
    <w:p>
      <w:pPr>
        <w:jc w:val="center"/>
      </w:pPr>
      <w:r>
        <w:rPr>
          <w:rFonts w:ascii="Cambria Math" w:hAnsi="Cambria Math"/>
          <w:i/>
          <w:sz w:val="21"/>
        </w:rPr>
        <w:t>\mathfrak J_\Omega(q_0,z_0)</w:t>
        <w:br/>
        <w:t>=</w:t>
        <w:br/>
        <w:t>\begin{cases}</w:t>
        <w:br/>
        <w:t>\text{currently viable},&amp;z_0\in\mathcal K_{q_0},\\</w:t>
        <w:br/>
        <w:t>\text{recoverable within architecture},&amp;z_0\notin\mathcal K_{q_0},\ z_0\in\mathcal C_{q_0},\\</w:t>
        <w:br/>
        <w:t>\text{transformationally viable},&amp;z_0\notin\mathcal C_{q_0},\ \operatorname{Trans}_\Omega(q_0,z_0),\\</w:t>
        <w:br/>
        <w:t>\text{infeasible within known architectures},&amp;\text{all registered paths fail under discharged interfaces},\\</w:t>
        <w:br/>
        <w:t>\text{indeterminate},&amp;\text{otherwise}.</w:t>
        <w:br/>
        <w:t>\end{cases}</w:t>
      </w:r>
    </w:p>
    <w:p>
      <w:r>
        <w:t>Every status is accompanied by \(\mathbf J_\Omega=(P,F,N,R,E)\), its horizon, confidence, boundary adequacy, and unresolved proof obligations. “Infeasible within known architectures” is not universal impossibility unless the architecture class and physical obstruction justify that stronger conclusion.</w:t>
      </w:r>
    </w:p>
    <w:p>
      <w:pPr>
        <w:pBdr>
          <w:bottom w:val="single" w:sz="6" w:color="AABBC5"/>
        </w:pBdr>
      </w:pPr>
    </w:p>
    <w:p>
      <w:r>
        <w:br w:type="page"/>
      </w:r>
    </w:p>
    <w:p>
      <w:pPr>
        <w:pStyle w:val="Heading1"/>
      </w:pPr>
      <w:r>
        <w:t>Part III. Composition and Embeddedness</w:t>
      </w:r>
    </w:p>
    <w:p>
      <w:pPr>
        <w:pStyle w:val="Heading2"/>
      </w:pPr>
      <w:r>
        <w:t>8.8A Recovery impossibility inside the nominal safe set</w:t>
      </w:r>
    </w:p>
    <w:p>
      <w:r>
        <w:t>Let \(\mathcal K_q=\operatorname{RViab}_{\mathfrak A_q}(\mathsf K_{q,\Omega},T)\). If \(z_0\in\mathsf K_{q,\Omega}\) can be driven to \(\mathcal K_q\) while remaining in \(\mathsf K_{q,\Omega}\), concatenating that finite recovery policy with the kernel policy makes \(z_0\) viable. Therefore</w:t>
      </w:r>
    </w:p>
    <w:p>
      <w:pPr>
        <w:jc w:val="center"/>
      </w:pPr>
      <w:r>
        <w:rPr>
          <w:rFonts w:ascii="Cambria Math" w:hAnsi="Cambria Math"/>
          <w:i/>
          <w:sz w:val="21"/>
        </w:rPr>
        <w:t>z_0\in\mathsf K_{q,\Omega}\setminus\mathcal K_q</w:t>
        <w:br/>
        <w:t>\quad\Longrightarrow\quad</w:t>
        <w:br/>
        <w:t>\text{no recovery path to }\mathcal K_q</w:t>
        <w:br/>
        <w:t>\text{ can stay entirely in }\mathsf K_{q,\Omega}.</w:t>
      </w:r>
    </w:p>
    <w:p>
      <w:r>
        <w:t>A nontrivial recovery concept consequently requires at least one of:</w:t>
      </w:r>
    </w:p>
    <w:p>
      <w:pPr>
        <w:pStyle w:val="ListBullet"/>
      </w:pPr>
      <w:r>
        <w:t>an authorized emergency envelope \(\mathcal E_q\supsetneq\mathsf K_{q,\Omega}\);</w:t>
      </w:r>
    </w:p>
    <w:p>
      <w:pPr>
        <w:pStyle w:val="ListBullet"/>
      </w:pPr>
      <w:r>
        <w:t>a temporarily relaxed but prospectively governed transition set;</w:t>
      </w:r>
    </w:p>
    <w:p>
      <w:pPr>
        <w:pStyle w:val="ListBullet"/>
      </w:pPr>
      <w:r>
        <w:t>a changed policy/information architecture;</w:t>
      </w:r>
    </w:p>
    <w:p>
      <w:pPr>
        <w:pStyle w:val="ListBullet"/>
      </w:pPr>
      <w:r>
        <w:t>a new frozen specification, reported as a new assessment rather than retroactive improvement.</w:t>
      </w:r>
    </w:p>
    <w:p>
      <w:r>
        <w:t>The same logic applies in information space: physical recoverability does not imply institutional recoverability unless the belief and institutional state reach a viable information-state kernel while the physical trajectory remains inside the authorized envelope.</w:t>
      </w:r>
    </w:p>
    <w:p>
      <w:pPr>
        <w:pStyle w:val="Heading2"/>
      </w:pPr>
      <w:r>
        <w:t>8.9 Restricted fixed-review transformation theorem</w:t>
      </w:r>
    </w:p>
    <w:p>
      <w:r>
        <w:t>The first formal Operator II result uses a finite architecture graph and fixed review times \(t_0&lt;\cdots&lt;t_N\). For each architecture \(q\), let \(\mathsf Z_q\) be compact, let \(\mathsf K_q^{tr}\) be a closed transition-safe set, and let \(\mathcal T_q(z,a,d)\) and \(F_q(z,a,d)\) be exact compact tube and endpoint correspondences over one review interval. Each permitted edge \(e:q\to q'\) has a closed guard and a typed reset correspondence \(R_e\) that translates physical stocks, liabilities, protected identity, and unresolved obligations. Non-relaxable constraints and cumulative-harm budgets are included in the augmented state.</w:t>
      </w:r>
    </w:p>
    <w:p>
      <w:r>
        <w:t>Let the terminal set be the disjoint union of already established destination robust kernels. Define \(W_0\) as that terminal set. Recursively, \((q,z)\in W_{n+1}\) when there exists an admissible within-mode action and, where selected, one permitted edge such that for every disturbance:</w:t>
      </w:r>
    </w:p>
    <w:p>
      <w:pPr>
        <w:pStyle w:val="ListNumber"/>
      </w:pPr>
      <w:r>
        <w:t>the exact inter-review tube remains in \(\mathsf K_q^{tr}\);</w:t>
      </w:r>
    </w:p>
    <w:p>
      <w:pPr>
        <w:pStyle w:val="ListNumber"/>
      </w:pPr>
      <w:r>
        <w:t>cumulative harm and non-relaxable constraints remain admissible;</w:t>
      </w:r>
    </w:p>
    <w:p>
      <w:pPr>
        <w:pStyle w:val="ListNumber"/>
      </w:pPr>
      <w:r>
        <w:t>the endpoint, or every typed reset successor, lies in \(W_n\).</w:t>
      </w:r>
    </w:p>
    <w:p>
      <w:r>
        <w:t>Assume compact nonempty action values, closed graphs, exact tube/endpoint maps, and at most one transition per interval. Then, by induction on \(n\), membership in \(W_n\) is equivalent to existence of a causal fixed-review meta-policy that reaches a destination robust kernel within at most \(n\) intervals while satisfying transition safety, identity, liability, and harm constraints. Concatenating the destination-kernel policy gives reach–avoid–maintain behavior.</w:t>
      </w:r>
    </w:p>
    <w:p>
      <w:r>
        <w:t>This finite theorem excludes Zeno behavior by construction. It does not claim a general continuous-hybrid iff, generic MILP decidability, partial-observation solution, or stochastic/strategic extension. Those are subsequent research programmes.</w:t>
      </w:r>
    </w:p>
    <w:p>
      <w:pPr>
        <w:pStyle w:val="Heading1"/>
      </w:pPr>
      <w:r>
        <w:t>9. Boundary-interface adequacy</w:t>
      </w:r>
    </w:p>
    <w:p>
      <w:r>
        <w:t>Boundary adequacy is formulated as a property-relative interface principle.</w:t>
      </w:r>
    </w:p>
    <w:p>
      <w:pPr>
        <w:pStyle w:val="Heading2"/>
      </w:pPr>
      <w:r>
        <w:t>Box 7. Interface principle — boundary adequacy</w:t>
      </w:r>
    </w:p>
    <w:p>
      <w:pPr>
        <w:spacing w:before="120" w:after="120"/>
        <w:ind w:left="504" w:right="360"/>
      </w:pPr>
      <w:r>
        <w:rPr>
          <w:i/>
          <w:color w:val="2F5D73"/>
        </w:rPr>
        <w:t>Every decision-relevant influence crossing boundary \(B\) must be internalized, represented by a typed interface assumption or guarantee, bounded by a disturbance or scenario envelope, or accompanied by an explicit negligibility claim and sensitivity bound.</w:t>
      </w:r>
    </w:p>
    <w:p>
      <w:r>
        <w:t>For interface \(e\), define</w:t>
      </w:r>
    </w:p>
    <w:p>
      <w:pPr>
        <w:jc w:val="center"/>
      </w:pPr>
      <w:r>
        <w:rPr>
          <w:rFonts w:ascii="Cambria Math" w:hAnsi="Cambria Math"/>
          <w:i/>
          <w:sz w:val="21"/>
        </w:rPr>
        <w:t>C_e=(A_e,G_e,W_e,\epsilon_e,E_e),</w:t>
      </w:r>
    </w:p>
    <w:p>
      <w:r>
        <w:t>where \(A_e\) is an environmental assumption, \(G_e\) an optional guarantee, \(W_e\) a disturbance envelope, \(\epsilon_e\) an accepted error or failure probability, and \(E_e\) supporting evidence.</w:t>
      </w:r>
    </w:p>
    <w:p>
      <w:r>
        <w:t>Not every environment guarantees behavior. Some interfaces are adversarial bounds, scenarios, unknowns, or monitoring obligations. A boundary certificate must state which kind applies.</w:t>
      </w:r>
    </w:p>
    <w:p>
      <w:r>
        <w:t>A model cut is adequate for proposition \(H\) when discharged interfaces and negligibility bounds support the claim that plausible excluded influences would not reverse \(H\) at the declared confidence. This is not metaphysical completeness. It is auditable truncation.</w:t>
      </w:r>
    </w:p>
    <w:p>
      <w:pPr>
        <w:pStyle w:val="Heading2"/>
      </w:pPr>
      <w:r>
        <w:t>9.1 Boundary audit</w:t>
      </w:r>
    </w:p>
    <w:p>
      <w:r>
        <w:t>For every interface, ask:</w:t>
      </w:r>
    </w:p>
    <w:p>
      <w:pPr>
        <w:pStyle w:val="ListNumber"/>
      </w:pPr>
      <w:r>
        <w:t>What crosses the boundary?</w:t>
      </w:r>
    </w:p>
    <w:p>
      <w:pPr>
        <w:pStyle w:val="ListNumber"/>
      </w:pPr>
      <w:r>
        <w:t>Is it an input, output, disturbance, obligation, or affected population?</w:t>
      </w:r>
    </w:p>
    <w:p>
      <w:pPr>
        <w:pStyle w:val="ListNumber"/>
      </w:pPr>
      <w:r>
        <w:t>Is its behavior endogenous, guaranteed, probabilistic, bounded, scenario-based, or unknown?</w:t>
      </w:r>
    </w:p>
    <w:p>
      <w:pPr>
        <w:pStyle w:val="ListNumber"/>
      </w:pPr>
      <w:r>
        <w:t>What evidence supports the envelope?</w:t>
      </w:r>
    </w:p>
    <w:p>
      <w:pPr>
        <w:pStyle w:val="ListNumber"/>
      </w:pPr>
      <w:r>
        <w:t>Could violation reverse the assessment?</w:t>
      </w:r>
    </w:p>
    <w:p>
      <w:pPr>
        <w:pStyle w:val="ListNumber"/>
      </w:pPr>
      <w:r>
        <w:t>What monitoring detects interface failure?</w:t>
      </w:r>
    </w:p>
    <w:p>
      <w:pPr>
        <w:pStyle w:val="ListNumber"/>
      </w:pPr>
      <w:r>
        <w:t>What revision is triggered?</w:t>
      </w:r>
    </w:p>
    <w:p>
      <w:pPr>
        <w:pStyle w:val="Heading2"/>
      </w:pPr>
      <w:r>
        <w:t>Box 8. Placeholder — omitted-edge discovery</w:t>
      </w:r>
    </w:p>
    <w:p>
      <w:pPr>
        <w:spacing w:before="120" w:after="120"/>
        <w:ind w:left="504" w:right="360"/>
      </w:pPr>
      <w:r>
        <w:rPr>
          <w:i/>
          <w:color w:val="2F5D73"/>
        </w:rPr>
        <w:t>A complete algorithm for discovering every consequential omitted interface is not assumed. Future work may combine causal discovery, supply-chain analysis, stakeholder inquiry, sensitivity analysis, and adversarial model review.</w:t>
      </w:r>
    </w:p>
    <w:p>
      <w:pPr>
        <w:pBdr>
          <w:bottom w:val="single" w:sz="6" w:color="AABBC5"/>
        </w:pBdr>
      </w:pPr>
    </w:p>
    <w:p>
      <w:pPr>
        <w:pStyle w:val="Heading1"/>
      </w:pPr>
      <w:r>
        <w:t>10. Typed dependency hypergraph</w:t>
      </w:r>
    </w:p>
    <w:p>
      <w:r>
        <w:t>Let</w:t>
      </w:r>
    </w:p>
    <w:p>
      <w:pPr>
        <w:jc w:val="center"/>
      </w:pPr>
      <w:r>
        <w:rPr>
          <w:rFonts w:ascii="Cambria Math" w:hAnsi="Cambria Math"/>
          <w:i/>
          <w:sz w:val="21"/>
        </w:rPr>
        <w:t>\mathcal H=(V,E,\tau_E)</w:t>
      </w:r>
    </w:p>
    <w:p>
      <w:r>
        <w:t>be a directed hypergraph in which an edge may connect multiple source systems to one target or one source to multiple affected systems. Edge type \(\tau_E\) includes: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8EF"/>
            <w:vAlign w:val="center"/>
          </w:tcPr>
          <w:p>
            <w:r>
              <w:rPr>
                <w:b/>
              </w:rPr>
              <w:t>Edge type</w:t>
            </w:r>
          </w:p>
        </w:tc>
        <w:tc>
          <w:tcPr>
            <w:tcW w:type="dxa" w:w="3216"/>
            <w:shd w:fill="DCE8EF"/>
            <w:vAlign w:val="center"/>
          </w:tcPr>
          <w:p>
            <w:r>
              <w:rPr>
                <w:b/>
              </w:rPr>
              <w:t>Meaning</w:t>
            </w:r>
          </w:p>
        </w:tc>
        <w:tc>
          <w:tcPr>
            <w:tcW w:type="dxa" w:w="3216"/>
            <w:shd w:fill="DCE8EF"/>
            <w:vAlign w:val="center"/>
          </w:tcPr>
          <w:p>
            <w:r>
              <w:rPr>
                <w:b/>
              </w:rPr>
              <w:t>Architectural effect</w:t>
            </w:r>
          </w:p>
        </w:tc>
      </w:tr>
      <w:tr>
        <w:tc>
          <w:tcPr>
            <w:tcW w:type="dxa" w:w="3216"/>
          </w:tcPr>
          <w:p>
            <w:r>
              <w:t>Obligatory support</w:t>
            </w:r>
          </w:p>
        </w:tc>
        <w:tc>
          <w:tcPr>
            <w:tcW w:type="dxa" w:w="3216"/>
          </w:tcPr>
          <w:p>
            <w:r>
              <w:t>Protected identity of \(A\) requires a function of \(B\)</w:t>
            </w:r>
          </w:p>
        </w:tc>
        <w:tc>
          <w:tcPr>
            <w:tcW w:type="dxa" w:w="3216"/>
          </w:tcPr>
          <w:p>
            <w:r>
              <w:t>Relevant function becomes a constraint or interface obligation</w:t>
            </w:r>
          </w:p>
        </w:tc>
      </w:tr>
      <w:tr>
        <w:tc>
          <w:tcPr>
            <w:tcW w:type="dxa" w:w="3216"/>
          </w:tcPr>
          <w:p>
            <w:r>
              <w:t>Optional/substitutable support</w:t>
            </w:r>
          </w:p>
        </w:tc>
        <w:tc>
          <w:tcPr>
            <w:tcW w:type="dxa" w:w="3216"/>
          </w:tcPr>
          <w:p>
            <w:r>
              <w:t>Function may be replaced under a substitution test</w:t>
            </w:r>
          </w:p>
        </w:tc>
        <w:tc>
          <w:tcPr>
            <w:tcW w:type="dxa" w:w="3216"/>
          </w:tcPr>
          <w:p>
            <w:r>
              <w:t>Replacement allowed only under registered conditions</w:t>
            </w:r>
          </w:p>
        </w:tc>
      </w:tr>
      <w:tr>
        <w:tc>
          <w:tcPr>
            <w:tcW w:type="dxa" w:w="3216"/>
          </w:tcPr>
          <w:p>
            <w:r>
              <w:t>Harmful impact</w:t>
            </w:r>
          </w:p>
        </w:tc>
        <w:tc>
          <w:tcPr>
            <w:tcW w:type="dxa" w:w="3216"/>
          </w:tcPr>
          <w:p>
            <w:r>
              <w:t>\(A\) affects protected system or population \(B\)</w:t>
            </w:r>
          </w:p>
        </w:tc>
        <w:tc>
          <w:tcPr>
            <w:tcW w:type="dxa" w:w="3216"/>
          </w:tcPr>
          <w:p>
            <w:r>
              <w:t>Relational or normative constraint enters registry</w:t>
            </w:r>
          </w:p>
        </w:tc>
      </w:tr>
      <w:tr>
        <w:tc>
          <w:tcPr>
            <w:tcW w:type="dxa" w:w="3216"/>
          </w:tcPr>
          <w:p>
            <w:r>
              <w:t>Mere nesting</w:t>
            </w:r>
          </w:p>
        </w:tc>
        <w:tc>
          <w:tcPr>
            <w:tcW w:type="dxa" w:w="3216"/>
          </w:tcPr>
          <w:p>
            <w:r>
              <w:t>\(B\subset A\) without declared protection</w:t>
            </w:r>
          </w:p>
        </w:tc>
        <w:tc>
          <w:tcPr>
            <w:tcW w:type="dxa" w:w="3216"/>
          </w:tcPr>
          <w:p>
            <w:r>
              <w:t>Sacrifice is representable but must be reported</w:t>
            </w:r>
          </w:p>
        </w:tc>
      </w:tr>
      <w:tr>
        <w:tc>
          <w:tcPr>
            <w:tcW w:type="dxa" w:w="3216"/>
          </w:tcPr>
          <w:p>
            <w:r>
              <w:t>Shared-source dependence</w:t>
            </w:r>
          </w:p>
        </w:tc>
        <w:tc>
          <w:tcPr>
            <w:tcW w:type="dxa" w:w="3216"/>
          </w:tcPr>
          <w:p>
            <w:r>
              <w:t>Multiple systems draw from one source</w:t>
            </w:r>
          </w:p>
        </w:tc>
        <w:tc>
          <w:tcPr>
            <w:tcW w:type="dxa" w:w="3216"/>
          </w:tcPr>
          <w:p>
            <w:r>
              <w:t>Aggregate withdrawal and allocation enter the model</w:t>
            </w:r>
          </w:p>
        </w:tc>
      </w:tr>
      <w:tr>
        <w:tc>
          <w:tcPr>
            <w:tcW w:type="dxa" w:w="3216"/>
          </w:tcPr>
          <w:p>
            <w:r>
              <w:t>Shared-sink contribution</w:t>
            </w:r>
          </w:p>
        </w:tc>
        <w:tc>
          <w:tcPr>
            <w:tcW w:type="dxa" w:w="3216"/>
          </w:tcPr>
          <w:p>
            <w:r>
              <w:t>Multiple systems burden one sink</w:t>
            </w:r>
          </w:p>
        </w:tc>
        <w:tc>
          <w:tcPr>
            <w:tcW w:type="dxa" w:w="3216"/>
          </w:tcPr>
          <w:p>
            <w:r>
              <w:t>Aggregate burden and responsibility enter the model</w:t>
            </w:r>
          </w:p>
        </w:tc>
      </w:tr>
    </w:tbl>
    <w:p/>
    <w:p>
      <w:r>
        <w:t>Typed edges resolve the apparent tension between recursion and scale. A containing system is not obliged to preserve every nested subsystem merely because it contains it. Obligatory support, impact, or normative edges create protection. Mere nesting does not.</w:t>
      </w:r>
    </w:p>
    <w:p>
      <w:pPr>
        <w:pStyle w:val="Heading2"/>
      </w:pPr>
      <w:r>
        <w:t>10.1 Recursive dependency</w:t>
      </w:r>
    </w:p>
    <w:p>
      <w:r>
        <w:t>For obligatory support edge</w:t>
      </w:r>
    </w:p>
    <w:p>
      <w:pPr>
        <w:jc w:val="center"/>
      </w:pPr>
      <w:r>
        <w:rPr>
          <w:rFonts w:ascii="Cambria Math" w:hAnsi="Cambria Math"/>
          <w:i/>
          <w:sz w:val="21"/>
        </w:rPr>
        <w:t>S_a\xleftarrow{q}S_b,</w:t>
      </w:r>
    </w:p>
    <w:p>
      <w:r>
        <w:t>loss of service \(q\) from \(S_b\) can force \(S_a\) outside its functional region. Recursive assessment follows obligatory and impact edges until they terminate in internalized modules, discharged boundary contracts, or justified negligibility claims.</w:t>
      </w:r>
    </w:p>
    <w:p>
      <w:pPr>
        <w:pStyle w:val="Heading2"/>
      </w:pPr>
      <w:r>
        <w:t>10.2 Scale lattice</w:t>
      </w:r>
    </w:p>
    <w:p>
      <w:r>
        <w:t>Systems may be partially ordered by containment or jurisdiction:</w:t>
      </w:r>
    </w:p>
    <w:p>
      <w:pPr>
        <w:jc w:val="center"/>
      </w:pPr>
      <w:r>
        <w:rPr>
          <w:rFonts w:ascii="Cambria Math" w:hAnsi="Cambria Math"/>
          <w:i/>
          <w:sz w:val="21"/>
        </w:rPr>
        <w:t>S_{\mathrm{individual}}</w:t>
        <w:br/>
        <w:t>\preceq</w:t>
        <w:br/>
        <w:t>S_{\mathrm{organization}}</w:t>
        <w:br/>
        <w:t>\preceq</w:t>
        <w:br/>
        <w:t>S_{\mathrm{community}}</w:t>
        <w:br/>
        <w:t>\preceq</w:t>
        <w:br/>
        <w:t>S_{\mathrm{region}}</w:t>
        <w:br/>
        <w:t>\preceq</w:t>
        <w:br/>
        <w:t>S_{\mathrm{planet}}.</w:t>
      </w:r>
    </w:p>
    <w:p>
      <w:r>
        <w:t>In general,</w:t>
      </w:r>
    </w:p>
    <w:p>
      <w:pPr>
        <w:jc w:val="center"/>
      </w:pPr>
      <w:r>
        <w:rPr>
          <w:rFonts w:ascii="Cambria Math" w:hAnsi="Cambria Math"/>
          <w:i/>
          <w:sz w:val="21"/>
        </w:rPr>
        <w:t>\operatorname{Sust}(S_i)</w:t>
        <w:br/>
        <w:t>\not\Rightarrow</w:t>
        <w:br/>
        <w:t>\operatorname{Sust}(S_j)</w:t>
      </w:r>
    </w:p>
    <w:p>
      <w:r>
        <w:t>and conversely. Typed edges and the frozen specification determine which cross-scale effects become obligations. A local firm may be viable while exceeding its allocated global commons budget; a region may be viable while violating a protected subgroup’s constraints.</w:t>
      </w:r>
    </w:p>
    <w:p>
      <w:pPr>
        <w:pBdr>
          <w:bottom w:val="single" w:sz="6" w:color="AABBC5"/>
        </w:pBdr>
      </w:pPr>
    </w:p>
    <w:p>
      <w:pPr>
        <w:pStyle w:val="Heading1"/>
      </w:pPr>
      <w:r>
        <w:t>11. Commons and aggregate burdens</w:t>
      </w:r>
    </w:p>
    <w:p>
      <w:r>
        <w:t>For commons node \(C\), let contributors be \(N_C\). Aggregate burden is</w:t>
      </w:r>
    </w:p>
    <w:p>
      <w:pPr>
        <w:jc w:val="center"/>
      </w:pPr>
      <w:r>
        <w:rPr>
          <w:rFonts w:ascii="Cambria Math" w:hAnsi="Cambria Math"/>
          <w:i/>
          <w:sz w:val="21"/>
        </w:rPr>
        <w:t>L_C</w:t>
        <w:br/>
        <w:t>=</w:t>
        <w:br/>
        <w:t>\mathcal L_C</w:t>
        <w:br/>
        <w:t>\left(\{z_i,a_i\}_{i\in N_C}\right),</w:t>
      </w:r>
    </w:p>
    <w:p>
      <w:r>
        <w:t>where \(\mathcal L_C\) may be additive, nonlinear, path-dependent, or threshold-sensitive. The simple case is</w:t>
      </w:r>
    </w:p>
    <w:p>
      <w:pPr>
        <w:jc w:val="center"/>
      </w:pPr>
      <w:r>
        <w:rPr>
          <w:rFonts w:ascii="Cambria Math" w:hAnsi="Cambria Math"/>
          <w:i/>
          <w:sz w:val="21"/>
        </w:rPr>
        <w:t>L_C=\sum_i l_i.</w:t>
      </w:r>
    </w:p>
    <w:p>
      <w:r>
        <w:t>The commons constraint is</w:t>
      </w:r>
    </w:p>
    <w:p>
      <w:pPr>
        <w:jc w:val="center"/>
      </w:pPr>
      <w:r>
        <w:rPr>
          <w:rFonts w:ascii="Cambria Math" w:hAnsi="Cambria Math"/>
          <w:i/>
          <w:sz w:val="21"/>
        </w:rPr>
        <w:t>L_C\le C_C,</w:t>
      </w:r>
    </w:p>
    <w:p>
      <w:r>
        <w:t>where \(C_C\) may itself be state-dependent and uncertain.</w:t>
      </w:r>
    </w:p>
    <w:p>
      <w:pPr>
        <w:pStyle w:val="Heading2"/>
      </w:pPr>
      <w:r>
        <w:t>11.1 Allocation</w:t>
      </w:r>
    </w:p>
    <w:p>
      <w:r>
        <w:t>An institutional or normative procedure assigns budgets or obligations \(b_i\) satisfying, where appropriate,</w:t>
      </w:r>
    </w:p>
    <w:p>
      <w:pPr>
        <w:jc w:val="center"/>
      </w:pPr>
      <w:r>
        <w:rPr>
          <w:rFonts w:ascii="Cambria Math" w:hAnsi="Cambria Math"/>
          <w:i/>
          <w:sz w:val="21"/>
        </w:rPr>
        <w:t>\sum_i b_i\le C_C.</w:t>
      </w:r>
    </w:p>
    <w:p>
      <w:r>
        <w:t>An actor may violate relational responsibility when</w:t>
      </w:r>
    </w:p>
    <w:p>
      <w:pPr>
        <w:jc w:val="center"/>
      </w:pPr>
      <w:r>
        <w:rPr>
          <w:rFonts w:ascii="Cambria Math" w:hAnsi="Cambria Math"/>
          <w:i/>
          <w:sz w:val="21"/>
        </w:rPr>
        <w:t>l_i&gt;b_i</w:t>
      </w:r>
    </w:p>
    <w:p>
      <w:r>
        <w:t>even if its individual contribution is not pivotal to threshold crossing.</w:t>
      </w:r>
    </w:p>
    <w:p>
      <w:r>
        <w:t>Allocation may consider:</w:t>
      </w:r>
    </w:p>
    <w:p>
      <w:pPr>
        <w:pStyle w:val="ListBullet"/>
      </w:pPr>
      <w:r>
        <w:t>equal shares;</w:t>
      </w:r>
    </w:p>
    <w:p>
      <w:pPr>
        <w:pStyle w:val="ListBullet"/>
      </w:pPr>
      <w:r>
        <w:t>historical responsibility;</w:t>
      </w:r>
    </w:p>
    <w:p>
      <w:pPr>
        <w:pStyle w:val="ListBullet"/>
      </w:pPr>
      <w:r>
        <w:t>capacity to mitigate;</w:t>
      </w:r>
    </w:p>
    <w:p>
      <w:pPr>
        <w:pStyle w:val="ListBullet"/>
      </w:pPr>
      <w:r>
        <w:t>benefit received;</w:t>
      </w:r>
    </w:p>
    <w:p>
      <w:pPr>
        <w:pStyle w:val="ListBullet"/>
      </w:pPr>
      <w:r>
        <w:t>basic needs;</w:t>
      </w:r>
    </w:p>
    <w:p>
      <w:pPr>
        <w:pStyle w:val="ListBullet"/>
      </w:pPr>
      <w:r>
        <w:t>vulnerability;</w:t>
      </w:r>
    </w:p>
    <w:p>
      <w:pPr>
        <w:pStyle w:val="ListBullet"/>
      </w:pPr>
      <w:r>
        <w:t>negotiated or legal rules.</w:t>
      </w:r>
    </w:p>
    <w:p>
      <w:r>
        <w:t>These are [N] and [E] inputs, not deductions from sink capacity alone.</w:t>
      </w:r>
    </w:p>
    <w:p>
      <w:pPr>
        <w:pStyle w:val="Heading2"/>
      </w:pPr>
      <w:r>
        <w:t>11.2 Collective action</w:t>
      </w:r>
    </w:p>
    <w:p>
      <w:r>
        <w:t>Actors may choose</w:t>
      </w:r>
    </w:p>
    <w:p>
      <w:pPr>
        <w:jc w:val="center"/>
      </w:pPr>
      <w:r>
        <w:rPr>
          <w:rFonts w:ascii="Cambria Math" w:hAnsi="Cambria Math"/>
          <w:i/>
          <w:sz w:val="21"/>
        </w:rPr>
        <w:t>a_i\in\arg\max_{a_i}U_i(a_i,a_{-i},z).</w:t>
      </w:r>
    </w:p>
    <w:p>
      <w:r>
        <w:t>A collectively viable burden profile may not be a strategic equilibrium. The architecture therefore distinguishes technical commons feasibility from implementable allocation and compliance.</w:t>
      </w:r>
    </w:p>
    <w:p>
      <w:pPr>
        <w:pStyle w:val="Heading2"/>
      </w:pPr>
      <w:r>
        <w:t>Box 9. Placeholder — commons governance</w:t>
      </w:r>
    </w:p>
    <w:p>
      <w:pPr>
        <w:spacing w:before="120" w:after="120"/>
        <w:ind w:left="504" w:right="360"/>
      </w:pPr>
      <w:r>
        <w:rPr>
          <w:i/>
          <w:color w:val="2F5D73"/>
        </w:rPr>
        <w:t>Game-theoretic, institutional, polycentric, and enforcement models fill the commons-governance module. The architectural requirement is that aggregate capacity and actor-level responsibility both have explicit locations.</w:t>
      </w:r>
    </w:p>
    <w:p>
      <w:pPr>
        <w:pBdr>
          <w:bottom w:val="single" w:sz="6" w:color="AABBC5"/>
        </w:pBdr>
      </w:pPr>
    </w:p>
    <w:p>
      <w:pPr>
        <w:pStyle w:val="Heading1"/>
      </w:pPr>
      <w:r>
        <w:t>12. Typed contracts and composition</w:t>
      </w:r>
    </w:p>
    <w:p>
      <w:r>
        <w:t>A module is</w:t>
      </w:r>
    </w:p>
    <w:p>
      <w:pPr>
        <w:jc w:val="center"/>
      </w:pPr>
      <w:r>
        <w:rPr>
          <w:rFonts w:ascii="Cambria Math" w:hAnsi="Cambria Math"/>
          <w:i/>
          <w:sz w:val="21"/>
        </w:rPr>
        <w:t>M_i=(X_i,U_i,Y_i,A_i,G_i,F_i,\mu_i),</w:t>
      </w:r>
    </w:p>
    <w:p>
      <w:r>
        <w:t>where \(\mu_i\) is the contract modality. Contract type attaches to a relation, not an entire domain.</w:t>
      </w:r>
    </w:p>
    <w:p>
      <w:pPr>
        <w:pStyle w:val="Heading2"/>
      </w:pPr>
      <w:r>
        <w:t>12.1 Contract modalities</w:t>
      </w:r>
    </w:p>
    <w:p>
      <w:r>
        <w:rPr>
          <w:b/>
        </w:rPr>
        <w:t>Deterministic</w:t>
      </w:r>
    </w:p>
    <w:p>
      <w:pPr>
        <w:jc w:val="center"/>
      </w:pPr>
      <w:r>
        <w:rPr>
          <w:rFonts w:ascii="Cambria Math" w:hAnsi="Cambria Math"/>
          <w:i/>
          <w:sz w:val="21"/>
        </w:rPr>
        <w:t>A\Rightarrow_{det}G.</w:t>
      </w:r>
    </w:p>
    <w:p>
      <w:r>
        <w:rPr>
          <w:b/>
        </w:rPr>
        <w:t>Robust or set-valued</w:t>
      </w:r>
    </w:p>
    <w:p>
      <w:pPr>
        <w:jc w:val="center"/>
      </w:pPr>
      <w:r>
        <w:rPr>
          <w:rFonts w:ascii="Cambria Math" w:hAnsi="Cambria Math"/>
          <w:i/>
          <w:sz w:val="21"/>
        </w:rPr>
        <w:t>A\Rightarrow_{rob}G(W).</w:t>
      </w:r>
    </w:p>
    <w:p>
      <w:r>
        <w:rPr>
          <w:b/>
        </w:rPr>
        <w:t>Probabilistic</w:t>
      </w:r>
    </w:p>
    <w:p>
      <w:pPr>
        <w:jc w:val="center"/>
      </w:pPr>
      <w:r>
        <w:rPr>
          <w:rFonts w:ascii="Cambria Math" w:hAnsi="Cambria Math"/>
          <w:i/>
          <w:sz w:val="21"/>
        </w:rPr>
        <w:t>A\Rightarrow_{prob}</w:t>
        <w:br/>
        <w:t>\Pr(G\mid A,M)</w:t>
        <w:br/>
        <w:t>\ge1-\epsilon.</w:t>
      </w:r>
    </w:p>
    <w:p>
      <w:r>
        <w:rPr>
          <w:b/>
        </w:rPr>
        <w:t>Strategic</w:t>
      </w:r>
    </w:p>
    <w:p>
      <w:pPr>
        <w:jc w:val="center"/>
      </w:pPr>
      <w:r>
        <w:rPr>
          <w:rFonts w:ascii="Cambria Math" w:hAnsi="Cambria Math"/>
          <w:i/>
          <w:sz w:val="21"/>
        </w:rPr>
        <w:t>A\Rightarrow_{strat}</w:t>
        <w:br/>
        <w:t>G\in\operatorname{Eq}(A,\Theta).</w:t>
      </w:r>
    </w:p>
    <w:p>
      <w:r>
        <w:rPr>
          <w:b/>
        </w:rPr>
        <w:t>Scenario-only</w:t>
      </w:r>
      <w:r>
        <w:t xml:space="preserve"> records a condition without claiming a guarantee.</w:t>
      </w:r>
    </w:p>
    <w:p>
      <w:r>
        <w:t>A mass-balance identity may be deterministic; ecological response may be bounded or stochastic; an economic accounting relation may be deterministic while investment behavior is probabilistic; social cooperation may require strategic and empirical semantics.</w:t>
      </w:r>
    </w:p>
    <w:p>
      <w:pPr>
        <w:pStyle w:val="Heading2"/>
      </w:pPr>
      <w:r>
        <w:t>12.2 Type-aware compatibility</w:t>
      </w:r>
    </w:p>
    <w:p>
      <w:r>
        <w:t>A deterministic downstream requirement cannot silently rely on a probabilistic upstream relation. Compatibility may require:</w:t>
      </w:r>
    </w:p>
    <w:p>
      <w:pPr>
        <w:pStyle w:val="ListBullet"/>
      </w:pPr>
      <w:r>
        <w:t>a buffer;</w:t>
      </w:r>
    </w:p>
    <w:p>
      <w:pPr>
        <w:pStyle w:val="ListBullet"/>
      </w:pPr>
      <w:r>
        <w:t>redundancy;</w:t>
      </w:r>
    </w:p>
    <w:p>
      <w:pPr>
        <w:pStyle w:val="ListBullet"/>
      </w:pPr>
      <w:r>
        <w:t>fallback capacity;</w:t>
      </w:r>
    </w:p>
    <w:p>
      <w:pPr>
        <w:pStyle w:val="ListBullet"/>
      </w:pPr>
      <w:r>
        <w:t>an accepted failure probability;</w:t>
      </w:r>
    </w:p>
    <w:p>
      <w:pPr>
        <w:pStyle w:val="ListBullet"/>
      </w:pPr>
      <w:r>
        <w:t>a robust envelope;</w:t>
      </w:r>
    </w:p>
    <w:p>
      <w:pPr>
        <w:pStyle w:val="ListBullet"/>
      </w:pPr>
      <w:r>
        <w:t>a strategy or institution that changes incentives.</w:t>
      </w:r>
    </w:p>
    <w:p>
      <w:r>
        <w:t>All contracts participating in composition must also share compatible time, disturbance, unit, scale, and confidence signatures.</w:t>
      </w:r>
    </w:p>
    <w:p>
      <w:pPr>
        <w:pStyle w:val="Heading2"/>
      </w:pPr>
      <w:r>
        <w:t>12.3 Expanded module templates</w:t>
      </w:r>
    </w:p>
    <w:p>
      <w:pPr>
        <w:pStyle w:val="Heading3"/>
      </w:pPr>
      <w:r>
        <w:t>Ecological module</w:t>
      </w:r>
    </w:p>
    <w:p>
      <w:r>
        <w:t>Inputs may include energy, material pools, climate, extraction, restoration, and pollutant load. Guarantees may include bounded resource flows, habitat conditions, regeneration, and assimilation. Failure modes include depletion, rate overload, threshold crossing, trophic cascade, and loss of regenerative capacity.</w:t>
      </w:r>
    </w:p>
    <w:p>
      <w:pPr>
        <w:pStyle w:val="Heading3"/>
      </w:pPr>
      <w:r>
        <w:t>Economic module</w:t>
      </w:r>
    </w:p>
    <w:p>
      <w:r>
        <w:t>Inputs may include materials, energy, labor, care, ecosystem services, infrastructure, information, institutions, and finance. Outputs may include goods, inventories, maintenance investment, livelihoods, and restoration resources. Failure modes include insolvency, shortage, depreciation, concentration of access, externalization, and maintenance suppression.</w:t>
      </w:r>
    </w:p>
    <w:p>
      <w:pPr>
        <w:pStyle w:val="Heading3"/>
      </w:pPr>
      <w:r>
        <w:t>Social module</w:t>
      </w:r>
    </w:p>
    <w:p>
      <w:r>
        <w:t>Inputs may include material provision, environmental quality, safety, care, information, and participatory channels. Outputs may include capabilities, knowledge, labor, cooperation, and social reproduction. These are empirically operationalized, not treated as conserved substances. Failure modes include deprivation, exclusion, conflict, rights violations, and overload of care or coordination.</w:t>
      </w:r>
    </w:p>
    <w:p>
      <w:pPr>
        <w:pStyle w:val="Heading3"/>
      </w:pPr>
      <w:r>
        <w:t>Governance module</w:t>
      </w:r>
    </w:p>
    <w:p>
      <w:r>
        <w:t>Inputs may include administrative resources, observability, legal authority, legitimacy, compliance, and workload. Outputs may include monitoring, implementation, conflict resolution, and learning. Failure modes include delayed detection, capture, enforcement incapacity, manipulation, and backlog cascades.</w:t>
      </w:r>
    </w:p>
    <w:p>
      <w:pPr>
        <w:pStyle w:val="Heading2"/>
      </w:pPr>
      <w:r>
        <w:t>Box 10. Compositional Sustainability Conjecture</w:t>
      </w:r>
    </w:p>
    <w:p>
      <w:pPr>
        <w:spacing w:before="120" w:after="120"/>
        <w:ind w:left="504" w:right="360"/>
      </w:pPr>
      <w:r>
        <w:rPr>
          <w:i/>
          <w:color w:val="2F5D73"/>
        </w:rPr>
        <w:t>Under identifiable compatibility, timing, robustness, and boundary-interface conditions, locally verified typed contracts can establish a jointly viable system behavior without requiring complete monolithic verification.</w:t>
      </w:r>
    </w:p>
    <w:p>
      <w:r>
        <w:t>The target compositional object may be an invariant set, viable tube, compatible behavior, or strategy profile. A stationary fixed point is only a special case.</w:t>
      </w:r>
    </w:p>
    <w:p>
      <w:pPr>
        <w:pStyle w:val="Heading2"/>
      </w:pPr>
      <w:r>
        <w:t>Box 11. Proof obligation — general sound composition</w:t>
      </w:r>
    </w:p>
    <w:p>
      <w:r>
        <w:t>A general extension beyond the restricted theorem must specify:</w:t>
      </w:r>
    </w:p>
    <w:p>
      <w:pPr>
        <w:pStyle w:val="ListBullet"/>
      </w:pPr>
      <w:r>
        <w:t>local state spaces and constraints;</w:t>
      </w:r>
    </w:p>
    <w:p>
      <w:pPr>
        <w:pStyle w:val="ListBullet"/>
      </w:pPr>
      <w:r>
        <w:t>contract modalities;</w:t>
      </w:r>
    </w:p>
    <w:p>
      <w:pPr>
        <w:pStyle w:val="ListBullet"/>
      </w:pPr>
      <w:r>
        <w:t>circular-assumption treatment;</w:t>
      </w:r>
    </w:p>
    <w:p>
      <w:pPr>
        <w:pStyle w:val="ListBullet"/>
      </w:pPr>
      <w:r>
        <w:t>disturbance and delay composition;</w:t>
      </w:r>
    </w:p>
    <w:p>
      <w:pPr>
        <w:pStyle w:val="ListBullet"/>
      </w:pPr>
      <w:r>
        <w:t>shared-resource competition;</w:t>
      </w:r>
    </w:p>
    <w:p>
      <w:pPr>
        <w:pStyle w:val="ListBullet"/>
      </w:pPr>
      <w:r>
        <w:t>interface confidence propagation;</w:t>
      </w:r>
    </w:p>
    <w:p>
      <w:pPr>
        <w:pStyle w:val="ListBullet"/>
      </w:pPr>
      <w:r>
        <w:t>conditions under which local guarantees imply a global typed judgment.</w:t>
      </w:r>
    </w:p>
    <w:p>
      <w:r>
        <w:t>The present manuscript supplies the interface and the restricted bounded-interface theorem in §12.8; broader nonlinear, strategic, stochastic, and confidence-propagating composition remains open.</w:t>
      </w:r>
    </w:p>
    <w:p>
      <w:pPr>
        <w:pStyle w:val="Heading2"/>
      </w:pPr>
      <w:r>
        <w:t>12.4 Contract slack and confidence</w:t>
      </w:r>
    </w:p>
    <w:p>
      <w:r>
        <w:t>For a quantitative assumption requiring input \(x\ge x_{min}\), contract slack is</w:t>
      </w:r>
    </w:p>
    <w:p>
      <w:pPr>
        <w:jc w:val="center"/>
      </w:pPr>
      <w:r>
        <w:rPr>
          <w:rFonts w:ascii="Cambria Math" w:hAnsi="Cambria Math"/>
          <w:i/>
          <w:sz w:val="21"/>
        </w:rPr>
        <w:t>s=x-x_{min}.</w:t>
      </w:r>
    </w:p>
    <w:p>
      <w:r>
        <w:t>For an upper-bound assumption \(l\le l_{max}\),</w:t>
      </w:r>
    </w:p>
    <w:p>
      <w:pPr>
        <w:jc w:val="center"/>
      </w:pPr>
      <w:r>
        <w:rPr>
          <w:rFonts w:ascii="Cambria Math" w:hAnsi="Cambria Math"/>
          <w:i/>
          <w:sz w:val="21"/>
        </w:rPr>
        <w:t>s=l_{max}-l.</w:t>
      </w:r>
    </w:p>
    <w:p>
      <w:r>
        <w:t>A probabilistic contract additionally carries confidence and calibration error. System-level confidence cannot generally be obtained by naïvely multiplying local confidence values because failures may be correlated. The composition proof obligation must specify dependence assumptions or conservative bounds.</w:t>
      </w:r>
    </w:p>
    <w:p>
      <w:pPr>
        <w:pStyle w:val="Heading2"/>
      </w:pPr>
      <w:r>
        <w:t>12.5 Circular contracts</w:t>
      </w:r>
    </w:p>
    <w:p>
      <w:r>
        <w:t>Ecological, economic, social, and governance modules frequently depend on one another. For example, governance assumes provision and legitimacy, provision assumes productive and ecological capacity, ecological capacity assumes bounded extraction, and bounded extraction assumes governance. Circularity is not itself an error; an unsupported circular guarantee is.</w:t>
      </w:r>
    </w:p>
    <w:p>
      <w:r>
        <w:t>A valid circular contract requires a jointly consistent behavior over a common time signature. Candidate mathematical objects include:</w:t>
      </w:r>
    </w:p>
    <w:p>
      <w:pPr>
        <w:pStyle w:val="ListBullet"/>
      </w:pPr>
      <w:r>
        <w:t>a robust invariant set in the product state space;</w:t>
      </w:r>
    </w:p>
    <w:p>
      <w:pPr>
        <w:pStyle w:val="ListBullet"/>
      </w:pPr>
      <w:r>
        <w:t>a viability tube;</w:t>
      </w:r>
    </w:p>
    <w:p>
      <w:pPr>
        <w:pStyle w:val="ListBullet"/>
      </w:pPr>
      <w:r>
        <w:t>a greatest fixed point of a contract-refinement operator, where “fixed point” refers to the contract computation rather than a stationary system state;</w:t>
      </w:r>
    </w:p>
    <w:p>
      <w:pPr>
        <w:pStyle w:val="ListBullet"/>
      </w:pPr>
      <w:r>
        <w:t>a strategy profile satisfying dynamic compatibility;</w:t>
      </w:r>
    </w:p>
    <w:p>
      <w:pPr>
        <w:pStyle w:val="ListBullet"/>
      </w:pPr>
      <w:r>
        <w:t>a conservative outer or inner approximation.</w:t>
      </w:r>
    </w:p>
    <w:p>
      <w:r>
        <w:t>The manuscript does not select one universal solution.</w:t>
      </w:r>
    </w:p>
    <w:p>
      <w:pPr>
        <w:pStyle w:val="Heading2"/>
      </w:pPr>
      <w:r>
        <w:t>12.6 Competition among modules</w:t>
      </w:r>
    </w:p>
    <w:p>
      <w:r>
        <w:t>Local assumptions may be individually satisfiable but jointly impossible because modules compete for one stock, sink, budget, workforce, or attention resource. Compatibility therefore requires a shared-resource allocation constraint rather than pairwise matching alone.</w:t>
      </w:r>
    </w:p>
    <w:p>
      <w:r>
        <w:t>For shared input \(r\):</w:t>
      </w:r>
    </w:p>
    <w:p>
      <w:pPr>
        <w:jc w:val="center"/>
      </w:pPr>
      <w:r>
        <w:rPr>
          <w:rFonts w:ascii="Cambria Math" w:hAnsi="Cambria Math"/>
          <w:i/>
          <w:sz w:val="21"/>
        </w:rPr>
        <w:t>\sum_i r_i\le r_{available}.</w:t>
      </w:r>
    </w:p>
    <w:p>
      <w:r>
        <w:t>For a probabilistic or state-dependent resource, this becomes a robust or chance constraint. Commons nodes are a special case of this general composition problem.</w:t>
      </w:r>
    </w:p>
    <w:p>
      <w:pPr>
        <w:pStyle w:val="Heading2"/>
      </w:pPr>
      <w:r>
        <w:t>12.7 Contract refinement</w:t>
      </w:r>
    </w:p>
    <w:p>
      <w:r>
        <w:t>A contract may be refined by strengthening its guarantee or weakening its assumption without invalidating downstream composition. Refinement provides a way for future research to improve modules without rewriting the whole architecture. Every refinement must preserve modality, units, scale, and horizon or explicitly update dependent contracts.</w:t>
      </w:r>
    </w:p>
    <w:p>
      <w:pPr>
        <w:pBdr>
          <w:bottom w:val="single" w:sz="6" w:color="AABBC5"/>
        </w:pBdr>
      </w:pPr>
    </w:p>
    <w:p>
      <w:pPr>
        <w:pStyle w:val="Heading2"/>
      </w:pPr>
      <w:r>
        <w:t>12.9 Three composition counterexamples</w:t>
      </w:r>
    </w:p>
    <w:p>
      <w:pPr>
        <w:pStyle w:val="Heading3"/>
      </w:pPr>
      <w:r>
        <w:t>Coupling destroys factorwise viability</w:t>
      </w:r>
    </w:p>
    <w:p>
      <w:r>
        <w:t>Let two isolated stocks have logistic growth \(g_i(S_i)=r_iS_i(1-S_i/C_i)\) and minimum harvest at each isolated maximum sustainable yield, so the isolated viable equilibrium is \(S_i=C_i/2\). Couple them by diffusion \(d(S_j-S_i)\). If \(C_1\ne C_2\), then at the product corner \((C_1/2,C_2/2)\) one diffusive term is negative. The corresponding boundary derivative points out of its local safe half-line. Thus the product of isolated kernels need not be invariant after coupling.</w:t>
      </w:r>
    </w:p>
    <w:p>
      <w:pPr>
        <w:pStyle w:val="Heading3"/>
      </w:pPr>
      <w:r>
        <w:t>Coupling rescues a nonviable factor</w:t>
      </w:r>
    </w:p>
    <w:p>
      <w:r>
        <w:t>Take \(g_i(s)=s(1-s)\), \(d=0.2\), and target equilibrium \((S_1^</w:t>
      </w:r>
      <w:r>
        <w:rPr>
          <w:i/>
        </w:rPr>
        <w:t>,S_2^</w:t>
      </w:r>
      <w:r>
        <w:t>)=(0.5,0.8)\). Define required harvests by</w:t>
      </w:r>
    </w:p>
    <w:p>
      <w:pPr>
        <w:jc w:val="center"/>
      </w:pPr>
      <w:r>
        <w:rPr>
          <w:rFonts w:ascii="Cambria Math" w:hAnsi="Cambria Math"/>
          <w:i/>
          <w:sz w:val="21"/>
        </w:rPr>
        <w:t>H_{1}=g_1(0.5)+0.2(0.8-0.5)=0.31,</w:t>
        <w:br/>
        <w:t>\qquad</w:t>
        <w:br/>
        <w:t>H_{2}=g_2(0.8)+0.2(0.5-0.8)=0.10.</w:t>
      </w:r>
    </w:p>
    <w:p>
      <w:r>
        <w:t>Patch 1 cannot sustain \(H_1=0.31\) in isolation because its maximum growth is \(0.25\), yet the coupled pair has the displayed equilibrium. Coupling can therefore create viability absent in one isolated factor.</w:t>
      </w:r>
    </w:p>
    <w:p>
      <w:pPr>
        <w:pStyle w:val="Heading3"/>
      </w:pPr>
      <w:r>
        <w:t>Shared capacity destroys joint feasibility</w:t>
      </w:r>
    </w:p>
    <w:p>
      <w:r>
        <w:t>Suppose two modules each require control \(u_i\ge0.6\) on an active boundary, while one actuator or source imposes \(u_1+u_2\le1\). Each local saving-action set is nonempty, but their jointly feasible intersection is empty. Local certificates compose only after shared-control and shared-resource constraints are checked.</w:t>
      </w:r>
    </w:p>
    <w:p>
      <w:r>
        <w:t>These examples establish why §12.8 requires global interface bounds, joint control feasibility, and nonblocking event composition.</w:t>
      </w:r>
    </w:p>
    <w:p>
      <w:r>
        <w:br w:type="page"/>
      </w:r>
    </w:p>
    <w:p>
      <w:pPr>
        <w:pStyle w:val="Heading1"/>
      </w:pPr>
      <w:r>
        <w:t>Part IV. Domain-General Ontology and Conditional Diagnostics</w:t>
      </w:r>
    </w:p>
    <w:p>
      <w:pPr>
        <w:pStyle w:val="Heading2"/>
      </w:pPr>
      <w:r>
        <w:t>12.8 Restricted bounded-interface composition theorem</w:t>
      </w:r>
    </w:p>
    <w:p>
      <w:r>
        <w:t>Consider subsystems</w:t>
      </w:r>
    </w:p>
    <w:p>
      <w:pPr>
        <w:jc w:val="center"/>
      </w:pPr>
      <w:r>
        <w:rPr>
          <w:rFonts w:ascii="Cambria Math" w:hAnsi="Cambria Math"/>
          <w:i/>
          <w:sz w:val="21"/>
        </w:rPr>
        <w:t>\dot x_i=f_i(x_i,u_i,z_i,d_i),</w:t>
        <w:br/>
        <w:t>\qquad z_i=C_i(x_{-i}),</w:t>
      </w:r>
    </w:p>
    <w:p>
      <w:r>
        <w:t>with closed local safe sets \(\mathsf K_i\). Suppose that for each \(i\) there is a local feedback \(k_i\) and a declared compact interface tolerance set \(Z_i\) such that, under the regularity assumptions of the selected strong-invariance theorem,</w:t>
      </w:r>
    </w:p>
    <w:p>
      <w:pPr>
        <w:jc w:val="center"/>
      </w:pPr>
      <w:r>
        <w:rPr>
          <w:rFonts w:ascii="Cambria Math" w:hAnsi="Cambria Math"/>
          <w:i/>
          <w:sz w:val="21"/>
        </w:rPr>
        <w:t>f_i(x_i,k_i(x),z_i,d_i)</w:t>
        <w:br/>
        <w:t>\in T_{\mathsf K_i}^{C}(x_i)</w:t>
      </w:r>
    </w:p>
    <w:p>
      <w:r>
        <w:t>for every boundary state, every \(z_i\in Z_i\), and every admissible \(d_i\). Suppose further that:</w:t>
      </w:r>
    </w:p>
    <w:p>
      <w:pPr>
        <w:pStyle w:val="ListNumber"/>
      </w:pPr>
      <w:r>
        <w:t>\(C_i(x_{-i})\in Z_i\) for every \(x\in\prod_j\mathsf K_j\);</w:t>
      </w:r>
    </w:p>
    <w:p>
      <w:pPr>
        <w:pStyle w:val="ListNumber"/>
      </w:pPr>
      <w:r>
        <w:t>the combined control \((k_i(x))_i\) is jointly admissible, including shared-actuator and shared-resource constraints;</w:t>
      </w:r>
    </w:p>
    <w:p>
      <w:pPr>
        <w:pStyle w:val="ListNumber"/>
      </w:pPr>
      <w:r>
        <w:t>composed event and reset rules are nonblocking and map the product safe set into itself;</w:t>
      </w:r>
    </w:p>
    <w:p>
      <w:pPr>
        <w:pStyle w:val="ListNumber"/>
      </w:pPr>
      <w:r>
        <w:t>disturbance and time signatures are compatible.</w:t>
      </w:r>
    </w:p>
    <w:p>
      <w:r>
        <w:t>Then the product set \(\prod_i\mathsf K_i\) is robustly invariant for the interconnected system. The proof applies the local tangent certificates on each active product boundary and uses joint feasibility and reset preservation to obtain the global certificate.</w:t>
      </w:r>
    </w:p>
    <w:p>
      <w:r>
        <w:t>This theorem is deliberately restricted. Local viability alone does not imply joint viability. A later extension may replace fixed interface tolerances by class-\(\mathcal K\) gains and a verified nonlinear cyclic small-gain condition. A numerical spectral-radius test is appropriate only after gains have validly been reduced to linear coefficients.</w:t>
      </w:r>
    </w:p>
    <w:p>
      <w:r>
        <w:t>Every compositional development should include three diagnostic examples: coupling that destroys viability, coupling that rescues an otherwise nonviable subsystem, and a shared source, sink, or actuator that makes individually feasible controls jointly infeasible.</w:t>
      </w:r>
    </w:p>
    <w:p>
      <w:pPr>
        <w:pStyle w:val="Heading1"/>
      </w:pPr>
      <w:r>
        <w:t>13. States, stocks, capacities, loads, buffers, and feedback</w:t>
      </w:r>
    </w:p>
    <w:p>
      <w:pPr>
        <w:pStyle w:val="Heading2"/>
      </w:pPr>
      <w:r>
        <w:t>13.1 State</w:t>
      </w:r>
    </w:p>
    <w:p>
      <w:r>
        <w:t>A state is the information treated as sufficient to characterize the system for the model and decision. State choice is resolution-dependent. Ecological states may include biomass and nutrients; economic states may include productive capacity, inventories, and obligations; social-service states may include backlog, access, waiting time, and staff capacity.</w:t>
      </w:r>
    </w:p>
    <w:p>
      <w:pPr>
        <w:pStyle w:val="Heading2"/>
      </w:pPr>
      <w:r>
        <w:t>13.2 Stock and flow</w:t>
      </w:r>
    </w:p>
    <w:p>
      <w:r>
        <w:t>A stock is an accumulated quantity; a flow changes it. A generic balance is</w:t>
      </w:r>
    </w:p>
    <w:p>
      <w:pPr>
        <w:jc w:val="center"/>
      </w:pPr>
      <w:r>
        <w:rPr>
          <w:rFonts w:ascii="Cambria Math" w:hAnsi="Cambria Math"/>
          <w:i/>
          <w:sz w:val="21"/>
        </w:rPr>
        <w:t>\dot s_i=I_i+G_i-O_i-D_i,</w:t>
      </w:r>
    </w:p>
    <w:p>
      <w:r>
        <w:t>where \(I_i\) is input, \(G_i\) generation or regeneration, \(O_i\) output or extraction, and \(D_i\) degradation or loss.</w:t>
      </w:r>
    </w:p>
    <w:p>
      <w:r>
        <w:t>Not every social variable is a conserved stock. A state variable may obey an ODE without being conserved, but its dynamics require empirical justification and measurement semantics.</w:t>
      </w:r>
    </w:p>
    <w:p>
      <w:pPr>
        <w:pStyle w:val="Heading2"/>
      </w:pPr>
      <w:r>
        <w:t>13.3 Capacity</w:t>
      </w:r>
    </w:p>
    <w:p>
      <w:r>
        <w:t>Capacity is the maximum sustainable rate or magnitude of a process under specified conditions:</w:t>
      </w:r>
    </w:p>
    <w:p>
      <w:pPr>
        <w:jc w:val="center"/>
      </w:pPr>
      <w:r>
        <w:rPr>
          <w:rFonts w:ascii="Cambria Math" w:hAnsi="Cambria Math"/>
          <w:i/>
          <w:sz w:val="21"/>
        </w:rPr>
        <w:t>C_i=C_i(z,t).</w:t>
      </w:r>
    </w:p>
    <w:p>
      <w:r>
        <w:t>Relevant capacities include source, regeneration, sink, processing, buffering, maintenance, coordination, information, governance, and adaptation. Present activity can reduce future capacity:</w:t>
      </w:r>
    </w:p>
    <w:p>
      <w:pPr>
        <w:jc w:val="center"/>
      </w:pPr>
      <w:r>
        <w:rPr>
          <w:rFonts w:ascii="Cambria Math" w:hAnsi="Cambria Math"/>
          <w:i/>
          <w:sz w:val="21"/>
        </w:rPr>
        <w:t>\dot C_i=R_{C_i}(z)-D_{C_i}(L_i,z)+I_{C_i}.</w:t>
      </w:r>
    </w:p>
    <w:p>
      <w:pPr>
        <w:pStyle w:val="Heading2"/>
      </w:pPr>
      <w:r>
        <w:t>13.4 Load</w:t>
      </w:r>
    </w:p>
    <w:p>
      <w:r>
        <w:t>Load is a demand, extraction, disturbance, waste stream, or coordination requirement. A diagnostic ratio is</w:t>
      </w:r>
    </w:p>
    <w:p>
      <w:pPr>
        <w:jc w:val="center"/>
      </w:pPr>
      <w:r>
        <w:rPr>
          <w:rFonts w:ascii="Cambria Math" w:hAnsi="Cambria Math"/>
          <w:i/>
          <w:sz w:val="21"/>
        </w:rPr>
        <w:t>\rho_i(t)=\frac{L_i(t)}{C_i(t)}.</w:t>
      </w:r>
    </w:p>
    <w:p>
      <w:r>
        <w:t>Instantaneous \(\rho_i&lt;1\) does not establish sustainability. Cumulative damage, uncertainty, correlated loads, thresholds, distribution, delay, and capacity erosion remain.</w:t>
      </w:r>
    </w:p>
    <w:p>
      <w:pPr>
        <w:pStyle w:val="Heading2"/>
      </w:pPr>
      <w:r>
        <w:t>13.5 Buffer and slack</w:t>
      </w:r>
    </w:p>
    <w:p>
      <w:r>
        <w:t>A buffer temporarily absorbs deviations. Slack is unused capacity. Examples include ecological refugia, food reserves, energy storage, liquidity, infrastructure redundancy, institutional trust reserves, and spare service capacity. A system optimized permanently to its estimated maximum can be efficient yet fragile.</w:t>
      </w:r>
    </w:p>
    <w:p>
      <w:pPr>
        <w:pStyle w:val="Heading2"/>
      </w:pPr>
      <w:r>
        <w:t>13.6 Feedback and response</w:t>
      </w:r>
    </w:p>
    <w:p>
      <w:r>
        <w:t>A policy may use delayed estimated state:</w:t>
      </w:r>
    </w:p>
    <w:p>
      <w:pPr>
        <w:jc w:val="center"/>
      </w:pPr>
      <w:r>
        <w:rPr>
          <w:rFonts w:ascii="Cambria Math" w:hAnsi="Cambria Math"/>
          <w:i/>
          <w:sz w:val="21"/>
        </w:rPr>
        <w:t>u(t)=\pi(\hat z(t-\tau)).</w:t>
      </w:r>
    </w:p>
    <w:p>
      <w:r>
        <w:t>Response time is</w:t>
      </w:r>
    </w:p>
    <w:p>
      <w:pPr>
        <w:jc w:val="center"/>
      </w:pPr>
      <w:r>
        <w:rPr>
          <w:rFonts w:ascii="Cambria Math" w:hAnsi="Cambria Math"/>
          <w:i/>
          <w:sz w:val="21"/>
        </w:rPr>
        <w:t>T_r=T_{det}+T_{dec}+T_{impl}+T_{effect}.</w:t>
      </w:r>
    </w:p>
    <w:p>
      <w:r>
        <w:t>Sustainability can therefore depend on observability, measurement accuracy, communication, authority, response speed, enforcement, and learning.</w:t>
      </w:r>
    </w:p>
    <w:p>
      <w:pPr>
        <w:pStyle w:val="Heading1"/>
      </w:pPr>
      <w:r>
        <w:t>13A. Regeneration, maintenance, and adaptive capacity</w:t>
      </w:r>
    </w:p>
    <w:p>
      <w:r>
        <w:rPr>
          <w:b/>
        </w:rPr>
        <w:t>Regeneration</w:t>
      </w:r>
      <w:r>
        <w:t xml:space="preserve"> is a process that moves a depleted renewable stock or capacity toward its registered viable range.</w:t>
      </w:r>
    </w:p>
    <w:p>
      <w:r>
        <w:rPr>
          <w:b/>
        </w:rPr>
        <w:t>Maintenance</w:t>
      </w:r>
      <w:r>
        <w:t xml:space="preserve"> is action that prevents or slows deterioration of an enabling capacity. Current provision can therefore appear successful while consuming the capacity that makes future provision possible.</w:t>
      </w:r>
    </w:p>
    <w:p>
      <w:r>
        <w:rPr>
          <w:b/>
        </w:rPr>
        <w:t>Adaptive capacity</w:t>
      </w:r>
      <w:r>
        <w:t xml:space="preserve"> is the set of implementable within-architecture changes that can preserve or enlarge the viability kernel under altered conditions. Schematically,</w:t>
      </w:r>
    </w:p>
    <w:p>
      <w:pPr>
        <w:jc w:val="center"/>
      </w:pPr>
      <w:r>
        <w:rPr>
          <w:rFonts w:ascii="Cambria Math" w:hAnsi="Cambria Math"/>
          <w:i/>
          <w:sz w:val="21"/>
        </w:rPr>
        <w:t>\mathcal U_{\mathrm{adapt}}(q,z)</w:t>
        <w:br/>
        <w:t>=</w:t>
        <w:br/>
        <w:t>\left\{</w:t>
        <w:br/>
        <w:t>\Delta u\in U_q^{\mathrm{impl}}:</w:t>
        <w:br/>
        <w:t>\operatorname{Viab}_{\mathfrak A_q}^{\,\Delta u}</w:t>
        <w:br/>
        <w:t>\text{ is preserved or enlarged under the declared comparison}</w:t>
        <w:br/>
        <w:t>\right\}.</w:t>
      </w:r>
    </w:p>
    <w:p>
      <w:r>
        <w:t>This expression is a template: “enlarged” requires a declared state domain, disturbance signature, horizon, and ordering.</w:t>
      </w:r>
    </w:p>
    <w:p>
      <w:r>
        <w:rPr>
          <w:b/>
        </w:rPr>
        <w:t>Transformative capacity</w:t>
      </w:r>
      <w:r>
        <w:t xml:space="preserve"> is the set of admissible meta-actions, resources, institutions, and translation maps that make one or more architecture transitions available. Kernel emptiness establishes a need for architecture change under the frozen specification; it does not establish transformative capacity.</w:t>
      </w:r>
    </w:p>
    <w:p>
      <w:pPr>
        <w:pStyle w:val="Heading1"/>
      </w:pPr>
      <w:r>
        <w:t>13B. Persistence, stability, resilience, and sustainability</w:t>
      </w:r>
    </w:p>
    <w:tbl>
      <w:tblPr>
        <w:tblStyle w:val="TableGrid"/>
        <w:tblW w:type="auto" w:w="0"/>
        <w:jc w:val="center"/>
        <w:tblLook w:firstColumn="1" w:firstRow="1" w:lastColumn="0" w:lastRow="0" w:noHBand="0" w:noVBand="1" w:val="04A0"/>
      </w:tblPr>
      <w:tblGrid>
        <w:gridCol w:w="4824"/>
        <w:gridCol w:w="4824"/>
      </w:tblGrid>
      <w:tr>
        <w:tc>
          <w:tcPr>
            <w:tcW w:type="dxa" w:w="4824"/>
            <w:shd w:fill="DCE8EF"/>
            <w:vAlign w:val="center"/>
          </w:tcPr>
          <w:p>
            <w:r>
              <w:rPr>
                <w:b/>
              </w:rPr>
              <w:t>Concept</w:t>
            </w:r>
          </w:p>
        </w:tc>
        <w:tc>
          <w:tcPr>
            <w:tcW w:type="dxa" w:w="4824"/>
            <w:shd w:fill="DCE8EF"/>
            <w:vAlign w:val="center"/>
          </w:tcPr>
          <w:p>
            <w:r>
              <w:rPr>
                <w:b/>
              </w:rPr>
              <w:t>Core question</w:t>
            </w:r>
          </w:p>
        </w:tc>
      </w:tr>
      <w:tr>
        <w:tc>
          <w:tcPr>
            <w:tcW w:type="dxa" w:w="4824"/>
          </w:tcPr>
          <w:p>
            <w:r>
              <w:t>Persistence</w:t>
            </w:r>
          </w:p>
        </w:tc>
        <w:tc>
          <w:tcPr>
            <w:tcW w:type="dxa" w:w="4824"/>
          </w:tcPr>
          <w:p>
            <w:r>
              <w:t>Does a recognizable system or regime continue?</w:t>
            </w:r>
          </w:p>
        </w:tc>
      </w:tr>
      <w:tr>
        <w:tc>
          <w:tcPr>
            <w:tcW w:type="dxa" w:w="4824"/>
          </w:tcPr>
          <w:p>
            <w:r>
              <w:t>Stability</w:t>
            </w:r>
          </w:p>
        </w:tc>
        <w:tc>
          <w:tcPr>
            <w:tcW w:type="dxa" w:w="4824"/>
          </w:tcPr>
          <w:p>
            <w:r>
              <w:t>Does it remain near or return toward a reference behavior under specified dynamics?</w:t>
            </w:r>
          </w:p>
        </w:tc>
      </w:tr>
      <w:tr>
        <w:tc>
          <w:tcPr>
            <w:tcW w:type="dxa" w:w="4824"/>
          </w:tcPr>
          <w:p>
            <w:r>
              <w:t>Dynamical resilience</w:t>
            </w:r>
          </w:p>
        </w:tc>
        <w:tc>
          <w:tcPr>
            <w:tcW w:type="dxa" w:w="4824"/>
          </w:tcPr>
          <w:p>
            <w:r>
              <w:t>Which disturbances can it absorb while preserving a declared regime or functional identity?</w:t>
            </w:r>
          </w:p>
        </w:tc>
      </w:tr>
      <w:tr>
        <w:tc>
          <w:tcPr>
            <w:tcW w:type="dxa" w:w="4824"/>
          </w:tcPr>
          <w:p>
            <w:r>
              <w:t>Sustainability</w:t>
            </w:r>
          </w:p>
        </w:tc>
        <w:tc>
          <w:tcPr>
            <w:tcW w:type="dxa" w:w="4824"/>
          </w:tcPr>
          <w:p>
            <w:r>
              <w:t>Are physically feasible, functionally viable, normatively admissible, and relationally responsible paths available within or across architectures?</w:t>
            </w:r>
          </w:p>
        </w:tc>
      </w:tr>
    </w:tbl>
    <w:p/>
    <w:p>
      <w:r>
        <w:t>Sustainable systems need not be static. They may fluctuate, reorganize, learn, and transform. Conversely, harmful institutions can be persistent, stable over a range, and dynamically resilient without satisfying the complete sustainability judgment.</w:t>
      </w:r>
    </w:p>
    <w:p>
      <w:pPr>
        <w:pStyle w:val="Heading1"/>
      </w:pPr>
      <w:r>
        <w:t>14. Interface principles and operational principles</w:t>
      </w:r>
    </w:p>
    <w:p>
      <w:r>
        <w:t>The following twelve principles function as typed interface or operational principles rather than as undifferentiated axioms.</w:t>
      </w:r>
    </w:p>
    <w:p>
      <w:pPr>
        <w:pStyle w:val="ListNumber"/>
      </w:pPr>
      <w:r>
        <w:rPr>
          <w:b/>
        </w:rPr>
        <w:t>Boundary principle [D/M]:</w:t>
      </w:r>
      <w:r>
        <w:t xml:space="preserve"> every claim declares a model boundary and interfaces.</w:t>
      </w:r>
    </w:p>
    <w:p>
      <w:pPr>
        <w:pStyle w:val="ListNumber"/>
      </w:pPr>
      <w:r>
        <w:rPr>
          <w:b/>
        </w:rPr>
        <w:t>Dependency principle [D/E]:</w:t>
      </w:r>
      <w:r>
        <w:t xml:space="preserve"> persistence depends on internal or external stocks, services, structures, or relations.</w:t>
      </w:r>
    </w:p>
    <w:p>
      <w:pPr>
        <w:pStyle w:val="ListNumber"/>
      </w:pPr>
      <w:r>
        <w:rPr>
          <w:b/>
        </w:rPr>
        <w:t>Dynamic-balance principle [L]:</w:t>
      </w:r>
      <w:r>
        <w:t xml:space="preserve"> persistent net depletion of a finite essential non-substitutable stock is incompatible with indefinite preservation of a positive lower bound.</w:t>
      </w:r>
    </w:p>
    <w:p>
      <w:pPr>
        <w:pStyle w:val="ListNumber"/>
      </w:pPr>
      <w:r>
        <w:rPr>
          <w:b/>
        </w:rPr>
        <w:t>Capacity principle [D/E]:</w:t>
      </w:r>
      <w:r>
        <w:t xml:space="preserve"> sources, sinks, institutions, and adaptive processes have state-dependent capacities and rates.</w:t>
      </w:r>
    </w:p>
    <w:p>
      <w:pPr>
        <w:pStyle w:val="ListNumber"/>
      </w:pPr>
      <w:r>
        <w:rPr>
          <w:b/>
        </w:rPr>
        <w:t>Viability principle [D]:</w:t>
      </w:r>
      <w:r>
        <w:t xml:space="preserve"> essential predicates must remain satisfied along the relevant trajectory, not only on average.</w:t>
      </w:r>
    </w:p>
    <w:p>
      <w:pPr>
        <w:pStyle w:val="ListNumber"/>
      </w:pPr>
      <w:r>
        <w:rPr>
          <w:b/>
        </w:rPr>
        <w:t>Feedback principle [E/L]:</w:t>
      </w:r>
      <w:r>
        <w:t xml:space="preserve"> sensing and response must be adequate relative to the modeled dynamics.</w:t>
      </w:r>
    </w:p>
    <w:p>
      <w:pPr>
        <w:pStyle w:val="ListNumber"/>
      </w:pPr>
      <w:r>
        <w:rPr>
          <w:b/>
        </w:rPr>
        <w:t>Disturbance principle [D]:</w:t>
      </w:r>
      <w:r>
        <w:t xml:space="preserve"> robustness claims specify a disturbance class.</w:t>
      </w:r>
    </w:p>
    <w:p>
      <w:pPr>
        <w:pStyle w:val="ListNumber"/>
      </w:pPr>
      <w:r>
        <w:rPr>
          <w:b/>
        </w:rPr>
        <w:t>Typed-dependency principle [D/N]:</w:t>
      </w:r>
      <w:r>
        <w:t xml:space="preserve"> obligations follow declared support, impact, and normative edges rather than mere nesting.</w:t>
      </w:r>
    </w:p>
    <w:p>
      <w:pPr>
        <w:pStyle w:val="ListNumber"/>
      </w:pPr>
      <w:r>
        <w:rPr>
          <w:b/>
        </w:rPr>
        <w:t>Burden-allocation principle [D/N]:</w:t>
      </w:r>
      <w:r>
        <w:t xml:space="preserve"> transferring risk or depletion does not discharge responsibility unless the transfer satisfies the registered allocation and affected-population constraints.</w:t>
      </w:r>
    </w:p>
    <w:p>
      <w:pPr>
        <w:pStyle w:val="ListNumber"/>
      </w:pPr>
      <w:r>
        <w:rPr>
          <w:b/>
        </w:rPr>
        <w:t>Adaptive-capacity principle [E]:</w:t>
      </w:r>
      <w:r>
        <w:t xml:space="preserve"> changing conditions may require robustness, adaptation, or architecture transformation.</w:t>
      </w:r>
    </w:p>
    <w:p>
      <w:pPr>
        <w:pStyle w:val="ListNumber"/>
      </w:pPr>
      <w:r>
        <w:rPr>
          <w:b/>
        </w:rPr>
        <w:t>Plural-value principle [N/D]:</w:t>
      </w:r>
      <w:r>
        <w:t xml:space="preserve"> non-commensurable protected values are not silently converted into one weighted sum.</w:t>
      </w:r>
    </w:p>
    <w:p>
      <w:pPr>
        <w:pStyle w:val="ListNumber"/>
      </w:pPr>
      <w:r>
        <w:rPr>
          <w:b/>
        </w:rPr>
        <w:t>Legitimacy principle [N]:</w:t>
      </w:r>
      <w:r>
        <w:t xml:space="preserve"> social constraints and permissible revisions identify their authority and procedure.</w:t>
      </w:r>
    </w:p>
    <w:p>
      <w:r>
        <w:t>These principles organize model construction. They do not all have the same epistemic status.</w:t>
      </w:r>
    </w:p>
    <w:p>
      <w:pPr>
        <w:pBdr>
          <w:bottom w:val="single" w:sz="6" w:color="AABBC5"/>
        </w:pBdr>
      </w:pPr>
    </w:p>
    <w:p>
      <w:pPr>
        <w:pStyle w:val="Heading1"/>
      </w:pPr>
      <w:r>
        <w:t>15. Conditional lemmas</w:t>
      </w:r>
    </w:p>
    <w:p>
      <w:r>
        <w:t>The following statements are intentionally modest. They are consequences of particular model signatures, not novel universal laws.</w:t>
      </w:r>
    </w:p>
    <w:p>
      <w:pPr>
        <w:pStyle w:val="Heading2"/>
      </w:pPr>
      <w:r>
        <w:t>Lemma 1. Finite essential-stock condition [L]</w:t>
      </w:r>
    </w:p>
    <w:p>
      <w:r>
        <w:t>Given</w:t>
      </w:r>
    </w:p>
    <w:p>
      <w:pPr>
        <w:jc w:val="center"/>
      </w:pPr>
      <w:r>
        <w:rPr>
          <w:rFonts w:ascii="Cambria Math" w:hAnsi="Cambria Math"/>
          <w:i/>
          <w:sz w:val="21"/>
        </w:rPr>
        <w:t>\dot s=I+R-O-D,</w:t>
      </w:r>
    </w:p>
    <w:p>
      <w:r>
        <w:t>if \(s(0)&lt;\infty\), viability requires \(s\ge s_{\min}&gt;0\), the stock is non-substitutable, and</w:t>
      </w:r>
    </w:p>
    <w:p>
      <w:pPr>
        <w:jc w:val="center"/>
      </w:pPr>
      <w:r>
        <w:rPr>
          <w:rFonts w:ascii="Cambria Math" w:hAnsi="Cambria Math"/>
          <w:i/>
          <w:sz w:val="21"/>
        </w:rPr>
        <w:t>\liminf_{T\to\infty}</w:t>
        <w:br/>
        <w:t>\frac{1}{T}</w:t>
        <w:br/>
        <w:t>\int_0^T(O+D-I-R)\,dt</w:t>
        <w:br/>
        <w:t>&gt;0,</w:t>
      </w:r>
    </w:p>
    <w:p>
      <w:r>
        <w:t>then indefinite viability is impossible.</w:t>
      </w:r>
    </w:p>
    <w:p>
      <w:r>
        <w:t>This applies to \(\operatorname{Sust}_\infty\), not to every finite-horizon assessment. For finite \(T\), the same balance estimates time to threshold.</w:t>
      </w:r>
    </w:p>
    <w:p>
      <w:pPr>
        <w:pStyle w:val="Heading2"/>
      </w:pPr>
      <w:r>
        <w:t>Lemma 2. Rate–buffer condition [L]</w:t>
      </w:r>
    </w:p>
    <w:p>
      <w:r>
        <w:t>If load \(L(t)&gt;C(t)\) persists long enough to exhaust every relevant buffer before corrective action is effective, a dependent constraint is violated. The model must specify the buffer and dependence; the statement is not an independent empirical law.</w:t>
      </w:r>
    </w:p>
    <w:p>
      <w:pPr>
        <w:pStyle w:val="Heading2"/>
      </w:pPr>
      <w:r>
        <w:t>Lemma 3. Zero-margin fragility [L]</w:t>
      </w:r>
    </w:p>
    <w:p>
      <w:r>
        <w:t>If a necessary process operates at its exact capacity and an admissible disturbance can increase load or reduce capacity, robust viability requires a sufficiently fast response or another buffer. Otherwise the robustness margin is zero for that disturbance direction.</w:t>
      </w:r>
    </w:p>
    <w:p>
      <w:pPr>
        <w:pStyle w:val="Heading2"/>
      </w:pPr>
      <w:r>
        <w:t>Lemma 4. Delay condition [L/M]</w:t>
      </w:r>
    </w:p>
    <w:p>
      <w:r>
        <w:t>Let \(T_c\) be modeled time to a critical threshold without effective intervention. If</w:t>
      </w:r>
    </w:p>
    <w:p>
      <w:pPr>
        <w:jc w:val="center"/>
      </w:pPr>
      <w:r>
        <w:rPr>
          <w:rFonts w:ascii="Cambria Math" w:hAnsi="Cambria Math"/>
          <w:i/>
          <w:sz w:val="21"/>
        </w:rPr>
        <w:t>T_r\ge T_c</w:t>
      </w:r>
    </w:p>
    <w:p>
      <w:r>
        <w:t>and no adequate buffer or anticipatory action exists, reactive feedback cannot prevent threshold crossing. Empirical use depends on valid estimates of \(T_r\) and \(T_c\).</w:t>
      </w:r>
    </w:p>
    <w:p>
      <w:pPr>
        <w:pStyle w:val="Heading2"/>
      </w:pPr>
      <w:r>
        <w:t>Lemma 5. Obligatory-support condition [L]</w:t>
      </w:r>
    </w:p>
    <w:p>
      <w:r>
        <w:t>If \(A\) has a registered obligatory-support edge to function \(q\) supplied by \(B\), policy \(\pi\) removes \(q\), and no registered adequate substitute exists, then \(\pi\) violates \(A\)’s functional constraints.</w:t>
      </w:r>
    </w:p>
    <w:p>
      <w:pPr>
        <w:pStyle w:val="Heading2"/>
      </w:pPr>
      <w:r>
        <w:t>Lemma 6. Non-compensation [L/N]</w:t>
      </w:r>
    </w:p>
    <w:p>
      <w:r>
        <w:t>If a registry entry is tagged non-compensable, improvement in another dimension does not discharge its violation. This follows from the selected decision rule; the designation itself may be normative or empirical.</w:t>
      </w:r>
    </w:p>
    <w:p>
      <w:pPr>
        <w:pStyle w:val="Heading2"/>
      </w:pPr>
      <w:r>
        <w:t>Lemma 7. Conditional growth bound [L]</w:t>
      </w:r>
    </w:p>
    <w:p>
      <w:r>
        <w:t>Suppose output \(Y\) imposes burden</w:t>
      </w:r>
    </w:p>
    <w:p>
      <w:pPr>
        <w:jc w:val="center"/>
      </w:pPr>
      <w:r>
        <w:rPr>
          <w:rFonts w:ascii="Cambria Math" w:hAnsi="Cambria Math"/>
          <w:i/>
          <w:sz w:val="21"/>
        </w:rPr>
        <w:t>L(Y)\ge\alpha Y</w:t>
      </w:r>
    </w:p>
    <w:p>
      <w:r>
        <w:t>for persistent \(\alpha&gt;0\), while admissible capacity satisfies \(C(t)\le\bar C&lt;\infty\). Then</w:t>
      </w:r>
    </w:p>
    <w:p>
      <w:pPr>
        <w:jc w:val="center"/>
      </w:pPr>
      <w:r>
        <w:rPr>
          <w:rFonts w:ascii="Cambria Math" w:hAnsi="Cambria Math"/>
          <w:i/>
          <w:sz w:val="21"/>
        </w:rPr>
        <w:t>Y\le\frac{\bar C}{\alpha}.</w:t>
      </w:r>
    </w:p>
    <w:p>
      <w:r>
        <w:t>The result does not state that every measure of economic value must stop growing. It states that unbounded growth is incompatible with bounded capacity when burden intensity remains bounded away from zero.</w:t>
      </w:r>
    </w:p>
    <w:p>
      <w:pPr>
        <w:pStyle w:val="Heading2"/>
      </w:pPr>
      <w:r>
        <w:t>Lemma 8. Local corridor failure [L]</w:t>
      </w:r>
    </w:p>
    <w:p>
      <w:r>
        <w:t>If \(a_{\min}(z)&gt;a_{\max}(z)\), no action at state \(z\) simultaneously satisfies the relevant lower and upper bounds. Structural transformation follows only under the stronger reachability condition stated in Section 7.2.</w:t>
      </w:r>
    </w:p>
    <w:p>
      <w:pPr>
        <w:pBdr>
          <w:bottom w:val="single" w:sz="6" w:color="AABBC5"/>
        </w:pBdr>
      </w:pPr>
    </w:p>
    <w:p>
      <w:pPr>
        <w:pStyle w:val="Heading1"/>
      </w:pPr>
      <w:r>
        <w:t>15A. Restricted resource, capital, commons, and institutional results</w:t>
      </w:r>
    </w:p>
    <w:p>
      <w:r>
        <w:t>The following results are retained as restricted theorem templates. They do not replace the general Operator I definitions.</w:t>
      </w:r>
    </w:p>
    <w:p>
      <w:pPr>
        <w:pStyle w:val="Heading2"/>
      </w:pPr>
      <w:r>
        <w:t>15A.1 Order-minimal resource–sink viability</w:t>
      </w:r>
    </w:p>
    <w:p>
      <w:r>
        <w:t>Consider</w:t>
      </w:r>
    </w:p>
    <w:p>
      <w:pPr>
        <w:jc w:val="center"/>
      </w:pPr>
      <w:r>
        <w:rPr>
          <w:rFonts w:ascii="Cambria Math" w:hAnsi="Cambria Math"/>
          <w:i/>
          <w:sz w:val="21"/>
        </w:rPr>
        <w:t>\dot S=g(S)-H,</w:t>
        <w:br/>
        <w:t>\qquad</w:t>
        <w:br/>
        <w:t>\dot L=w(H)-\delta(L),</w:t>
      </w:r>
    </w:p>
    <w:p>
      <w:r>
        <w:t>with \(w\) nondecreasing, \(\delta\) increasing, and a safe set that is upward in resource stock and downward in sink burden. If \(H_1(t)\le H_2(t)\), comparison gives \(S_1(t)\ge S_2(t)\) and \(L_1(t)\le L_2(t)\). Hence the minimum admissible harvest is an order-best trajectory. The initial state is existentially viable exactly when that minimum-harvest trajectory remains safe. This is not an all-control safety result: higher harvests may exit.</w:t>
      </w:r>
    </w:p>
    <w:p>
      <w:r>
        <w:t>When growth is pollution-suppressed, \(g_L\le0\), and \(L\le L_{max}\),</w:t>
      </w:r>
    </w:p>
    <w:p>
      <w:pPr>
        <w:jc w:val="center"/>
      </w:pPr>
      <w:r>
        <w:rPr>
          <w:rFonts w:ascii="Cambria Math" w:hAnsi="Cambria Math"/>
          <w:i/>
          <w:sz w:val="21"/>
        </w:rPr>
        <w:t>g(S,L)\ge g(S,L_{max}).</w:t>
      </w:r>
    </w:p>
    <w:p>
      <w:r>
        <w:t>The \(L_{max}\)-frozen growth system is pessimistic. An invariant set for it is an inner bound for the true system only when the sink ceiling is also invariant.</w:t>
      </w:r>
    </w:p>
    <w:p>
      <w:pPr>
        <w:pStyle w:val="Heading2"/>
      </w:pPr>
      <w:r>
        <w:t>15A.2 Scalar capital floor</w:t>
      </w:r>
    </w:p>
    <w:p>
      <w:r>
        <w:t>For</w:t>
      </w:r>
    </w:p>
    <w:p>
      <w:pPr>
        <w:jc w:val="center"/>
      </w:pPr>
      <w:r>
        <w:rPr>
          <w:rFonts w:ascii="Cambria Math" w:hAnsi="Cambria Math"/>
          <w:i/>
          <w:sz w:val="21"/>
        </w:rPr>
        <w:t>\dot A=\Phi(A)-c,</w:t>
        <w:br/>
        <w:t>\qquad c\ge c_{min},</w:t>
      </w:r>
    </w:p>
    <w:p>
      <w:r>
        <w:t>with continuous concave \(\Phi\), let</w:t>
      </w:r>
    </w:p>
    <w:p>
      <w:pPr>
        <w:jc w:val="center"/>
      </w:pPr>
      <w:r>
        <w:rPr>
          <w:rFonts w:ascii="Cambria Math" w:hAnsi="Cambria Math"/>
          <w:i/>
          <w:sz w:val="21"/>
        </w:rPr>
        <w:t>A_-=</w:t>
        <w:br/>
        <w:t>\inf\{A\ge0:\Phi(A)\ge c_{min}\}.</w:t>
      </w:r>
    </w:p>
    <w:p>
      <w:r>
        <w:t>Under the declared one-dimensional shape and continuation assumptions, the existential viability kernel is \([A_-,\infty)\) when the superlevel set is nonempty. The witness is \(c\equiv c_{min}\). Larger consumption is not guaranteed safe.</w:t>
      </w:r>
    </w:p>
    <w:p>
      <w:pPr>
        <w:pStyle w:val="Heading2"/>
      </w:pPr>
      <w:r>
        <w:t>15A.3 Commons obstruction and institutional rescue</w:t>
      </w:r>
    </w:p>
    <w:p>
      <w:r>
        <w:t>A finite-time noncooperative obstruction requires more than negative drift. If</w:t>
      </w:r>
    </w:p>
    <w:p>
      <w:pPr>
        <w:jc w:val="center"/>
      </w:pPr>
      <w:r>
        <w:rPr>
          <w:rFonts w:ascii="Cambria Math" w:hAnsi="Cambria Math"/>
          <w:i/>
          <w:sz w:val="21"/>
        </w:rPr>
        <w:t>g(S)-H^{NE}(S)\le-\varepsilon</w:t>
      </w:r>
    </w:p>
    <w:p>
      <w:r>
        <w:t>on a boundary strip of width \(a\) that every relevant trajectory reaches, exit follows within at most \(a/\varepsilon\) after entry. Without a uniform margin, asymptotic approach need not give finite-time exit.</w:t>
      </w:r>
    </w:p>
    <w:p>
      <w:r>
        <w:t>A quota rescues viability only when realized aggregate harvest remains in a nonempty corridor</w:t>
      </w:r>
    </w:p>
    <w:p>
      <w:pPr>
        <w:jc w:val="center"/>
      </w:pPr>
      <w:r>
        <w:rPr>
          <w:rFonts w:ascii="Cambria Math" w:hAnsi="Cambria Math"/>
          <w:i/>
          <w:sz w:val="21"/>
        </w:rPr>
        <w:t>H_{min}\le H_Q(S)\le H_{safe}(S).</w:t>
      </w:r>
    </w:p>
    <w:p>
      <w:r>
        <w:t>A sanction that makes payoff decrease above quota blocks upward deviations; uniqueness additionally requires payoff to increase below quota and decrease above it. Dominance requires those signs uniformly over opponents' actions. Ostrom principles enter as possible mechanisms supporting information, authority, monitoring, enforcement, allocation, and cross-scale compatibility—not as universal necessary conditions.</w:t>
      </w:r>
    </w:p>
    <w:p>
      <w:pPr>
        <w:pStyle w:val="Heading2"/>
      </w:pPr>
      <w:r>
        <w:t>15A.4 Action-set monotonicity and frontier status</w:t>
      </w:r>
    </w:p>
    <w:p>
      <w:r>
        <w:t>For existential viability,</w:t>
      </w:r>
    </w:p>
    <w:p>
      <w:pPr>
        <w:jc w:val="center"/>
      </w:pPr>
      <w:r>
        <w:rPr>
          <w:rFonts w:ascii="Cambria Math" w:hAnsi="Cambria Math"/>
          <w:i/>
          <w:sz w:val="21"/>
        </w:rPr>
        <w:t>U_1\subseteq U_2</w:t>
        <w:br/>
        <w:t>\Longrightarrow</w:t>
        <w:br/>
        <w:t>\operatorname{Viab}(K;U_1)</w:t>
        <w:br/>
        <w:t>\subseteq</w:t>
        <w:br/>
        <w:t>\operatorname{Viab}(K;U_2).</w:t>
      </w:r>
    </w:p>
    <w:p>
      <w:r>
        <w:t>The viable-correspondence family is upward closed; intersections can remove all viable selectors. Universal-action invariance has different monotonicity and is named separately.</w:t>
      </w:r>
    </w:p>
    <w:p>
      <w:r>
        <w:t>Generic non-polyhedrality of viability frontiers remains a conjecture. The proved local statement is only that a regular \(C^2\) frontier with nonzero curvature at a point is locally non-polyhedral.</w:t>
      </w:r>
    </w:p>
    <w:p>
      <w:pPr>
        <w:pStyle w:val="Heading1"/>
      </w:pPr>
      <w:r>
        <w:t>16. Efficiency, sufficiency, circularity, and distribution</w:t>
      </w:r>
    </w:p>
    <w:p>
      <w:pPr>
        <w:pStyle w:val="Heading2"/>
      </w:pPr>
      <w:r>
        <w:t>16.1 Efficiency</w:t>
      </w:r>
    </w:p>
    <w:p>
      <w:r>
        <w:t>Efficiency is output per unit input or burden:</w:t>
      </w:r>
    </w:p>
    <w:p>
      <w:pPr>
        <w:jc w:val="center"/>
      </w:pPr>
      <w:r>
        <w:rPr>
          <w:rFonts w:ascii="Cambria Math" w:hAnsi="Cambria Math"/>
          <w:i/>
          <w:sz w:val="21"/>
        </w:rPr>
        <w:t>\eta=\frac{Y}{L}.</w:t>
      </w:r>
    </w:p>
    <w:p>
      <w:r>
        <w:t>Total load is</w:t>
      </w:r>
    </w:p>
    <w:p>
      <w:pPr>
        <w:jc w:val="center"/>
      </w:pPr>
      <w:r>
        <w:rPr>
          <w:rFonts w:ascii="Cambria Math" w:hAnsi="Cambria Math"/>
          <w:i/>
          <w:sz w:val="21"/>
        </w:rPr>
        <w:t>L_{tot}=\frac{Y_{tot}}{\eta}.</w:t>
      </w:r>
    </w:p>
    <w:p>
      <w:r>
        <w:t>Efficiency can enlarge a corridor but does not guarantee sustainability when scale grows faster than efficiency.</w:t>
      </w:r>
    </w:p>
    <w:p>
      <w:pPr>
        <w:pStyle w:val="Heading2"/>
      </w:pPr>
      <w:r>
        <w:t>16.2 Sufficiency</w:t>
      </w:r>
    </w:p>
    <w:p>
      <w:r>
        <w:t>Sufficiency concerns the level, composition, and distribution of demand:</w:t>
      </w:r>
    </w:p>
    <w:p>
      <w:pPr>
        <w:jc w:val="center"/>
      </w:pPr>
      <w:r>
        <w:rPr>
          <w:rFonts w:ascii="Cambria Math" w:hAnsi="Cambria Math"/>
          <w:i/>
          <w:sz w:val="21"/>
        </w:rPr>
        <w:t>a_{\min}\le a\le a_{\max}.</w:t>
      </w:r>
    </w:p>
    <w:p>
      <w:r>
        <w:t>Efficiency modifies conversion; sufficiency addresses total required activity and who receives provision.</w:t>
      </w:r>
    </w:p>
    <w:p>
      <w:pPr>
        <w:pStyle w:val="Heading2"/>
      </w:pPr>
      <w:r>
        <w:t>16.3 Circularity</w:t>
      </w:r>
    </w:p>
    <w:p>
      <w:r>
        <w:t>If material demand is \(m\) and recovered fraction \(\chi\), virgin input is approximately</w:t>
      </w:r>
    </w:p>
    <w:p>
      <w:pPr>
        <w:jc w:val="center"/>
      </w:pPr>
      <w:r>
        <w:rPr>
          <w:rFonts w:ascii="Cambria Math" w:hAnsi="Cambria Math"/>
          <w:i/>
          <w:sz w:val="21"/>
        </w:rPr>
        <w:t>m_{virgin}=(1-\chi)m+\text{quality and process losses}.</w:t>
      </w:r>
    </w:p>
    <w:p>
      <w:r>
        <w:t>Circularity can reduce burden but does not eliminate collection losses, energy requirements, dissipation, or scale constraints.</w:t>
      </w:r>
    </w:p>
    <w:p>
      <w:pPr>
        <w:pStyle w:val="Heading2"/>
      </w:pPr>
      <w:r>
        <w:t>16.4 Distribution and justice</w:t>
      </w:r>
    </w:p>
    <w:p>
      <w:r>
        <w:t>For groups \(g\), the registry may contain</w:t>
      </w:r>
    </w:p>
    <w:p>
      <w:pPr>
        <w:jc w:val="center"/>
      </w:pPr>
      <w:r>
        <w:rPr>
          <w:rFonts w:ascii="Cambria Math" w:hAnsi="Cambria Math"/>
          <w:i/>
          <w:sz w:val="21"/>
        </w:rPr>
        <w:t>y_g\ge y_g^{\min},</w:t>
        <w:br/>
        <w:t>\qquad</w:t>
        <w:br/>
        <w:t>b_g\le b_g^{\max},</w:t>
        <w:br/>
        <w:t>\qquad</w:t>
        <w:br/>
        <w:t>r_g\le r_g^{\max},</w:t>
      </w:r>
    </w:p>
    <w:p>
      <w:r>
        <w:t>for provision, burden, and risk. Procedural constraints may restrict admissible policies. These are explicit [N] commitments, not deductions from viability theory. The architecture prevents their disappearance inside aggregate averages once adopted.</w:t>
      </w:r>
    </w:p>
    <w:p>
      <w:pPr>
        <w:pBdr>
          <w:bottom w:val="single" w:sz="6" w:color="AABBC5"/>
        </w:pBdr>
      </w:pPr>
    </w:p>
    <w:p>
      <w:pPr>
        <w:pStyle w:val="Heading1"/>
      </w:pPr>
      <w:r>
        <w:t>17. Resilience, time, and latent liabilities</w:t>
      </w:r>
    </w:p>
    <w:p>
      <w:pPr>
        <w:pStyle w:val="Heading2"/>
      </w:pPr>
      <w:r>
        <w:t>17.1 Dynamical resilience</w:t>
      </w:r>
    </w:p>
    <w:p>
      <w:r>
        <w:t>Dynamical or ecological resilience is persistence of a declared regime or functional identity under disturbance. It may be measured through basin geometry, recovery, or disturbance sets depending on the model. An undesirable regime may be dynamically resilient.</w:t>
      </w:r>
    </w:p>
    <w:p>
      <w:pPr>
        <w:pStyle w:val="Heading2"/>
      </w:pPr>
      <w:r>
        <w:t>17.2 Sustainability robustness</w:t>
      </w:r>
    </w:p>
    <w:p>
      <w:r>
        <w:t>Sustainability robustness is persistence of the complete typed judgment under a specified disturbance family. The margin \(\Gamma(z_0)\) in Section 7.3 is one representation.</w:t>
      </w:r>
    </w:p>
    <w:p>
      <w:r>
        <w:t>These terms should not be merged. Resilience is not automatically desirable; sustainability robustness includes normative and relational projections.</w:t>
      </w:r>
    </w:p>
    <w:p>
      <w:pPr>
        <w:pStyle w:val="Heading2"/>
      </w:pPr>
      <w:r>
        <w:t>17.3 Horizon typing</w:t>
      </w:r>
    </w:p>
    <w:p>
      <w:r>
        <w:t>All primary assessments are indexed by \(T\):</w:t>
      </w:r>
    </w:p>
    <w:p>
      <w:pPr>
        <w:jc w:val="center"/>
      </w:pPr>
      <w:r>
        <w:rPr>
          <w:rFonts w:ascii="Cambria Math" w:hAnsi="Cambria Math"/>
          <w:i/>
          <w:sz w:val="21"/>
        </w:rPr>
        <w:t>\operatorname{Sust}_T(S)</w:t>
        <w:br/>
        <w:t>\not\Rightarrow</w:t>
        <w:br/>
        <w:t>\operatorname{Sust}_{T+\Delta T}(S).</w:t>
      </w:r>
    </w:p>
    <w:p>
      <w:r>
        <w:t>Infinite-horizon claims use a separate object \(\operatorname{Sust}_\infty\). Average-balance statements apply to that object or to sufficiently large finite horizons under additional assumptions.</w:t>
      </w:r>
    </w:p>
    <w:p>
      <w:pPr>
        <w:pStyle w:val="Heading2"/>
      </w:pPr>
      <w:r>
        <w:t>17.4 Latent liabilities</w:t>
      </w:r>
    </w:p>
    <w:p>
      <w:r>
        <w:t>Some deferred burdens may be represented by vector \(\lambda(t)\):</w:t>
      </w:r>
    </w:p>
    <w:p>
      <w:pPr>
        <w:jc w:val="center"/>
      </w:pPr>
      <w:r>
        <w:rPr>
          <w:rFonts w:ascii="Cambria Math" w:hAnsi="Cambria Math"/>
          <w:i/>
          <w:sz w:val="21"/>
        </w:rPr>
        <w:t>\dot\lambda</w:t>
        <w:br/>
        <w:t>=</w:t>
        <w:br/>
        <w:t>\text{burden creation}</w:t>
        <w:br/>
        <w:t>-</w:t>
        <w:br/>
        <w:t>\text{burden resolution}.</w:t>
      </w:r>
    </w:p>
    <w:p>
      <w:r>
        <w:t>Constraints such as \(\lambda_j\le\lambda_j^{\max}\) can prevent deferred harm from appearing as present success. This is a modeling device, not a claim that all intergenerational obligations reduce to one known scalar.</w:t>
      </w:r>
    </w:p>
    <w:p>
      <w:pPr>
        <w:pBdr>
          <w:bottom w:val="single" w:sz="6" w:color="AABBC5"/>
        </w:pBdr>
      </w:pPr>
    </w:p>
    <w:p>
      <w:pPr>
        <w:pStyle w:val="Heading2"/>
      </w:pPr>
      <w:r>
        <w:t>17.5 Intergenerational impossibility and discounting non-equivalence</w:t>
      </w:r>
    </w:p>
    <w:p>
      <w:r>
        <w:t>Let generation intervals be \([t_k,t_{k+1})\) with closed admissible sets \(K^{(k)}\). If the trajectory remains in a compact set, the sets are nested,</w:t>
      </w:r>
    </w:p>
    <w:p>
      <w:pPr>
        <w:jc w:val="center"/>
      </w:pPr>
      <w:r>
        <w:rPr>
          <w:rFonts w:ascii="Cambria Math" w:hAnsi="Cambria Math"/>
          <w:i/>
          <w:sz w:val="21"/>
        </w:rPr>
        <w:t>K^{(k+1)}\subseteq K^{(k)},</w:t>
      </w:r>
    </w:p>
    <w:p>
      <w:r>
        <w:t>and \(\bigcap_kK^{(k)}=\varnothing\), then no indefinitely intergenerationally viable path exists. Otherwise a sequence of generation-boundary states has a convergent subsequence; closedness and nesting place its limit in every \(K^{(k)}\), contradicting the empty intersection.</w:t>
      </w:r>
    </w:p>
    <w:p>
      <w:r>
        <w:t>Discounted welfare is not equivalent to viability. Let a viable path provide constant positive consumption \(c_v\), and let an exiting path provide \(C&gt;c_v\) for time \(T\) before violating the constraint. Under linear welfare and discount rate \(\rho&gt;0\), the exiting pulse is preferred when</w:t>
      </w:r>
    </w:p>
    <w:p>
      <w:pPr>
        <w:jc w:val="center"/>
      </w:pPr>
      <w:r>
        <w:rPr>
          <w:rFonts w:ascii="Cambria Math" w:hAnsi="Cambria Math"/>
          <w:i/>
          <w:sz w:val="21"/>
        </w:rPr>
        <w:t>C(1-e^{-\rho T})&gt;c_v.</w:t>
      </w:r>
    </w:p>
    <w:p>
      <w:r>
        <w:t>Thus an objective can rank an infeasible high near-term pulse above a positive viable path. Viability constraints and discounting answer different questions.</w:t>
      </w:r>
    </w:p>
    <w:p>
      <w:pPr>
        <w:pStyle w:val="Heading1"/>
      </w:pPr>
      <w:r>
        <w:t>18. Observability, measurement, power, and strategy</w:t>
      </w:r>
    </w:p>
    <w:p>
      <w:pPr>
        <w:pStyle w:val="Heading2"/>
      </w:pPr>
      <w:r>
        <w:t>18.1 Measurement architecture</w:t>
      </w:r>
    </w:p>
    <w:p>
      <w:r>
        <w:t>For critical indicator \(i\), record</w:t>
      </w:r>
    </w:p>
    <w:p>
      <w:pPr>
        <w:jc w:val="center"/>
      </w:pPr>
      <w:r>
        <w:rPr>
          <w:rFonts w:ascii="Cambria Math" w:hAnsi="Cambria Math"/>
          <w:i/>
          <w:sz w:val="21"/>
        </w:rPr>
        <w:t>\mathcal I_i</w:t>
        <w:br/>
        <w:t>=(z_i,\hat z_i,\theta_i,\tau_i,\sigma_i,\rho_i),</w:t>
      </w:r>
    </w:p>
    <w:p>
      <w:r>
        <w:t>where \(z_i\) is the construct, \(\hat z_i\) its estimate, \(\theta_i\) threshold, \(\tau_i\) delay, \(\sigma_i\) uncertainty, and \(\rho_i\) spatial, temporal, or demographic resolution.</w:t>
      </w:r>
    </w:p>
    <w:p>
      <w:r>
        <w:t>An indicator is inadequate if it measures the wrong construct, arrives too late, aggregates away protected groups, is strategically manipulable, or reacts only after irreversible harm.</w:t>
      </w:r>
    </w:p>
    <w:p>
      <w:pPr>
        <w:pStyle w:val="Heading2"/>
      </w:pPr>
      <w:r>
        <w:t>18.2 Observability audit</w:t>
      </w:r>
    </w:p>
    <w:p>
      <w:r>
        <w:t>For each critical state:</w:t>
      </w:r>
    </w:p>
    <w:p>
      <w:pPr>
        <w:pStyle w:val="ListNumber"/>
      </w:pPr>
      <w:r>
        <w:t>Is it directly measurable?</w:t>
      </w:r>
    </w:p>
    <w:p>
      <w:pPr>
        <w:pStyle w:val="ListNumber"/>
      </w:pPr>
      <w:r>
        <w:t>If not, what proxy is used?</w:t>
      </w:r>
    </w:p>
    <w:p>
      <w:pPr>
        <w:pStyle w:val="ListNumber"/>
      </w:pPr>
      <w:r>
        <w:t>What causal relation links proxy and construct?</w:t>
      </w:r>
    </w:p>
    <w:p>
      <w:pPr>
        <w:pStyle w:val="ListNumber"/>
      </w:pPr>
      <w:r>
        <w:t>What are error and delay?</w:t>
      </w:r>
    </w:p>
    <w:p>
      <w:pPr>
        <w:pStyle w:val="ListNumber"/>
      </w:pPr>
      <w:r>
        <w:t>Can actors manipulate the indicator?</w:t>
      </w:r>
    </w:p>
    <w:p>
      <w:pPr>
        <w:pStyle w:val="ListNumber"/>
      </w:pPr>
      <w:r>
        <w:t>Does aggregation hide local violations?</w:t>
      </w:r>
    </w:p>
    <w:p>
      <w:pPr>
        <w:pStyle w:val="ListNumber"/>
      </w:pPr>
      <w:r>
        <w:t>Is measurement frequent relative to system dynamics?</w:t>
      </w:r>
    </w:p>
    <w:p>
      <w:pPr>
        <w:pStyle w:val="ListNumber"/>
      </w:pPr>
      <w:r>
        <w:t>Which action changes when the threshold is crossed?</w:t>
      </w:r>
    </w:p>
    <w:p>
      <w:pPr>
        <w:pStyle w:val="Heading2"/>
      </w:pPr>
      <w:r>
        <w:t>18.3 Control-authority audit</w:t>
      </w:r>
    </w:p>
    <w:p>
      <w:r>
        <w:t>For each intervention, record responsible actor, legal authority, resources, implementation delay, affected interests, resistance, enforcement, unintended effects, and reversal conditions.</w:t>
      </w:r>
    </w:p>
    <w:p>
      <w:pPr>
        <w:pStyle w:val="Heading2"/>
      </w:pPr>
      <w:r>
        <w:t>18.4 Strategic behavior and power</w:t>
      </w:r>
    </w:p>
    <w:p>
      <w:r>
        <w:t>Actors may have conflicting objectives and unequal control. Power influences:</w:t>
      </w:r>
    </w:p>
    <w:p>
      <w:pPr>
        <w:pStyle w:val="ListBullet"/>
      </w:pPr>
      <w:r>
        <w:t>who defines identity and constraints;</w:t>
      </w:r>
    </w:p>
    <w:p>
      <w:pPr>
        <w:pStyle w:val="ListBullet"/>
      </w:pPr>
      <w:r>
        <w:t>whose burdens are visible;</w:t>
      </w:r>
    </w:p>
    <w:p>
      <w:pPr>
        <w:pStyle w:val="ListBullet"/>
      </w:pPr>
      <w:r>
        <w:t>who controls data and intervention;</w:t>
      </w:r>
    </w:p>
    <w:p>
      <w:pPr>
        <w:pStyle w:val="ListBullet"/>
      </w:pPr>
      <w:r>
        <w:t>which alternatives enter the architecture registry;</w:t>
      </w:r>
    </w:p>
    <w:p>
      <w:pPr>
        <w:pStyle w:val="ListBullet"/>
      </w:pPr>
      <w:r>
        <w:t>whose risk is accepted.</w:t>
      </w:r>
    </w:p>
    <w:p>
      <w:r>
        <w:t>Power therefore affects \(\Omega\), \(U_{\mathrm{impl}}\), interface evidence, and transformation feasibility. The first manuscript locates these effects without claiming a universal theory of power.</w:t>
      </w:r>
    </w:p>
    <w:p>
      <w:pPr>
        <w:pStyle w:val="Heading2"/>
      </w:pPr>
      <w:r>
        <w:t>18.5 Adaptive monitoring</w:t>
      </w:r>
    </w:p>
    <w:p>
      <w:r>
        <w:t>Let</w:t>
      </w:r>
    </w:p>
    <w:p>
      <w:pPr>
        <w:jc w:val="center"/>
      </w:pPr>
      <w:r>
        <w:rPr>
          <w:rFonts w:ascii="Cambria Math" w:hAnsi="Cambria Math"/>
          <w:i/>
          <w:sz w:val="21"/>
        </w:rPr>
        <w:t>\varepsilon(t)</w:t>
        <w:br/>
        <w:t>=z_{observed}(t)-z_{predicted}(t).</w:t>
      </w:r>
    </w:p>
    <w:p>
      <w:r>
        <w:t>If error exceeds a declared tolerance or an interface assumption fails, the certificate must be reviewed, narrowed, suspended, or replaced.</w:t>
      </w:r>
    </w:p>
    <w:p>
      <w:pPr>
        <w:pStyle w:val="Heading2"/>
      </w:pPr>
      <w:r>
        <w:t>18.6 Multi-model uncertainty</w:t>
      </w:r>
    </w:p>
    <w:p>
      <w:r>
        <w:t>Let</w:t>
      </w:r>
    </w:p>
    <w:p>
      <w:pPr>
        <w:jc w:val="center"/>
      </w:pPr>
      <w:r>
        <w:rPr>
          <w:rFonts w:ascii="Cambria Math" w:hAnsi="Cambria Math"/>
          <w:i/>
          <w:sz w:val="21"/>
        </w:rPr>
        <w:t>\mathfrak M=\{M_1,\ldots,M_n\}</w:t>
      </w:r>
    </w:p>
    <w:p>
      <w:r>
        <w:t>be plausible models. A model-robust policy satisfies constraints across the credible set. Where none does, use adaptive pathways, reversible experiments, discriminating monitoring, and precaution around irreversible states. Uncertainty changes decision architecture; it is not merely an error bar.</w:t>
      </w:r>
    </w:p>
    <w:p>
      <w:pPr>
        <w:pStyle w:val="Heading2"/>
      </w:pPr>
      <w:r>
        <w:t>18.7 Information as an enabling capacity</w:t>
      </w:r>
    </w:p>
    <w:p>
      <w:r>
        <w:t>Information is not merely another resource stock. Decision-relevant information has accuracy, timeliness, resolution, accessibility, and legitimacy. Monitoring capacity can fail even when measurements exist if information cannot reach authorized actors or trigger action.</w:t>
      </w:r>
    </w:p>
    <w:p>
      <w:r>
        <w:t>A minimal information interface includes:</w:t>
      </w:r>
    </w:p>
    <w:p>
      <w:pPr>
        <w:jc w:val="center"/>
      </w:pPr>
      <w:r>
        <w:rPr>
          <w:rFonts w:ascii="Cambria Math" w:hAnsi="Cambria Math"/>
          <w:i/>
          <w:sz w:val="21"/>
        </w:rPr>
        <w:t>\text{observation}</w:t>
        <w:br/>
        <w:t>\rightarrow</w:t>
        <w:br/>
        <w:t>\text{interpretation}</w:t>
        <w:br/>
        <w:t>\rightarrow</w:t>
        <w:br/>
        <w:t>\text{communication}</w:t>
        <w:br/>
        <w:t>\rightarrow</w:t>
        <w:br/>
        <w:t>\text{decision}</w:t>
        <w:br/>
        <w:t>\rightarrow</w:t>
        <w:br/>
        <w:t>\text{implementation}</w:t>
        <w:br/>
        <w:t>\rightarrow</w:t>
        <w:br/>
        <w:t>\text{effect}.</w:t>
      </w:r>
    </w:p>
    <w:p>
      <w:r>
        <w:t>Failure at any link increases effective response time or reduces the implementable policy set.</w:t>
      </w:r>
    </w:p>
    <w:p>
      <w:pPr>
        <w:pStyle w:val="Heading2"/>
      </w:pPr>
      <w:r>
        <w:t>18.8 Goodhart and strategic measurement</w:t>
      </w:r>
    </w:p>
    <w:p>
      <w:r>
        <w:t>When an indicator becomes a target, actors may optimize the indicator rather than the protected construct. The indicator registry should therefore include manipulation risk, independent validation, and multiple measures where feasible. A certificate based on a strategically corrupted indicator fails the epistemic projection even if the reported value satisfies its nominal threshold.</w:t>
      </w:r>
    </w:p>
    <w:p>
      <w:pPr>
        <w:pStyle w:val="Heading2"/>
      </w:pPr>
      <w:r>
        <w:t>18.9 Endogenous preferences and institutions</w:t>
      </w:r>
    </w:p>
    <w:p>
      <w:r>
        <w:t>Preferences, norms, technologies, and institutions can evolve. Within-architecture models may treat some as states. Changes that alter the action set, authority, or identity realization may instead trigger architecture transition. The distinction is made by the registered architecture, not by whether a variable is conventionally called “social.”</w:t>
      </w:r>
    </w:p>
    <w:p>
      <w:pPr>
        <w:pBdr>
          <w:bottom w:val="single" w:sz="6" w:color="AABBC5"/>
        </w:pBdr>
      </w:pPr>
    </w:p>
    <w:p>
      <w:pPr>
        <w:pStyle w:val="Heading1"/>
      </w:pPr>
      <w:r>
        <w:t>18A. Comparison and antitheorem catalogue</w:t>
      </w:r>
    </w:p>
    <w:p>
      <w:r>
        <w:t>The following non-equivalences are part of the formal architecture rather than editorial cautions:</w:t>
      </w:r>
    </w:p>
    <w:p>
      <w:pPr>
        <w:pStyle w:val="ListNumber"/>
      </w:pPr>
      <w:r>
        <w:t>kernel nonemptiness does not imply that the actual state is viable;</w:t>
      </w:r>
    </w:p>
    <w:p>
      <w:pPr>
        <w:pStyle w:val="ListNumber"/>
      </w:pPr>
      <w:r>
        <w:t>existential viability does not imply fixed-policy or all-disturbance safety;</w:t>
      </w:r>
    </w:p>
    <w:p>
      <w:pPr>
        <w:pStyle w:val="ListNumber"/>
      </w:pPr>
      <w:r>
        <w:t>an inward velocity available at a boundary does not imply that every disturbance velocity is inward;</w:t>
      </w:r>
    </w:p>
    <w:p>
      <w:pPr>
        <w:pStyle w:val="ListNumber"/>
      </w:pPr>
      <w:r>
        <w:t>a stable equilibrium need not satisfy the typed sustainability specification;</w:t>
      </w:r>
    </w:p>
    <w:p>
      <w:pPr>
        <w:pStyle w:val="ListNumber"/>
      </w:pPr>
      <w:r>
        <w:t>resilience of a regime need not imply normative or relational admissibility;</w:t>
      </w:r>
    </w:p>
    <w:p>
      <w:pPr>
        <w:pStyle w:val="ListNumber"/>
      </w:pPr>
      <w:r>
        <w:t>local subsystem kernels do not generally intersect or multiply into the joint kernel under shared policies or disturbances;</w:t>
      </w:r>
    </w:p>
    <w:p>
      <w:pPr>
        <w:pStyle w:val="ListNumber"/>
      </w:pPr>
      <w:r>
        <w:t>exact conjunction of typed constraints is not equivalent to a finite smooth minimum;</w:t>
      </w:r>
    </w:p>
    <w:p>
      <w:pPr>
        <w:pStyle w:val="ListNumber"/>
      </w:pPr>
      <w:r>
        <w:t>finer information improves viability only under an aligned comparison in which information may be ignored;</w:t>
      </w:r>
    </w:p>
    <w:p>
      <w:pPr>
        <w:pStyle w:val="ListNumber"/>
      </w:pPr>
      <w:r>
        <w:t>robust safety implies chance safety only when stochastic realizations are almost surely covered by the robust disturbance class;</w:t>
      </w:r>
    </w:p>
    <w:p>
      <w:pPr>
        <w:pStyle w:val="ListNumber"/>
      </w:pPr>
      <w:r>
        <w:t>finite-horizon kernels do not establish infinite-horizon viability without a convergence theorem;</w:t>
      </w:r>
    </w:p>
    <w:p>
      <w:pPr>
        <w:pStyle w:val="ListNumber"/>
      </w:pPr>
      <w:r>
        <w:t>convexified or relaxed disturbance kernels need not equal ordinary-signal kernels in nonconvex problems;</w:t>
      </w:r>
    </w:p>
    <w:p>
      <w:pPr>
        <w:pStyle w:val="ListNumber"/>
      </w:pPr>
      <w:r>
        <w:t>a desirable destination does not establish a safe transformation path;</w:t>
      </w:r>
    </w:p>
    <w:p>
      <w:pPr>
        <w:pStyle w:val="ListNumber"/>
      </w:pPr>
      <w:r>
        <w:t>changing the specification after observing failure does not improve the verdict under the frozen specification;</w:t>
      </w:r>
    </w:p>
    <w:p>
      <w:pPr>
        <w:pStyle w:val="ListNumber"/>
      </w:pPr>
      <w:r>
        <w:t>retrospective association, spectral structure, or closed-loop simulation does not by itself identify a causal institutional mechanism;</w:t>
      </w:r>
    </w:p>
    <w:p>
      <w:pPr>
        <w:pStyle w:val="ListNumber"/>
      </w:pPr>
      <w:r>
        <w:t>multiplying a physical timer by an unvalidated institutional quantity does not produce a cross-domain collapse law, and fast control cannot regenerate a nonrenewable stock or reverse a physical impossibility.</w:t>
      </w:r>
    </w:p>
    <w:p>
      <w:r>
        <w:t>These antitheorems should be paired with explicit counterexamples or cited results wherever a formal source is claimed.</w:t>
      </w:r>
    </w:p>
    <w:p>
      <w:pPr>
        <w:pStyle w:val="Heading1"/>
      </w:pPr>
      <w:r>
        <w:t>18B. Institutional and distributive operationalization</w:t>
      </w:r>
    </w:p>
    <w:p>
      <w:pPr>
        <w:pStyle w:val="Heading2"/>
      </w:pPr>
      <w:r>
        <w:t>18B.1 Institutional response profile</w:t>
      </w:r>
    </w:p>
    <w:p>
      <w:r>
        <w:t>Institutional capability is represented first as a typed profile rather than a scalar solvency index. The profile records observation quality and delay, assessment delay, decision delay, deployment delay, legal authority, enforcement, compliance, mandate load, learning, staffing, and budget/resource margins. Monetary expenditure may be a covariate but is neither exergy nor a universal solvency measure.</w:t>
      </w:r>
    </w:p>
    <w:p>
      <w:r>
        <w:t>For a declared hazard, initial set, disturbance class, and policy architecture, define the dynamics-aware latency margin</w:t>
      </w:r>
    </w:p>
    <w:p>
      <w:pPr>
        <w:jc w:val="center"/>
      </w:pPr>
      <w:r>
        <w:rPr>
          <w:rFonts w:ascii="Cambria Math" w:hAnsi="Cambria Math"/>
          <w:i/>
          <w:sz w:val="21"/>
        </w:rPr>
        <w:t>M_\tau=T_{exit}-T_{response}.</w:t>
      </w:r>
    </w:p>
    <w:p>
      <w:r>
        <w:t>A positive margin is not by itself a viability theorem: uncertainty, action effectiveness, authority, and inter-sample tube safety remain. The formal endpoint is an epistemic-institutional kernel or capture basin on a typed information/institution state.</w:t>
      </w:r>
    </w:p>
    <w:p>
      <w:pPr>
        <w:pStyle w:val="Heading2"/>
      </w:pPr>
      <w:r>
        <w:t>18B.2 Distributive margins</w:t>
      </w:r>
    </w:p>
    <w:p>
      <w:r>
        <w:t>For each protected component \(k\), define a dimensionless typed margin</w:t>
      </w:r>
    </w:p>
    <w:p>
      <w:pPr>
        <w:jc w:val="center"/>
      </w:pPr>
      <w:r>
        <w:rPr>
          <w:rFonts w:ascii="Cambria Math" w:hAnsi="Cambria Math"/>
          <w:i/>
          <w:sz w:val="21"/>
        </w:rPr>
        <w:t>m_k=(a_k-a_{floor,k})/s_k,</w:t>
        <w:br/>
        <w:t>\qquad s_k&gt;0,</w:t>
      </w:r>
    </w:p>
    <w:p>
      <w:r>
        <w:t>with scale, floor, population, provenance, and uncertainty declared. Exact conjunction is \(\min_k m_k\ge0\), or an essential infimum when the protected object is a population distribution. The smooth certificate</w:t>
      </w:r>
    </w:p>
    <w:p>
      <w:pPr>
        <w:jc w:val="center"/>
      </w:pPr>
      <w:r>
        <w:rPr>
          <w:rFonts w:ascii="Cambria Math" w:hAnsi="Cambria Math"/>
          <w:i/>
          <w:sz w:val="21"/>
        </w:rPr>
        <w:t>h_\rho=-\rho^{-1}\log\sum_k e^{-\rho m_k}</w:t>
      </w:r>
    </w:p>
    <w:p>
      <w:r>
        <w:t>is conservative: \(h_\rho\ge0\) implies every component margin is nonnegative, with approximation gap bounded by \(\log(n)/\rho\). Finite \(\rho\) does not give an exact equivalence.</w:t>
      </w:r>
    </w:p>
    <w:p>
      <w:r>
        <w:t>A global quantile must be taken from the pooled mixture distribution, not averaged across regional quantiles. Historical monetary thresholds retain their original purchasing-power vintage; current thresholds use the current official vintage. A genuine distributive barrier or viability result additionally requires dynamics, causal implementable policies, and a robust derivative or predecessor condition.</w:t>
      </w:r>
    </w:p>
    <w:p>
      <w:pPr>
        <w:pStyle w:val="Heading2"/>
      </w:pPr>
      <w:r>
        <w:t>18B.3 Negative institutional-index test</w:t>
      </w:r>
    </w:p>
    <w:p>
      <w:r>
        <w:t>A proposed institutional-solvency scalar of the form</w:t>
      </w:r>
    </w:p>
    <w:p>
      <w:pPr>
        <w:jc w:val="center"/>
      </w:pPr>
      <w:r>
        <w:rPr>
          <w:rFonts w:ascii="Cambria Math" w:hAnsi="Cambria Math"/>
          <w:i/>
          <w:sz w:val="21"/>
        </w:rPr>
        <w:t>\alpha=\Omega_c\tau_d</w:t>
      </w:r>
    </w:p>
    <w:p>
      <w:r>
        <w:t>fails if \(\Omega_c\) is a monetary quantity described as exergy without an energy conversion, if \(\alpha\) is assigned contradictory units, if its table is arithmetically inconsistent, or if its ordering assigns a favorable value to a paradigmatic failure case. These are independent dimensional, arithmetic, and construct-validity failures. Correcting the multiplication does not validate the construct or its threshold.</w:t>
      </w:r>
    </w:p>
    <w:p>
      <w:r>
        <w:t>A single adverse case can reject a proposed universal direction for a scalar. It does not prove that observation delay, action capacity, legitimacy, enforcement, or compliance are meaningless. Those dimensions remain separate entries in the institutional profile and enter a dynamics-aware kernel only through an identified model.</w:t>
      </w:r>
    </w:p>
    <w:p>
      <w:pPr>
        <w:pStyle w:val="Heading2"/>
      </w:pPr>
      <w:r>
        <w:t>18B.4 Who holds adaptive capacity</w:t>
      </w:r>
    </w:p>
    <w:p>
      <w:r>
        <w:t>Adaptive capacity belongs to named populations and institutions. A distributive specification therefore identifies a protected population \(G_t\), the authority selecting its floors, the instruments measuring each component, and the people who pay, decide, benefit, and bear risk. For component \(k\), the record includes</w:t>
      </w:r>
    </w:p>
    <w:p>
      <w:pPr>
        <w:jc w:val="center"/>
      </w:pPr>
      <w:r>
        <w:rPr>
          <w:rFonts w:ascii="Cambria Math" w:hAnsi="Cambria Math"/>
          <w:i/>
          <w:sz w:val="21"/>
        </w:rPr>
        <w:t>(G_t,I_k,c_k,s_k,T,\mathcal N,\rho_k),</w:t>
      </w:r>
    </w:p>
    <w:p>
      <w:r>
        <w:t>where \(I_k\) is the instrument, \(c_k\) the floor, \(s_k\) its units-matching scale, \(T\) the horizon, \(\mathcal N\) the normative authority, and \(\rho_k\) evidence and uncertainty. Future persons enter through current irreversible commitments, liabilities, option loss, and continuation specifications rather than fictitious future survey income.</w:t>
      </w:r>
    </w:p>
    <w:p>
      <w:r>
        <w:t>Income, multidimensional deprivation, participation, licences, migration, and recruitment are different measurements. No one of them exhausts authority, cultural continuity, anti-domination, or adaptive capacity. A named population in administrative licence data must not be silently replaced by residents of broad census geographies. Geographic, demographic, and industry crosswalks are part of the measurement model.</w:t>
      </w:r>
    </w:p>
    <w:p>
      <w:pPr>
        <w:pStyle w:val="Heading1"/>
      </w:pPr>
      <w:r>
        <w:t>18C. Model maps and exact projectability</w:t>
      </w:r>
    </w:p>
    <w:p>
      <w:r>
        <w:t>The terms specialization, exact projection, approximation, and singular reduction are not interchangeable:</w:t>
      </w:r>
    </w:p>
    <w:p>
      <w:pPr>
        <w:pStyle w:val="ListBullet"/>
      </w:pPr>
      <w:r>
        <w:t>a specialization fixes parameters or restricts an invariant subset;</w:t>
      </w:r>
    </w:p>
    <w:p>
      <w:pPr>
        <w:pStyle w:val="ListBullet"/>
      </w:pPr>
      <w:r>
        <w:t>an exact projection semiconjugates full and reduced flows;</w:t>
      </w:r>
    </w:p>
    <w:p>
      <w:pPr>
        <w:pStyle w:val="ListBullet"/>
      </w:pPr>
      <w:r>
        <w:t>an approximation carries a residual or error bound;</w:t>
      </w:r>
    </w:p>
    <w:p>
      <w:pPr>
        <w:pStyle w:val="ListBullet"/>
      </w:pPr>
      <w:r>
        <w:t>a singular reduction identifies a small parameter, limiting invariant object, and convergence domain.</w:t>
      </w:r>
    </w:p>
    <w:p>
      <w:r>
        <w:t>Let \(\dot z=F(z)\) have unique solutions and let \(p:Z\to R\) be continuously differentiable. An exact autonomous reduced vector field \(G\) can satisfy</w:t>
      </w:r>
    </w:p>
    <w:p>
      <w:pPr>
        <w:jc w:val="center"/>
      </w:pPr>
      <w:r>
        <w:rPr>
          <w:rFonts w:ascii="Cambria Math" w:hAnsi="Cambria Math"/>
          <w:i/>
          <w:sz w:val="21"/>
        </w:rPr>
        <w:t>p(\Phi_t(z))=\Psi_t(p(z))</w:t>
      </w:r>
    </w:p>
    <w:p>
      <w:r>
        <w:t>only if</w:t>
      </w:r>
    </w:p>
    <w:p>
      <w:pPr>
        <w:jc w:val="center"/>
      </w:pPr>
      <w:r>
        <w:rPr>
          <w:rFonts w:ascii="Cambria Math" w:hAnsi="Cambria Math"/>
          <w:i/>
          <w:sz w:val="21"/>
        </w:rPr>
        <w:t>Dp(z)F(z)=G(p(z)).</w:t>
      </w:r>
    </w:p>
    <w:p>
      <w:r>
        <w:t>Conversely, this derivative identity plus uniqueness of the reduced system gives the semiconjugacy while both solutions exist. Hence, if two full states share one projection but have different projected derivatives,</w:t>
      </w:r>
    </w:p>
    <w:p>
      <w:pPr>
        <w:jc w:val="center"/>
      </w:pPr>
      <w:r>
        <w:rPr>
          <w:rFonts w:ascii="Cambria Math" w:hAnsi="Cambria Math"/>
          <w:i/>
          <w:sz w:val="21"/>
        </w:rPr>
        <w:t>p(z_1)=p(z_2),</w:t>
        <w:br/>
        <w:t>\qquad</w:t>
        <w:br/>
        <w:t>Dp(z_1)F(z_1)\ne Dp(z_2)F(z_2),</w:t>
      </w:r>
    </w:p>
    <w:p>
      <w:r>
        <w:t>no exact autonomous model on that projection exists. Hidden active pools, detritus, memory, spatial heterogeneity, and deployment states commonly create this fibre obstruction. Approximate, memory-bearing, or singular reductions remain possible but require their own theorem.</w:t>
      </w:r>
    </w:p>
    <w:p>
      <w:r>
        <w:br w:type="page"/>
      </w:r>
    </w:p>
    <w:p>
      <w:pPr>
        <w:pStyle w:val="Heading1"/>
      </w:pPr>
      <w:r>
        <w:t>Part V. Instantiation Sketches</w:t>
      </w:r>
    </w:p>
    <w:p>
      <w:pPr>
        <w:pStyle w:val="Heading1"/>
      </w:pPr>
      <w:r>
        <w:t>19. Minimal stock–capacity–support model</w:t>
      </w:r>
    </w:p>
    <w:p>
      <w:r>
        <w:t>Let \(s\) be an essential stock, \(c\) internal capacity, \(e\) supporting-system state, and \(a\) activity:</w:t>
      </w:r>
    </w:p>
    <w:p>
      <w:pPr>
        <w:jc w:val="center"/>
      </w:pPr>
      <w:r>
        <w:rPr>
          <w:rFonts w:ascii="Cambria Math" w:hAnsi="Cambria Math"/>
          <w:i/>
          <w:sz w:val="21"/>
        </w:rPr>
        <w:t>\dot s=R(s,c,e)-U(a)-D_s(s,w),</w:t>
      </w:r>
    </w:p>
    <w:p>
      <w:pPr>
        <w:jc w:val="center"/>
      </w:pPr>
      <w:r>
        <w:rPr>
          <w:rFonts w:ascii="Cambria Math" w:hAnsi="Cambria Math"/>
          <w:i/>
          <w:sz w:val="21"/>
        </w:rPr>
        <w:t>\dot c=I_c(a)-\delta_c c-\Phi_c(a,c,w),</w:t>
      </w:r>
    </w:p>
    <w:p>
      <w:pPr>
        <w:jc w:val="center"/>
      </w:pPr>
      <w:r>
        <w:rPr>
          <w:rFonts w:ascii="Cambria Math" w:hAnsi="Cambria Math"/>
          <w:i/>
          <w:sz w:val="21"/>
        </w:rPr>
        <w:t>\dot e=R_e(e)-B_e(a,e,w).</w:t>
      </w:r>
    </w:p>
    <w:p>
      <w:r>
        <w:t>Require</w:t>
      </w:r>
    </w:p>
    <w:p>
      <w:pPr>
        <w:jc w:val="center"/>
      </w:pPr>
      <w:r>
        <w:rPr>
          <w:rFonts w:ascii="Cambria Math" w:hAnsi="Cambria Math"/>
          <w:i/>
          <w:sz w:val="21"/>
        </w:rPr>
        <w:t>s\ge s_{\min},</w:t>
        <w:br/>
        <w:t>\qquad</w:t>
        <w:br/>
        <w:t>c\ge c_{\min},</w:t>
        <w:br/>
        <w:t>\qquad</w:t>
        <w:br/>
        <w:t>e\ge e_{\min},</w:t>
      </w:r>
    </w:p>
    <w:p>
      <w:r>
        <w:t>and minimum provision</w:t>
      </w:r>
    </w:p>
    <w:p>
      <w:pPr>
        <w:jc w:val="center"/>
      </w:pPr>
      <w:r>
        <w:rPr>
          <w:rFonts w:ascii="Cambria Math" w:hAnsi="Cambria Math"/>
          <w:i/>
          <w:sz w:val="21"/>
        </w:rPr>
        <w:t>P(s,c,e,a)\ge y_{\min}.</w:t>
      </w:r>
    </w:p>
    <w:p>
      <w:r>
        <w:t>The sketch distinguishes stock depletion, capacity erosion, support degradation, and underprovision. It also represents cascades in which declining support lowers renewal, shrinking the stock and overloading capacity.</w:t>
      </w:r>
    </w:p>
    <w:p>
      <w:pPr>
        <w:pStyle w:val="Heading2"/>
      </w:pPr>
      <w:r>
        <w:t>Box 12. Instantiation status</w:t>
      </w:r>
    </w:p>
    <w:p>
      <w:pPr>
        <w:spacing w:before="120" w:after="120"/>
        <w:ind w:left="504" w:right="360"/>
      </w:pPr>
      <w:r>
        <w:rPr>
          <w:i/>
          <w:color w:val="2F5D73"/>
        </w:rPr>
        <w:t>The following ODEs exhibit the architecture’s interfaces and candidate failure loops. They are not calibrated models, computed kernels, or empirical validation.</w:t>
      </w:r>
    </w:p>
    <w:p>
      <w:pPr>
        <w:pBdr>
          <w:bottom w:val="single" w:sz="6" w:color="AABBC5"/>
        </w:pBdr>
      </w:pPr>
    </w:p>
    <w:p>
      <w:pPr>
        <w:pStyle w:val="Heading1"/>
      </w:pPr>
      <w:r>
        <w:t>19A. Componentwise material accounting instantiation</w:t>
      </w:r>
    </w:p>
    <w:p>
      <w:r>
        <w:t>A worked accounting scaffold uses six compartments for one declared conserved material:</w:t>
      </w:r>
    </w:p>
    <w:p>
      <w:pPr>
        <w:jc w:val="center"/>
      </w:pPr>
      <w:r>
        <w:rPr>
          <w:rFonts w:ascii="Cambria Math" w:hAnsi="Cambria Math"/>
          <w:i/>
          <w:sz w:val="21"/>
        </w:rPr>
        <w:t>z=(X,U,A,G,P,W),</w:t>
      </w:r>
    </w:p>
    <w:p>
      <w:r>
        <w:t>representing living biomass, recoverable residual, active abiotic pool, geological or slow pool, product stock, and unavailable waste. With nonnegative donor-limited primitive fluxes and a stoichiometric incidence matrix \(S\),</w:t>
      </w:r>
    </w:p>
    <w:p>
      <w:pPr>
        <w:jc w:val="center"/>
      </w:pPr>
      <w:r>
        <w:rPr>
          <w:rFonts w:ascii="Cambria Math" w:hAnsi="Cambria Math"/>
          <w:i/>
          <w:sz w:val="21"/>
        </w:rPr>
        <w:t>\dot z=S v(z,u),</w:t>
        <w:br/>
        <w:t>\qquad</w:t>
        <w:br/>
        <w:t>\mathbf 1^\top S=0,</w:t>
      </w:r>
    </w:p>
    <w:p>
      <w:r>
        <w:t>so total tracked material \(X+U+A+G+P+W\) is conserved in the closed illustration. Conservation and nonnegative invariance are separate: each decreasing flux must vanish when its donor is empty, and event jumps must satisfy their own balance.</w:t>
      </w:r>
    </w:p>
    <w:p>
      <w:r>
        <w:t>A service readout is distinct from observation and conservation:</w:t>
      </w:r>
    </w:p>
    <w:p>
      <w:pPr>
        <w:jc w:val="center"/>
      </w:pPr>
      <w:r>
        <w:rPr>
          <w:rFonts w:ascii="Cambria Math" w:hAnsi="Cambria Math"/>
          <w:i/>
          <w:sz w:val="21"/>
        </w:rPr>
        <w:t>s=\mathsf S_{svc}(z,u,\theta)=Q(\theta)v(z,u).</w:t>
      </w:r>
    </w:p>
    <w:p>
      <w:r>
        <w:t>It identifies delivered services and their units but does not certify regenerative support or trajectory safety. Let \(\Gamma_{reg}\subseteq\Gamma_{all}\) denote service sets after declared regenerative, boundary, quality, and capacity restrictions. For direction \(\bar s\),</w:t>
      </w:r>
    </w:p>
    <w:p>
      <w:pPr>
        <w:jc w:val="center"/>
      </w:pPr>
      <w:r>
        <w:rPr>
          <w:rFonts w:ascii="Cambria Math" w:hAnsi="Cambria Math"/>
          <w:i/>
          <w:sz w:val="21"/>
        </w:rPr>
        <w:t>\alpha_{reg}(\bar s)</w:t>
        <w:br/>
        <w:t>=</w:t>
        <w:br/>
        <w:t>\sup\{\alpha\in[0,1]:\alpha\bar s\in\Gamma_{reg}\}.</w:t>
      </w:r>
    </w:p>
    <w:p>
      <w:r>
        <w:t>Closedness along the ray gives attainment. It does not imply feasibility of every smaller fraction; that radial interval property additionally follows from star-shapedness about zero, with convexity as a sufficient condition. Gross turnover, local net depletion, scenario hitting time, and viability remain different diagnostics.</w:t>
      </w:r>
    </w:p>
    <w:p>
      <w:pPr>
        <w:pStyle w:val="Heading2"/>
      </w:pPr>
      <w:r>
        <w:t>19A.1 Three bounded diagnostic applications</w:t>
      </w:r>
    </w:p>
    <w:p>
      <w:pPr>
        <w:pStyle w:val="Heading3"/>
      </w:pPr>
      <w:r>
        <w:t>Groundwater anomaly persistence</w:t>
      </w:r>
    </w:p>
    <w:p>
      <w:r>
        <w:t>For a groundwater-storage anomaly series \(a(t)\), define</w:t>
      </w:r>
    </w:p>
    <w:p>
      <w:pPr>
        <w:jc w:val="center"/>
      </w:pPr>
      <w:r>
        <w:rPr>
          <w:rFonts w:ascii="Cambria Math" w:hAnsi="Cambria Math"/>
          <w:i/>
          <w:sz w:val="21"/>
        </w:rPr>
        <w:t>L_{hist}^{anom}</w:t>
        <w:br/>
        <w:t>=</w:t>
        <w:br/>
        <w:t>\frac{a_{latest}-a_{hist,min}}{[-\widehat{\dot a}]_+}.</w:t>
      </w:r>
    </w:p>
    <w:p>
      <w:r>
        <w:t>Using the accepted G3P v1.12 April 2002–September 2023 extraction, the reported basin-mean trends and indices are: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CE8EF"/>
            <w:vAlign w:val="center"/>
          </w:tcPr>
          <w:p>
            <w:r>
              <w:rPr>
                <w:b/>
              </w:rPr>
              <w:t>Basin</w:t>
            </w:r>
          </w:p>
        </w:tc>
        <w:tc>
          <w:tcPr>
            <w:tcW w:type="dxa" w:w="3216"/>
            <w:shd w:fill="DCE8EF"/>
            <w:vAlign w:val="center"/>
          </w:tcPr>
          <w:p>
            <w:r>
              <w:rPr>
                <w:b/>
              </w:rPr>
              <w:t>Anomaly trend (cm/yr)</w:t>
            </w:r>
          </w:p>
        </w:tc>
        <w:tc>
          <w:tcPr>
            <w:tcW w:type="dxa" w:w="3216"/>
            <w:shd w:fill="DCE8EF"/>
            <w:vAlign w:val="center"/>
          </w:tcPr>
          <w:p>
            <w:r>
              <w:rPr>
                <w:b/>
              </w:rPr>
              <w:t>\(L_{hist}^{anom}\) (yr)</w:t>
            </w:r>
          </w:p>
        </w:tc>
      </w:tr>
      <w:tr>
        <w:tc>
          <w:tcPr>
            <w:tcW w:type="dxa" w:w="3216"/>
          </w:tcPr>
          <w:p>
            <w:r>
              <w:t>Indo–Gangetic</w:t>
            </w:r>
          </w:p>
        </w:tc>
        <w:tc>
          <w:tcPr>
            <w:tcW w:type="dxa" w:w="3216"/>
          </w:tcPr>
          <w:p>
            <w:r>
              <w:t>−49.7</w:t>
            </w:r>
          </w:p>
        </w:tc>
        <w:tc>
          <w:tcPr>
            <w:tcW w:type="dxa" w:w="3216"/>
          </w:tcPr>
          <w:p>
            <w:r>
              <w:t>approximately 2.7</w:t>
            </w:r>
          </w:p>
        </w:tc>
      </w:tr>
      <w:tr>
        <w:tc>
          <w:tcPr>
            <w:tcW w:type="dxa" w:w="3216"/>
          </w:tcPr>
          <w:p>
            <w:r>
              <w:t>North China Plain</w:t>
            </w:r>
          </w:p>
        </w:tc>
        <w:tc>
          <w:tcPr>
            <w:tcW w:type="dxa" w:w="3216"/>
          </w:tcPr>
          <w:p>
            <w:r>
              <w:t>−18.6</w:t>
            </w:r>
          </w:p>
        </w:tc>
        <w:tc>
          <w:tcPr>
            <w:tcW w:type="dxa" w:w="3216"/>
          </w:tcPr>
          <w:p>
            <w:r>
              <w:t>approximately 7.9</w:t>
            </w:r>
          </w:p>
        </w:tc>
      </w:tr>
      <w:tr>
        <w:tc>
          <w:tcPr>
            <w:tcW w:type="dxa" w:w="3216"/>
          </w:tcPr>
          <w:p>
            <w:r>
              <w:t>Central Valley</w:t>
            </w:r>
          </w:p>
        </w:tc>
        <w:tc>
          <w:tcPr>
            <w:tcW w:type="dxa" w:w="3216"/>
          </w:tcPr>
          <w:p>
            <w:r>
              <w:t>−16.1</w:t>
            </w:r>
          </w:p>
        </w:tc>
        <w:tc>
          <w:tcPr>
            <w:tcW w:type="dxa" w:w="3216"/>
          </w:tcPr>
          <w:p>
            <w:r>
              <w:t>approximately 9.5</w:t>
            </w:r>
          </w:p>
        </w:tc>
      </w:tr>
      <w:tr>
        <w:tc>
          <w:tcPr>
            <w:tcW w:type="dxa" w:w="3216"/>
          </w:tcPr>
          <w:p>
            <w:r>
              <w:t>La Mancha</w:t>
            </w:r>
          </w:p>
        </w:tc>
        <w:tc>
          <w:tcPr>
            <w:tcW w:type="dxa" w:w="3216"/>
          </w:tcPr>
          <w:p>
            <w:r>
              <w:t>−3.2</w:t>
            </w:r>
          </w:p>
        </w:tc>
        <w:tc>
          <w:tcPr>
            <w:tcW w:type="dxa" w:w="3216"/>
          </w:tcPr>
          <w:p>
            <w:r>
              <w:t>approximately 21.4</w:t>
            </w:r>
          </w:p>
        </w:tc>
      </w:tr>
    </w:tbl>
    <w:p/>
    <w:p>
      <w:r>
        <w:t>These are statistical anomaly-persistence indices relative to the product window and historical minimum. They are not absolute storage ratios, aquifer exhaustion forecasts, or basin viability certificates.</w:t>
      </w:r>
    </w:p>
    <w:p>
      <w:pPr>
        <w:pStyle w:val="Heading3"/>
      </w:pPr>
      <w:r>
        <w:t>Phosphate reserve-life ratio</w:t>
      </w:r>
    </w:p>
    <w:p>
      <w:r>
        <w:t>With approximately \(74{,}000\) Mt of reported world reserves and \(240{,}000\) kt/yr production,</w:t>
      </w:r>
    </w:p>
    <w:p>
      <w:pPr>
        <w:jc w:val="center"/>
      </w:pPr>
      <w:r>
        <w:rPr>
          <w:rFonts w:ascii="Cambria Math" w:hAnsi="Cambria Math"/>
          <w:i/>
          <w:sz w:val="21"/>
        </w:rPr>
        <w:t>T_{reserve}=\frac{G_{reserve}}{C_G}\approx309\text{ years}.</w:t>
      </w:r>
    </w:p>
    <w:p>
      <w:r>
        <w:t>This is a constant-production reserve-life ratio to zero. Economic reserve classifications change with prices, technology, discovery, regulation, and data vintage; the ratio is not a physical exhaustion forecast.</w:t>
      </w:r>
    </w:p>
    <w:p>
      <w:pPr>
        <w:pStyle w:val="Heading3"/>
      </w:pPr>
      <w:r>
        <w:t>Fisheries removals-only pressure time</w:t>
      </w:r>
    </w:p>
    <w:p>
      <w:r>
        <w:t>For \(SSB&gt;B_{lim}&gt;0\) and fishing mortality \(F&gt;0\),</w:t>
      </w:r>
    </w:p>
    <w:p>
      <w:pPr>
        <w:jc w:val="center"/>
      </w:pPr>
      <w:r>
        <w:rPr>
          <w:rFonts w:ascii="Cambria Math" w:hAnsi="Cambria Math"/>
          <w:i/>
          <w:sz w:val="21"/>
        </w:rPr>
        <w:t>\Theta_F</w:t>
        <w:br/>
        <w:t>=</w:t>
        <w:br/>
        <w:t>\frac{\log(SSB/B_{lim})}{F}.</w:t>
      </w:r>
    </w:p>
    <w:p>
      <w:r>
        <w:t>This is the crossing time of the deliberately incomplete comparison \(\dot B=-FB\). It omits recruitment, growth, maturation, natural mortality, environment, and future policy. It is therefore a removals-only pressure time, not a net depletion ratio or demographic hitting-time forecast.</w:t>
      </w:r>
    </w:p>
    <w:p>
      <w:pPr>
        <w:pStyle w:val="Heading1"/>
      </w:pPr>
      <w:r>
        <w:t>20. Ecological instantiation</w:t>
      </w:r>
    </w:p>
    <w:p>
      <w:r>
        <w:t>For managed grassland, let \(B\) be vegetation biomass, \(N\) soil condition, and \(H\) harvest or grazing pressure:</w:t>
      </w:r>
    </w:p>
    <w:p>
      <w:pPr>
        <w:jc w:val="center"/>
      </w:pPr>
      <w:r>
        <w:rPr>
          <w:rFonts w:ascii="Cambria Math" w:hAnsi="Cambria Math"/>
          <w:i/>
          <w:sz w:val="21"/>
        </w:rPr>
        <w:t>\dot B</w:t>
        <w:br/>
        <w:t>=r(N)B\left(1-\frac{B}{K(N)}\right)-H-D_B(w),</w:t>
      </w:r>
    </w:p>
    <w:p>
      <w:pPr>
        <w:jc w:val="center"/>
      </w:pPr>
      <w:r>
        <w:rPr>
          <w:rFonts w:ascii="Cambria Math" w:hAnsi="Cambria Math"/>
          <w:i/>
          <w:sz w:val="21"/>
        </w:rPr>
        <w:t>\dot N</w:t>
        <w:br/>
        <w:t>=R_N(N,B)-E_N(H,w).</w:t>
      </w:r>
    </w:p>
    <w:p>
      <w:r>
        <w:t>Ecological constraints require minimum biomass and soil condition while provisioning requires minimum yield. This produces</w:t>
      </w:r>
    </w:p>
    <w:p>
      <w:pPr>
        <w:jc w:val="center"/>
      </w:pPr>
      <w:r>
        <w:rPr>
          <w:rFonts w:ascii="Cambria Math" w:hAnsi="Cambria Math"/>
          <w:i/>
          <w:sz w:val="21"/>
        </w:rPr>
        <w:t>H_{\min}</w:t>
        <w:br/>
        <w:t>\le H</w:t>
        <w:br/>
        <w:t>\le H_{\max}(B,N,w).</w:t>
      </w:r>
    </w:p>
    <w:p>
      <w:r>
        <w:t>The relevant conclusion is not that sustainability maximizes conservation or harvest. It seeks a viable corridor under the declared identity and disturbance set.</w:t>
      </w:r>
    </w:p>
    <w:p>
      <w:pPr>
        <w:pStyle w:val="Heading2"/>
      </w:pPr>
      <w:r>
        <w:t>20.1 Physical ecological foundation</w:t>
      </w:r>
    </w:p>
    <w:p>
      <w:r>
        <w:t>Ecological systems are materially constrained. Models must respect mass balance, energy conservation, finite process rates, and entropy production. Open ecosystems maintain organized structure through energy throughput and material exchange; local material cycling is not perfectly closed. Carbon, nitrogen, phosphorus, sulfur, water, biomass, and waste sinks can be represented through explicit balances.</w:t>
      </w:r>
    </w:p>
    <w:p>
      <w:r>
        <w:t>Non-equilibrium thermodynamics, stoichiometry, kinetics, transport, and temperature may supply domain-specific bounds. The maximum entropy production principle is not adopted as an indubitable universal axiom. Onsager relations and Carnot efficiency should not be indiscriminately applied to whole ecosystems, economies, or societies. Their use requires scope conditions. Thermodynamics constrains social systems through physical embodiment but does not derive rights, justice, legitimacy, or meaning.</w:t>
      </w:r>
    </w:p>
    <w:p>
      <w:pPr>
        <w:pStyle w:val="Heading2"/>
      </w:pPr>
      <w:r>
        <w:t>Box 12A. Ecological interface example</w:t>
      </w:r>
    </w:p>
    <w:p>
      <w:r>
        <w:t>A physical ecological module may receive energy flux, temperature, finite material pools, climatic conditions, extraction, restoration, and disturbance as inputs. It may offer resource flows, regenerated biomass, ecosystem services, habitat conditions, assimilative capacity, waste streams, degraded heat, and uncertainty envelopes as outputs. These interfaces allow economic and social modules to respect physical conditions without claiming that social value, legitimacy, or justice reduces to energy and material variables.</w:t>
      </w:r>
    </w:p>
    <w:p>
      <w:pPr>
        <w:pBdr>
          <w:bottom w:val="single" w:sz="6" w:color="AABBC5"/>
        </w:pBdr>
      </w:pPr>
    </w:p>
    <w:p>
      <w:pPr>
        <w:pStyle w:val="Heading1"/>
      </w:pPr>
      <w:r>
        <w:t>21. Economic instantiation</w:t>
      </w:r>
    </w:p>
    <w:p>
      <w:r>
        <w:t>Let \(K\) be productive capital, \(I\) essential inventories, \(D\) obligations, \(E\) ecological support, \(q\) output, and \(c_g\) provision to group \(g\):</w:t>
      </w:r>
    </w:p>
    <w:p>
      <w:pPr>
        <w:jc w:val="center"/>
      </w:pPr>
      <w:r>
        <w:rPr>
          <w:rFonts w:ascii="Cambria Math" w:hAnsi="Cambria Math"/>
          <w:i/>
          <w:sz w:val="21"/>
        </w:rPr>
        <w:t>\dot K</w:t>
        <w:br/>
        <w:t>=\operatorname{Inv}(q)-\delta K-\Phi_K(q,K),</w:t>
      </w:r>
    </w:p>
    <w:p>
      <w:pPr>
        <w:jc w:val="center"/>
      </w:pPr>
      <w:r>
        <w:rPr>
          <w:rFonts w:ascii="Cambria Math" w:hAnsi="Cambria Math"/>
          <w:i/>
          <w:sz w:val="21"/>
        </w:rPr>
        <w:t>\dot I</w:t>
        <w:br/>
        <w:t>=q-\sum_g c_g-\operatorname{loss}(I),</w:t>
      </w:r>
    </w:p>
    <w:p>
      <w:pPr>
        <w:jc w:val="center"/>
      </w:pPr>
      <w:r>
        <w:rPr>
          <w:rFonts w:ascii="Cambria Math" w:hAnsi="Cambria Math"/>
          <w:i/>
          <w:sz w:val="21"/>
        </w:rPr>
        <w:t>\dot D</w:t>
        <w:br/>
        <w:t>=r_DD+\operatorname{borrowing}-\operatorname{repayment},</w:t>
      </w:r>
    </w:p>
    <w:p>
      <w:pPr>
        <w:jc w:val="center"/>
      </w:pPr>
      <w:r>
        <w:rPr>
          <w:rFonts w:ascii="Cambria Math" w:hAnsi="Cambria Math"/>
          <w:i/>
          <w:sz w:val="21"/>
        </w:rPr>
        <w:t>\dot E</w:t>
        <w:br/>
        <w:t>=R_E(E)-\operatorname{burden}(q).</w:t>
      </w:r>
    </w:p>
    <w:p>
      <w:r>
        <w:t>Output growth alone does not establish sustainability. Provision, solvency, maintenance, ecological support, distribution, and commons allocation must be jointly assessed. Behavioral equations require empirical contract types; accounting identities may be deterministic.</w:t>
      </w:r>
    </w:p>
    <w:p>
      <w:pPr>
        <w:pBdr>
          <w:bottom w:val="single" w:sz="6" w:color="AABBC5"/>
        </w:pBdr>
      </w:pPr>
    </w:p>
    <w:p>
      <w:pPr>
        <w:pStyle w:val="Heading1"/>
      </w:pPr>
      <w:r>
        <w:t>22. Social-institutional instantiation</w:t>
      </w:r>
    </w:p>
    <w:p>
      <w:r>
        <w:t>For a public health service, let \(Q\) be unresolved cases, \(C\) treatment capacity, \(A_g\) access, \(T_g\) waiting time, \(V_g\) procedural violations, and \(\lambda\) incoming demand:</w:t>
      </w:r>
    </w:p>
    <w:p>
      <w:pPr>
        <w:jc w:val="center"/>
      </w:pPr>
      <w:r>
        <w:rPr>
          <w:rFonts w:ascii="Cambria Math" w:hAnsi="Cambria Math"/>
          <w:i/>
          <w:sz w:val="21"/>
        </w:rPr>
        <w:t>\dot Q</w:t>
        <w:br/>
        <w:t>=\lambda(t)-\mu(C,Q),</w:t>
      </w:r>
    </w:p>
    <w:p>
      <w:pPr>
        <w:jc w:val="center"/>
      </w:pPr>
      <w:r>
        <w:rPr>
          <w:rFonts w:ascii="Cambria Math" w:hAnsi="Cambria Math"/>
          <w:i/>
          <w:sz w:val="21"/>
        </w:rPr>
        <w:t>\dot C</w:t>
        <w:br/>
        <w:t>=I_C-\delta C-\Phi_C(Q/C).</w:t>
      </w:r>
    </w:p>
    <w:p>
      <w:r>
        <w:t>Constraints may include</w:t>
      </w:r>
    </w:p>
    <w:p>
      <w:pPr>
        <w:jc w:val="center"/>
      </w:pPr>
      <w:r>
        <w:rPr>
          <w:rFonts w:ascii="Cambria Math" w:hAnsi="Cambria Math"/>
          <w:i/>
          <w:sz w:val="21"/>
        </w:rPr>
        <w:t>A_g\ge A_g^{\min},</w:t>
        <w:br/>
        <w:t>\qquad</w:t>
        <w:br/>
        <w:t>T_g\le T_g^{\max},</w:t>
        <w:br/>
        <w:t>\qquad</w:t>
        <w:br/>
        <w:t>V_g\le V_g^{\max},</w:t>
        <w:br/>
        <w:t>\qquad</w:t>
        <w:br/>
        <w:t>C\ge C_{\min}.</w:t>
      </w:r>
    </w:p>
    <w:p>
      <w:r>
        <w:t>This model uses a common grammar of load, capacity, delay, and distribution without treating rights, legitimacy, or cooperation as conserved physical stocks. Its equations remain empirical placeholders requiring measurement, uncertainty, and strategic semantics.</w:t>
      </w:r>
    </w:p>
    <w:p>
      <w:pPr>
        <w:pBdr>
          <w:bottom w:val="single" w:sz="6" w:color="AABBC5"/>
        </w:pBdr>
      </w:pPr>
    </w:p>
    <w:p>
      <w:pPr>
        <w:pStyle w:val="Heading1"/>
      </w:pPr>
      <w:r>
        <w:t>23. Coupled community instantiation</w:t>
      </w:r>
    </w:p>
    <w:p>
      <w:r>
        <w:t>Consider a community whose economy depends on a renewable resource and generates pollution.</w:t>
      </w:r>
    </w:p>
    <w:p>
      <w:pPr>
        <w:pStyle w:val="Heading2"/>
      </w:pPr>
      <w:r>
        <w:t>23.1 Ecological module</w:t>
      </w:r>
    </w:p>
    <w:p>
      <w:r>
        <w:t>Let \(R\) be resource stock, \(P\) pollution, and \(E\) regenerative capacity:</w:t>
      </w:r>
    </w:p>
    <w:p>
      <w:pPr>
        <w:jc w:val="center"/>
      </w:pPr>
      <w:r>
        <w:rPr>
          <w:rFonts w:ascii="Cambria Math" w:hAnsi="Cambria Math"/>
          <w:i/>
          <w:sz w:val="21"/>
        </w:rPr>
        <w:t>\dot R</w:t>
        <w:br/>
        <w:t>=r(E)R\left(1-\frac{R}{K_R(E)}\right)</w:t>
        <w:br/>
        <w:t>-H-\phi(P)R+w_R,</w:t>
      </w:r>
    </w:p>
    <w:p>
      <w:pPr>
        <w:jc w:val="center"/>
      </w:pPr>
      <w:r>
        <w:rPr>
          <w:rFonts w:ascii="Cambria Math" w:hAnsi="Cambria Math"/>
          <w:i/>
          <w:sz w:val="21"/>
        </w:rPr>
        <w:t>\dot P</w:t>
        <w:br/>
        <w:t>=\epsilon_YY-A-\lambda_E(E)P+w_P,</w:t>
      </w:r>
    </w:p>
    <w:p>
      <w:pPr>
        <w:jc w:val="center"/>
      </w:pPr>
      <w:r>
        <w:rPr>
          <w:rFonts w:ascii="Cambria Math" w:hAnsi="Cambria Math"/>
          <w:i/>
          <w:sz w:val="21"/>
        </w:rPr>
        <w:t>\dot E</w:t>
        <w:br/>
        <w:t>=J_E-\delta_EE-\psi_H(H,R)-\psi_P(P).</w:t>
      </w:r>
    </w:p>
    <w:p>
      <w:r>
        <w:t>Constraints include</w:t>
      </w:r>
    </w:p>
    <w:p>
      <w:pPr>
        <w:jc w:val="center"/>
      </w:pPr>
      <w:r>
        <w:rPr>
          <w:rFonts w:ascii="Cambria Math" w:hAnsi="Cambria Math"/>
          <w:i/>
          <w:sz w:val="21"/>
        </w:rPr>
        <w:t>R\ge R_{\min},</w:t>
        <w:br/>
        <w:t>\qquad</w:t>
        <w:br/>
        <w:t>P\le P_{\max},</w:t>
        <w:br/>
        <w:t>\qquad</w:t>
        <w:br/>
        <w:t>E\ge E_{\min}.</w:t>
      </w:r>
    </w:p>
    <w:p>
      <w:pPr>
        <w:pStyle w:val="Heading2"/>
      </w:pPr>
      <w:r>
        <w:t>23.2 Economic module</w:t>
      </w:r>
    </w:p>
    <w:p>
      <w:r>
        <w:t>Let output be</w:t>
      </w:r>
    </w:p>
    <w:p>
      <w:pPr>
        <w:jc w:val="center"/>
      </w:pPr>
      <w:r>
        <w:rPr>
          <w:rFonts w:ascii="Cambria Math" w:hAnsi="Cambria Math"/>
          <w:i/>
          <w:sz w:val="21"/>
        </w:rPr>
        <w:t>Y=F(K,H,L_b),</w:t>
      </w:r>
    </w:p>
    <w:p>
      <w:r>
        <w:t>with</w:t>
      </w:r>
    </w:p>
    <w:p>
      <w:pPr>
        <w:jc w:val="center"/>
      </w:pPr>
      <w:r>
        <w:rPr>
          <w:rFonts w:ascii="Cambria Math" w:hAnsi="Cambria Math"/>
          <w:i/>
          <w:sz w:val="21"/>
        </w:rPr>
        <w:t>\dot K</w:t>
        <w:br/>
        <w:t>=J_K-\delta_KK-\chi(P,R)K,</w:t>
      </w:r>
    </w:p>
    <w:p>
      <w:pPr>
        <w:jc w:val="center"/>
      </w:pPr>
      <w:r>
        <w:rPr>
          <w:rFonts w:ascii="Cambria Math" w:hAnsi="Cambria Math"/>
          <w:i/>
          <w:sz w:val="21"/>
        </w:rPr>
        <w:t>\dot I</w:t>
        <w:br/>
        <w:t>=Y-\sum_gC_g-J_E-J_K-J_G-A-\operatorname{loss}(I).</w:t>
      </w:r>
    </w:p>
    <w:p>
      <w:r>
        <w:t>Distribution shares satisfy \(C_g=\theta_gC\), \(\sum_g\theta_g=1\).</w:t>
      </w:r>
    </w:p>
    <w:p>
      <w:pPr>
        <w:pStyle w:val="Heading2"/>
      </w:pPr>
      <w:r>
        <w:t>23.3 Governance module</w:t>
      </w:r>
    </w:p>
    <w:p>
      <w:r>
        <w:t>Let incoming workload be</w:t>
      </w:r>
    </w:p>
    <w:p>
      <w:pPr>
        <w:jc w:val="center"/>
      </w:pPr>
      <w:r>
        <w:rPr>
          <w:rFonts w:ascii="Cambria Math" w:hAnsi="Cambria Math"/>
          <w:i/>
          <w:sz w:val="21"/>
        </w:rPr>
        <w:t>\Lambda</w:t>
        <w:br/>
        <w:t>=\Lambda_0</w:t>
        <w:br/>
        <w:t>+\alpha_PP</w:t>
        <w:br/>
        <w:t>+\alpha_I\max(0,I_{\min}-I)</w:t>
        <w:br/>
        <w:t>+\alpha_DD_{ineq},</w:t>
      </w:r>
    </w:p>
    <w:p>
      <w:r>
        <w:t>with</w:t>
      </w:r>
    </w:p>
    <w:p>
      <w:pPr>
        <w:jc w:val="center"/>
      </w:pPr>
      <w:r>
        <w:rPr>
          <w:rFonts w:ascii="Cambria Math" w:hAnsi="Cambria Math"/>
          <w:i/>
          <w:sz w:val="21"/>
        </w:rPr>
        <w:t>\dot Q=\Lambda-\mu(G,Q),</w:t>
      </w:r>
    </w:p>
    <w:p>
      <w:pPr>
        <w:jc w:val="center"/>
      </w:pPr>
      <w:r>
        <w:rPr>
          <w:rFonts w:ascii="Cambria Math" w:hAnsi="Cambria Math"/>
          <w:i/>
          <w:sz w:val="21"/>
        </w:rPr>
        <w:t>\dot G</w:t>
        <w:br/>
        <w:t>=J_G-\delta_GG-\Phi_G(Q/G).</w:t>
      </w:r>
    </w:p>
    <w:p>
      <w:r>
        <w:t>Actual extraction may be</w:t>
      </w:r>
    </w:p>
    <w:p>
      <w:pPr>
        <w:jc w:val="center"/>
      </w:pPr>
      <w:r>
        <w:rPr>
          <w:rFonts w:ascii="Cambria Math" w:hAnsi="Cambria Math"/>
          <w:i/>
          <w:sz w:val="21"/>
        </w:rPr>
        <w:t>H_{actual}</w:t>
        <w:br/>
        <w:t>=H_{authorized}</w:t>
        <w:br/>
        <w:t>+H_{unregulated}(G,\text{incentives}).</w:t>
      </w:r>
    </w:p>
    <w:p>
      <w:r>
        <w:t>The sign and form of this relation are empirical.</w:t>
      </w:r>
    </w:p>
    <w:p>
      <w:pPr>
        <w:pStyle w:val="Heading2"/>
      </w:pPr>
      <w:r>
        <w:t>23.4 Joint interfaces and candidate loops</w:t>
      </w:r>
    </w:p>
    <w:p>
      <w:r>
        <w:t>The policy vector is</w:t>
      </w:r>
    </w:p>
    <w:p>
      <w:pPr>
        <w:jc w:val="center"/>
      </w:pPr>
      <w:r>
        <w:rPr>
          <w:rFonts w:ascii="Cambria Math" w:hAnsi="Cambria Math"/>
          <w:i/>
          <w:sz w:val="21"/>
        </w:rPr>
        <w:t>u=(H,A,J_E,J_K,J_G,\theta_1,\ldots,\theta_n).</w:t>
      </w:r>
    </w:p>
    <w:p>
      <w:r>
        <w:t>An illustrative augmented state is</w:t>
      </w:r>
    </w:p>
    <w:p>
      <w:pPr>
        <w:jc w:val="center"/>
      </w:pPr>
      <w:r>
        <w:rPr>
          <w:rFonts w:ascii="Cambria Math" w:hAnsi="Cambria Math"/>
          <w:i/>
          <w:sz w:val="21"/>
        </w:rPr>
        <w:t>z=</w:t>
        <w:br/>
        <w:t>(R,P,E,K,I,Q,G,C_1,\ldots,C_n,V_1,\ldots,V_n).</w:t>
      </w:r>
    </w:p>
    <w:p>
      <w:r>
        <w:t>Its typed constraint registry may generate the joint conditions</w:t>
      </w:r>
    </w:p>
    <w:p>
      <w:pPr>
        <w:jc w:val="center"/>
      </w:pPr>
      <w:r>
        <w:rPr>
          <w:rFonts w:ascii="Cambria Math" w:hAnsi="Cambria Math"/>
          <w:i/>
          <w:sz w:val="21"/>
        </w:rPr>
        <w:t>R\ge R_{\min},\quad</w:t>
        <w:br/>
        <w:t>P\le P_{\max},\quad</w:t>
        <w:br/>
        <w:t>E\ge E_{\min},\quad</w:t>
        <w:br/>
        <w:t>K\ge K_{\min},\quad</w:t>
        <w:br/>
        <w:t>I\ge I_{\min},</w:t>
      </w:r>
    </w:p>
    <w:p>
      <w:pPr>
        <w:jc w:val="center"/>
      </w:pPr>
      <w:r>
        <w:rPr>
          <w:rFonts w:ascii="Cambria Math" w:hAnsi="Cambria Math"/>
          <w:i/>
          <w:sz w:val="21"/>
        </w:rPr>
        <w:t>Q\le Q_{\max},\quad</w:t>
        <w:br/>
        <w:t>G\ge G_{\min},\quad</w:t>
        <w:br/>
        <w:t>C_g\ge C_g^{\min},\quad</w:t>
        <w:br/>
        <w:t>V_g\le V_g^{\max}</w:t>
        <w:br/>
        <w:t>\qquad\forall g.</w:t>
      </w:r>
    </w:p>
    <w:p>
      <w:r>
        <w:t>These bounds do not all have the same status. Resource and pollution conditions may combine physical and functional evidence; provision and violation bounds may be normative; governance thresholds may be empirical-functional; and commons allocations are relational. The registry retains those types while Operator I evaluates their joint attainability.</w:t>
      </w:r>
    </w:p>
    <w:p>
      <w:r>
        <w:t>Candidate failure loops include:</w:t>
      </w:r>
    </w:p>
    <w:p>
      <w:pPr>
        <w:pStyle w:val="ListBullet"/>
      </w:pPr>
      <w:r>
        <w:t>extraction lowers resource and regenerative capacity, raising future pressure;</w:t>
      </w:r>
    </w:p>
    <w:p>
      <w:pPr>
        <w:pStyle w:val="ListBullet"/>
      </w:pPr>
      <w:r>
        <w:t>production raises pollution, which damages ecological and productive capacity;</w:t>
      </w:r>
    </w:p>
    <w:p>
      <w:pPr>
        <w:pStyle w:val="ListBullet"/>
      </w:pPr>
      <w:r>
        <w:t>present provision pressure suppresses maintenance, intensifying later pressure;</w:t>
      </w:r>
    </w:p>
    <w:p>
      <w:pPr>
        <w:pStyle w:val="ListBullet"/>
      </w:pPr>
      <w:r>
        <w:t>inequality may raise conflict and governance workload, weakening compliance;</w:t>
      </w:r>
    </w:p>
    <w:p>
      <w:pPr>
        <w:pStyle w:val="ListBullet"/>
      </w:pPr>
      <w:r>
        <w:t>aggregate output may rise while ecological, governance, or group-specific constraints deteriorate.</w:t>
      </w:r>
    </w:p>
    <w:p>
      <w:r>
        <w:t>These loops are hypotheses and interface demonstrations, not validated predictions.</w:t>
      </w:r>
    </w:p>
    <w:p>
      <w:pPr>
        <w:pStyle w:val="Heading2"/>
      </w:pPr>
      <w:r>
        <w:t>23.5 Necessary steady-state relations in the sketch</w:t>
      </w:r>
    </w:p>
    <w:p>
      <w:r>
        <w:t>If the coupled model admits a steady state, necessary relations include:</w:t>
      </w:r>
    </w:p>
    <w:p>
      <w:r>
        <w:rPr>
          <w:b/>
        </w:rPr>
        <w:t>Resource:</w:t>
      </w:r>
    </w:p>
    <w:p>
      <w:pPr>
        <w:jc w:val="center"/>
      </w:pPr>
      <w:r>
        <w:rPr>
          <w:rFonts w:ascii="Cambria Math" w:hAnsi="Cambria Math"/>
          <w:i/>
          <w:sz w:val="21"/>
        </w:rPr>
        <w:t>H^*</w:t>
        <w:br/>
        <w:t>\le</w:t>
        <w:br/>
        <w:t>r(E^*)R^*</w:t>
        <w:br/>
        <w:t>\left(1-\frac{R^*}{K_R(E^*)}\right)</w:t>
        <w:br/>
        <w:t>-\phi(P^*)R^*.</w:t>
      </w:r>
    </w:p>
    <w:p>
      <w:r>
        <w:rPr>
          <w:b/>
        </w:rPr>
        <w:t>Pollution:</w:t>
      </w:r>
    </w:p>
    <w:p>
      <w:pPr>
        <w:jc w:val="center"/>
      </w:pPr>
      <w:r>
        <w:rPr>
          <w:rFonts w:ascii="Cambria Math" w:hAnsi="Cambria Math"/>
          <w:i/>
          <w:sz w:val="21"/>
        </w:rPr>
        <w:t>\epsilon_YY^*</w:t>
        <w:br/>
        <w:t>\le</w:t>
        <w:br/>
        <w:t>A^*+\lambda_E(E^*)P_{max}.</w:t>
      </w:r>
    </w:p>
    <w:p>
      <w:r>
        <w:rPr>
          <w:b/>
        </w:rPr>
        <w:t>Ecological capacity:</w:t>
      </w:r>
    </w:p>
    <w:p>
      <w:pPr>
        <w:jc w:val="center"/>
      </w:pPr>
      <w:r>
        <w:rPr>
          <w:rFonts w:ascii="Cambria Math" w:hAnsi="Cambria Math"/>
          <w:i/>
          <w:sz w:val="21"/>
        </w:rPr>
        <w:t>J_E^*</w:t>
        <w:br/>
        <w:t>\ge</w:t>
        <w:br/>
        <w:t>\delta_EE^*</w:t>
        <w:br/>
        <w:t>+\psi_H(H^*,R^*)</w:t>
        <w:br/>
        <w:t>+\psi_P(P^*).</w:t>
      </w:r>
    </w:p>
    <w:p>
      <w:r>
        <w:rPr>
          <w:b/>
        </w:rPr>
        <w:t>Productive capital:</w:t>
      </w:r>
    </w:p>
    <w:p>
      <w:pPr>
        <w:jc w:val="center"/>
      </w:pPr>
      <w:r>
        <w:rPr>
          <w:rFonts w:ascii="Cambria Math" w:hAnsi="Cambria Math"/>
          <w:i/>
          <w:sz w:val="21"/>
        </w:rPr>
        <w:t>J_K^*</w:t>
        <w:br/>
        <w:t>\ge</w:t>
        <w:br/>
        <w:t>\delta_KK^*</w:t>
        <w:br/>
        <w:t>+\chi(P^*,R^*)K^*.</w:t>
      </w:r>
    </w:p>
    <w:p>
      <w:r>
        <w:rPr>
          <w:b/>
        </w:rPr>
        <w:t>Governance capacity:</w:t>
      </w:r>
    </w:p>
    <w:p>
      <w:pPr>
        <w:jc w:val="center"/>
      </w:pPr>
      <w:r>
        <w:rPr>
          <w:rFonts w:ascii="Cambria Math" w:hAnsi="Cambria Math"/>
          <w:i/>
          <w:sz w:val="21"/>
        </w:rPr>
        <w:t>J_G^*</w:t>
        <w:br/>
        <w:t>\ge</w:t>
        <w:br/>
        <w:t>\delta_GG^*</w:t>
        <w:br/>
        <w:t>+\Phi_G(Q^*/G^*).</w:t>
      </w:r>
    </w:p>
    <w:p>
      <w:r>
        <w:rPr>
          <w:b/>
        </w:rPr>
        <w:t>Provision:</w:t>
      </w:r>
    </w:p>
    <w:p>
      <w:pPr>
        <w:jc w:val="center"/>
      </w:pPr>
      <w:r>
        <w:rPr>
          <w:rFonts w:ascii="Cambria Math" w:hAnsi="Cambria Math"/>
          <w:i/>
          <w:sz w:val="21"/>
        </w:rPr>
        <w:t>C_g^*\ge C_g^{min}</w:t>
        <w:br/>
        <w:t>\qquad\forall g.</w:t>
      </w:r>
    </w:p>
    <w:p>
      <w:r>
        <w:t>These conditions are not sufficient. Stability, disturbance, delay, transition, contract confidence, strategic behavior, and commons allocation remain.</w:t>
      </w:r>
    </w:p>
    <w:p>
      <w:pPr>
        <w:pStyle w:val="Heading2"/>
      </w:pPr>
      <w:r>
        <w:t>23.6 Expanded failure-loop catalogue</w:t>
      </w:r>
    </w:p>
    <w:p>
      <w:r>
        <w:rPr>
          <w:b/>
        </w:rPr>
        <w:t>Extraction–capacity spiral</w:t>
      </w:r>
    </w:p>
    <w:p>
      <w:pPr>
        <w:jc w:val="center"/>
      </w:pPr>
      <w:r>
        <w:rPr>
          <w:rFonts w:ascii="Cambria Math" w:hAnsi="Cambria Math"/>
          <w:i/>
          <w:sz w:val="21"/>
        </w:rPr>
        <w:t>H\uparrow</w:t>
        <w:br/>
        <w:t>\Rightarrow</w:t>
        <w:br/>
        <w:t>R,E\downarrow</w:t>
        <w:br/>
        <w:t>\Rightarrow</w:t>
        <w:br/>
        <w:t>\text{regeneration}\downarrow</w:t>
        <w:br/>
        <w:t>\Rightarrow</w:t>
        <w:br/>
        <w:t>\text{future extraction effort}\uparrow.</w:t>
      </w:r>
    </w:p>
    <w:p>
      <w:r>
        <w:rPr>
          <w:b/>
        </w:rPr>
        <w:t>Pollution–production spiral</w:t>
      </w:r>
    </w:p>
    <w:p>
      <w:pPr>
        <w:jc w:val="center"/>
      </w:pPr>
      <w:r>
        <w:rPr>
          <w:rFonts w:ascii="Cambria Math" w:hAnsi="Cambria Math"/>
          <w:i/>
          <w:sz w:val="21"/>
        </w:rPr>
        <w:t>Y\uparrow</w:t>
        <w:br/>
        <w:t>\Rightarrow</w:t>
        <w:br/>
        <w:t>P\uparrow</w:t>
        <w:br/>
        <w:t>\Rightarrow</w:t>
        <w:br/>
        <w:t>E,K\downarrow</w:t>
        <w:br/>
        <w:t>\Rightarrow</w:t>
        <w:br/>
        <w:t>\text{maintenance burden}\uparrow</w:t>
        <w:br/>
        <w:t>\Rightarrow</w:t>
        <w:br/>
        <w:t>\text{abatement capacity}\downarrow.</w:t>
      </w:r>
    </w:p>
    <w:p>
      <w:r>
        <w:rPr>
          <w:b/>
        </w:rPr>
        <w:t>Underinvestment spiral</w:t>
      </w:r>
    </w:p>
    <w:p>
      <w:pPr>
        <w:jc w:val="center"/>
      </w:pPr>
      <w:r>
        <w:rPr>
          <w:rFonts w:ascii="Cambria Math" w:hAnsi="Cambria Math"/>
          <w:i/>
          <w:sz w:val="21"/>
        </w:rPr>
        <w:t>\text{present pressure}\uparrow</w:t>
        <w:br/>
        <w:t>\Rightarrow</w:t>
        <w:br/>
        <w:t>J_E,J_K,J_G\downarrow</w:t>
        <w:br/>
        <w:t>\Rightarrow</w:t>
        <w:br/>
        <w:t>\text{future capacities}\downarrow</w:t>
        <w:br/>
        <w:t>\Rightarrow</w:t>
        <w:br/>
        <w:t>\text{future pressure}\uparrow.</w:t>
      </w:r>
    </w:p>
    <w:p>
      <w:r>
        <w:rPr>
          <w:b/>
        </w:rPr>
        <w:t>Governance-overload spiral</w:t>
      </w:r>
    </w:p>
    <w:p>
      <w:pPr>
        <w:jc w:val="center"/>
      </w:pPr>
      <w:r>
        <w:rPr>
          <w:rFonts w:ascii="Cambria Math" w:hAnsi="Cambria Math"/>
          <w:i/>
          <w:sz w:val="21"/>
        </w:rPr>
        <w:t>Q\uparrow</w:t>
        <w:br/>
        <w:t>\Rightarrow</w:t>
        <w:br/>
        <w:t>\Phi_G\uparrow</w:t>
        <w:br/>
        <w:t>\Rightarrow</w:t>
        <w:br/>
        <w:t>G\downarrow</w:t>
        <w:br/>
        <w:t>\Rightarrow</w:t>
        <w:br/>
        <w:t>\mu\downarrow</w:t>
        <w:br/>
        <w:t>\Rightarrow</w:t>
        <w:br/>
        <w:t>Q\uparrow.</w:t>
      </w:r>
    </w:p>
    <w:p>
      <w:r>
        <w:rPr>
          <w:b/>
        </w:rPr>
        <w:t>False-success trajectory</w:t>
      </w:r>
    </w:p>
    <w:p>
      <w:r>
        <w:t>Average output and provision rise while ecological capacity, governance margin, or provision to a protected subgroup declines. Typed judgments prevent an aggregate output indicator from certifying this trajectory.</w:t>
      </w:r>
    </w:p>
    <w:p>
      <w:pPr>
        <w:pStyle w:val="Heading2"/>
      </w:pPr>
      <w:r>
        <w:t>23.7 Transformation sketch</w:t>
      </w:r>
    </w:p>
    <w:p>
      <w:r>
        <w:t>Suppose no implementable extraction and investment policy can satisfy resource, provision, and governance constraints in the current architecture. Candidate destination architectures might alter technology, property rules, distribution, monitoring, or production structure. Each destination receives its own state space and contracts. Operator II asks whether the transition preserves higher-order identity, avoids irreversible ecological loss, respects cumulative social harm, and reaches the destination viability kernel.</w:t>
      </w:r>
    </w:p>
    <w:p>
      <w:r>
        <w:t>The sketch intentionally leaves destination dynamics open. Its role is to show where transformation theory attaches.</w:t>
      </w:r>
    </w:p>
    <w:p>
      <w:pPr>
        <w:pStyle w:val="Heading1"/>
      </w:pPr>
      <w:r>
        <w:t>23A. Northern cod as a bounded model-discrimination case</w:t>
      </w:r>
    </w:p>
    <w:p>
      <w:r>
        <w:t>The Northern cod stock in NAFO 2J3KL provides a named test of what one restricted model class cannot explain. Let spawning-stock biomass satisfy a fixed scalar autonomous equation</w:t>
      </w:r>
    </w:p>
    <w:p>
      <w:pPr>
        <w:jc w:val="center"/>
      </w:pPr>
      <w:r>
        <w:rPr>
          <w:rFonts w:ascii="Cambria Math" w:hAnsi="Cambria Math"/>
          <w:i/>
          <w:sz w:val="21"/>
        </w:rPr>
        <w:t>\dot S=F(S)</w:t>
        <w:br/>
        <w:t>=rS\left(1-\frac{S}{K}\right)</w:t>
        <w:br/>
        <w:t>\frac{S-\mathfrak s}{K-\mathfrak s}-C,</w:t>
      </w:r>
    </w:p>
    <w:p>
      <w:r>
        <w:t>with fixed parameters, constant removals, and a locally unique solution. A nonconstant scalar autonomous trajectory is monotone between equilibria. It cannot repeatedly rise and fall across a common state interval. Consequently, a non-monotonic assessment series cannot be an exact trajectory of one fixed scalar autonomous surplus model.</w:t>
      </w:r>
    </w:p>
    <w:p>
      <w:r>
        <w:t>This is an exact-path model rejection, not identification of an Allee mechanism. Time-varying catch, time-varying mortality, migration, age structure, process noise, and observation error lie outside the rejected class. If extra constant loss is added, a lower positive equilibrium shifts upward only while the modified equilibria exist; a sufficiently large loss removes the positive pair rather than merely shifting a threshold.</w:t>
      </w:r>
    </w:p>
    <w:p>
      <w:pPr>
        <w:pStyle w:val="Heading2"/>
      </w:pPr>
      <w:r>
        <w:t>23A.1 Verified assessment values and model attribution</w:t>
      </w:r>
    </w:p>
    <w:p>
      <w:r>
        <w:t>DFO SAR 2016/026 reports, for the M-shift formulation of the Northern Cod Assessment Model, SSB estimates of approximately 382, 101, and 31 kt and M estimates of 2.214, 2.575, and 2.331 yr\(^{-1}\) for 1992–1994. These are model-based estimates, not direct observations of a biological cause. Assessment proceedings caution that estimated M represents unreported deaths and may absorb unreported fishing mortality. Alternative formulations allocate mortality differently.</w:t>
      </w:r>
    </w:p>
    <w:p>
      <w:r>
        <w:t>The defensible empirical distinction is therefore between the collapse window and the later low-biomass/non-recovery window. The exact fixed scalar model fails for the full non-monotonic path, while causal allocation among natural mortality, unreported removals, food limitation, depensation, and other mechanisms remains model-dependent.</w:t>
      </w:r>
    </w:p>
    <w:p>
      <w:pPr>
        <w:pStyle w:val="Heading2"/>
      </w:pPr>
      <w:r>
        <w:t>23A.2 Institutional and distributive interfaces</w:t>
      </w:r>
    </w:p>
    <w:p>
      <w:r>
        <w:t>The directed-fishery moratorium was announced on 2 July 1992. An annual 1992 SSB estimate does not identify a within-year threshold-crossing date, so it cannot establish a one-year governance lead. Response timing also does not establish action magnitude, compliance, ecological effect, or counterfactual adequacy.</w:t>
      </w:r>
    </w:p>
    <w:p>
      <w:r>
        <w:t>The commercial fishery was reopened in 2024 with a Canadian TAC of 18,000 t. This later event supplies a prospective governance observation, not proof that either the earlier closure or later reopening caused the stock trajectory.</w:t>
      </w:r>
    </w:p>
    <w:p>
      <w:r>
        <w:t>A linked community analysis must distinguish residents of fishing-dependent census subdivisions from inshore harvesters, licence holders, crew, and processing workers. Statistics Canada resource-community tables include fishing, aquaculture, and seafood preparation/packaging and do not by themselves define the 2J3KL affected population. A geographic and fishery crosswalk is required before community margins are computed.</w:t>
      </w:r>
    </w:p>
    <w:p>
      <w:pPr>
        <w:pStyle w:val="Heading2"/>
      </w:pPr>
      <w:r>
        <w:t>23A.3 Status</w:t>
      </w:r>
    </w:p>
    <w:p>
      <w:r>
        <w:t>The scalar-autonomous obstruction and the cited DFO table values are retained. Constrained-mortality calculations, institutional margins, ecosystem discriminants, and community tables require archived equations, queries, code, uncertainty, and population mappings before they enter a certificate. The case is a bounded falsification example, not the programme's complete end-to-end application.</w:t>
      </w:r>
    </w:p>
    <w:p>
      <w:pPr>
        <w:pStyle w:val="Heading1"/>
      </w:pPr>
      <w:r>
        <w:t>23B. Registered delayed-feedback and nonlinear-transition module</w:t>
      </w:r>
    </w:p>
    <w:p>
      <w:r>
        <w:t>A restricted delayed resource model uses a nonnegative stock \(N\), filtered signal \(Z\), and bounded effort or deployment \(E\). Its interpretation is model-specific: scarcity-amplifying extraction, protective restraint, and inertia/capture have different controller signs and may not share thresholds.</w:t>
      </w:r>
    </w:p>
    <w:p>
      <w:r>
        <w:t>The official sampled-governance implementation uses review times \(t_n\), projection of the next command into \([0,E_{max}]\), and zero-order hold on \([t_n,t_{n+1})\). Convex interpolation is a different model class. A continuous-delay approximation requires a review interval, hold rule, implementation lag, and approximation error; discrete review can exhibit transitions absent from a continuous-delay equation.</w:t>
      </w:r>
    </w:p>
    <w:p>
      <w:r>
        <w:t>For the registered bounded delayed family, the physical domain separates nonnegative stock and signal from bounded effort. The extinction face can contain both an interior-effort equilibrium and a gate-induced boundary equilibrium \((N,Z,E)=(0,\delta,E_{max})\); these branches are classified separately. Fixed-demand stock culling stops at the first hitting time of zero or uses a donor limiter.</w:t>
      </w:r>
    </w:p>
    <w:p>
      <w:r>
        <w:t>A primitive material-flux variant with living stock \(X\), residual \(U\), and active pool \(A=\mathcal M-X-U\) satisfies, on \(X+U=\mathcal M\),</w:t>
      </w:r>
    </w:p>
    <w:p>
      <w:pPr>
        <w:jc w:val="center"/>
      </w:pPr>
      <w:r>
        <w:rPr>
          <w:rFonts w:ascii="Cambria Math" w:hAnsi="Cambria Math"/>
          <w:i/>
          <w:sz w:val="21"/>
        </w:rPr>
        <w:t>\frac d{dt}(X+U)=-qEX-\gamma_UU\le0,</w:t>
      </w:r>
    </w:p>
    <w:p>
      <w:r>
        <w:t>under the declared boundary assumptions. This proves invariance of the material simplex and prevents a numerical trajectory from being interpreted outside its physical domain.</w:t>
      </w:r>
    </w:p>
    <w:p>
      <w:r>
        <w:t>Local Hopf crossings, continued periodic branches, Floquet multipliers, and periodic-orbit folds are model-specific numerical propositions. Their accepted source-stated status does not transfer across model variants. Safety relevance additionally requires a declared safe set, admissible initial histories, and an attractor, basin, or reachable-tube intersection test.</w:t>
      </w:r>
    </w:p>
    <w:p>
      <w:r>
        <w:t>An earlier high-dimensional scaffold is retained as a negative model audit: undefined outputs, unclosed covariance dynamics, negative-boundary possibilities, or missing parameters prevent its historical spectral targets from becoming propositions. Closed lower-dimensional evidence does not retroactively validate that scaffold.</w:t>
      </w:r>
    </w:p>
    <w:p>
      <w:r>
        <w:br w:type="page"/>
      </w:r>
    </w:p>
    <w:p>
      <w:pPr>
        <w:pStyle w:val="Heading1"/>
      </w:pPr>
      <w:r>
        <w:t>Part VI. Assessment Outputs and Research Programme</w:t>
      </w:r>
    </w:p>
    <w:p>
      <w:pPr>
        <w:pStyle w:val="Heading1"/>
      </w:pPr>
      <w:r>
        <w:t>24. Output portfolio</w:t>
      </w:r>
    </w:p>
    <w:p>
      <w:r>
        <w:t>A sustainability assessment should produce more than a binary label:</w:t>
      </w:r>
    </w:p>
    <w:p>
      <w:pPr>
        <w:pStyle w:val="ListNumber"/>
      </w:pPr>
      <w:r>
        <w:t>physical-feasibility result;</w:t>
      </w:r>
    </w:p>
    <w:p>
      <w:pPr>
        <w:pStyle w:val="ListNumber"/>
      </w:pPr>
      <w:r>
        <w:t>functional viability result;</w:t>
      </w:r>
    </w:p>
    <w:p>
      <w:pPr>
        <w:pStyle w:val="ListNumber"/>
      </w:pPr>
      <w:r>
        <w:t>normative-admissibility result;</w:t>
      </w:r>
    </w:p>
    <w:p>
      <w:pPr>
        <w:pStyle w:val="ListNumber"/>
      </w:pPr>
      <w:r>
        <w:t>relational and commons-allocation result;</w:t>
      </w:r>
    </w:p>
    <w:p>
      <w:pPr>
        <w:pStyle w:val="ListNumber"/>
      </w:pPr>
      <w:r>
        <w:t>current-state viability-kernel membership;</w:t>
      </w:r>
    </w:p>
    <w:p>
      <w:pPr>
        <w:pStyle w:val="ListNumber"/>
      </w:pPr>
      <w:r>
        <w:t>bottleneck and robustness margins;</w:t>
      </w:r>
    </w:p>
    <w:p>
      <w:pPr>
        <w:pStyle w:val="ListNumber"/>
      </w:pPr>
      <w:r>
        <w:t>transformation-path status;</w:t>
      </w:r>
    </w:p>
    <w:p>
      <w:pPr>
        <w:pStyle w:val="ListNumber"/>
      </w:pPr>
      <w:r>
        <w:t>boundary-interface adequacy statement;</w:t>
      </w:r>
    </w:p>
    <w:p>
      <w:pPr>
        <w:pStyle w:val="ListNumber"/>
      </w:pPr>
      <w:r>
        <w:t>unresolved assumptions and proof obligations;</w:t>
      </w:r>
    </w:p>
    <w:p>
      <w:pPr>
        <w:pStyle w:val="ListNumber"/>
      </w:pPr>
      <w:r>
        <w:t>evidence and confidence grade.</w:t>
      </w:r>
    </w:p>
    <w:p>
      <w:r>
        <w:t>Possible classifications include:</w:t>
      </w:r>
    </w:p>
    <w:p>
      <w:pPr>
        <w:pStyle w:val="ListBullet"/>
      </w:pPr>
      <w:r>
        <w:t>sustainable within the current architecture;</w:t>
      </w:r>
    </w:p>
    <w:p>
      <w:pPr>
        <w:pStyle w:val="ListBullet"/>
      </w:pPr>
      <w:r>
        <w:t>dynamically resilient but normatively inadmissible;</w:t>
      </w:r>
    </w:p>
    <w:p>
      <w:pPr>
        <w:pStyle w:val="ListBullet"/>
      </w:pPr>
      <w:r>
        <w:t>physically feasible but functionally nonviable;</w:t>
      </w:r>
    </w:p>
    <w:p>
      <w:pPr>
        <w:pStyle w:val="ListBullet"/>
      </w:pPr>
      <w:r>
        <w:t>relationally noncompliant;</w:t>
      </w:r>
    </w:p>
    <w:p>
      <w:pPr>
        <w:pStyle w:val="ListBullet"/>
      </w:pPr>
      <w:r>
        <w:t>locally infeasible but recoverable within the architecture;</w:t>
      </w:r>
    </w:p>
    <w:p>
      <w:pPr>
        <w:pStyle w:val="ListBullet"/>
      </w:pPr>
      <w:r>
        <w:t>transitionally sustainable through a declared architecture path;</w:t>
      </w:r>
    </w:p>
    <w:p>
      <w:pPr>
        <w:pStyle w:val="ListBullet"/>
      </w:pPr>
      <w:r>
        <w:t>structurally infeasible within known architectures;</w:t>
      </w:r>
    </w:p>
    <w:p>
      <w:pPr>
        <w:pStyle w:val="ListBullet"/>
      </w:pPr>
      <w:r>
        <w:t>indeterminate because of unresolved interfaces or evidence.</w:t>
      </w:r>
    </w:p>
    <w:p>
      <w:pPr>
        <w:pBdr>
          <w:bottom w:val="single" w:sz="6" w:color="AABBC5"/>
        </w:pBdr>
      </w:pPr>
    </w:p>
    <w:p>
      <w:pPr>
        <w:pStyle w:val="Heading2"/>
      </w:pPr>
      <w:r>
        <w:t>24.1 Typed failure taxonomy</w:t>
      </w:r>
    </w:p>
    <w:tbl>
      <w:tblPr>
        <w:tblStyle w:val="TableGrid"/>
        <w:tblW w:type="auto" w:w="0"/>
        <w:jc w:val="center"/>
        <w:tblLook w:firstColumn="1" w:firstRow="1" w:lastColumn="0" w:lastRow="0" w:noHBand="0" w:noVBand="1" w:val="04A0"/>
      </w:tblPr>
      <w:tblGrid>
        <w:gridCol w:w="4824"/>
        <w:gridCol w:w="4824"/>
      </w:tblGrid>
      <w:tr>
        <w:tc>
          <w:tcPr>
            <w:tcW w:type="dxa" w:w="4824"/>
            <w:shd w:fill="DCE8EF"/>
            <w:vAlign w:val="center"/>
          </w:tcPr>
          <w:p>
            <w:r>
              <w:rPr>
                <w:b/>
              </w:rPr>
              <w:t>Failure class</w:t>
            </w:r>
          </w:p>
        </w:tc>
        <w:tc>
          <w:tcPr>
            <w:tcW w:type="dxa" w:w="4824"/>
            <w:shd w:fill="DCE8EF"/>
            <w:vAlign w:val="center"/>
          </w:tcPr>
          <w:p>
            <w:r>
              <w:rPr>
                <w:b/>
              </w:rPr>
              <w:t>Meaning</w:t>
            </w:r>
          </w:p>
        </w:tc>
      </w:tr>
      <w:tr>
        <w:tc>
          <w:tcPr>
            <w:tcW w:type="dxa" w:w="4824"/>
          </w:tcPr>
          <w:p>
            <w:r>
              <w:t>Material inconsistency</w:t>
            </w:r>
          </w:p>
        </w:tc>
        <w:tc>
          <w:tcPr>
            <w:tcW w:type="dxa" w:w="4824"/>
          </w:tcPr>
          <w:p>
            <w:r>
              <w:t>Balance, unit, donor, or reset equations are internally invalid</w:t>
            </w:r>
          </w:p>
        </w:tc>
      </w:tr>
      <w:tr>
        <w:tc>
          <w:tcPr>
            <w:tcW w:type="dxa" w:w="4824"/>
          </w:tcPr>
          <w:p>
            <w:r>
              <w:t>Physical infeasibility</w:t>
            </w:r>
          </w:p>
        </w:tc>
        <w:tc>
          <w:tcPr>
            <w:tcW w:type="dxa" w:w="4824"/>
          </w:tcPr>
          <w:p>
            <w:r>
              <w:t>No physically admissible trajectory satisfies the declared constraints</w:t>
            </w:r>
          </w:p>
        </w:tc>
      </w:tr>
      <w:tr>
        <w:tc>
          <w:tcPr>
            <w:tcW w:type="dxa" w:w="4824"/>
          </w:tcPr>
          <w:p>
            <w:r>
              <w:t>Epistemic/common-prescription infeasibility</w:t>
            </w:r>
          </w:p>
        </w:tc>
        <w:tc>
          <w:tcPr>
            <w:tcW w:type="dxa" w:w="4824"/>
          </w:tcPr>
          <w:p>
            <w:r>
              <w:t>Latent states may be viable individually but no observation-based common prescription is safe</w:t>
            </w:r>
          </w:p>
        </w:tc>
      </w:tr>
      <w:tr>
        <w:tc>
          <w:tcPr>
            <w:tcW w:type="dxa" w:w="4824"/>
          </w:tcPr>
          <w:p>
            <w:r>
              <w:t>Authority infeasibility</w:t>
            </w:r>
          </w:p>
        </w:tc>
        <w:tc>
          <w:tcPr>
            <w:tcW w:type="dxa" w:w="4824"/>
          </w:tcPr>
          <w:p>
            <w:r>
              <w:t>A saving action exists physically but no authorized prescription can select it</w:t>
            </w:r>
          </w:p>
        </w:tc>
      </w:tr>
      <w:tr>
        <w:tc>
          <w:tcPr>
            <w:tcW w:type="dxa" w:w="4824"/>
          </w:tcPr>
          <w:p>
            <w:r>
              <w:t>Implementation infeasibility</w:t>
            </w:r>
          </w:p>
        </w:tc>
        <w:tc>
          <w:tcPr>
            <w:tcW w:type="dxa" w:w="4824"/>
          </w:tcPr>
          <w:p>
            <w:r>
              <w:t>An authorized prescription exists but compliance, enforcement, resources, or actuator deployment cannot realize it robustly</w:t>
            </w:r>
          </w:p>
        </w:tc>
      </w:tr>
      <w:tr>
        <w:tc>
          <w:tcPr>
            <w:tcW w:type="dxa" w:w="4824"/>
          </w:tcPr>
          <w:p>
            <w:r>
              <w:t>Temporal infeasibility</w:t>
            </w:r>
          </w:p>
        </w:tc>
        <w:tc>
          <w:tcPr>
            <w:tcW w:type="dxa" w:w="4824"/>
          </w:tcPr>
          <w:p>
            <w:r>
              <w:t>Observation, decision, deployment, or effect arrives after the relevant safety window</w:t>
            </w:r>
          </w:p>
        </w:tc>
      </w:tr>
      <w:tr>
        <w:tc>
          <w:tcPr>
            <w:tcW w:type="dxa" w:w="4824"/>
          </w:tcPr>
          <w:p>
            <w:r>
              <w:t>Recovery failure</w:t>
            </w:r>
          </w:p>
        </w:tc>
        <w:tc>
          <w:tcPr>
            <w:tcW w:type="dxa" w:w="4824"/>
          </w:tcPr>
          <w:p>
            <w:r>
              <w:t>The current state cannot reach the target kernel inside the authorized emergency envelope</w:t>
            </w:r>
          </w:p>
        </w:tc>
      </w:tr>
      <w:tr>
        <w:tc>
          <w:tcPr>
            <w:tcW w:type="dxa" w:w="4824"/>
          </w:tcPr>
          <w:p>
            <w:r>
              <w:t>Architecture-transition failure</w:t>
            </w:r>
          </w:p>
        </w:tc>
        <w:tc>
          <w:tcPr>
            <w:tcW w:type="dxa" w:w="4824"/>
          </w:tcPr>
          <w:p>
            <w:r>
              <w:t>No registered translation-safe path reaches a viable destination architecture</w:t>
            </w:r>
          </w:p>
        </w:tc>
      </w:tr>
      <w:tr>
        <w:tc>
          <w:tcPr>
            <w:tcW w:type="dxa" w:w="4824"/>
          </w:tcPr>
          <w:p>
            <w:r>
              <w:t>Model-credibility failure</w:t>
            </w:r>
          </w:p>
        </w:tc>
        <w:tc>
          <w:tcPr>
            <w:tcW w:type="dxa" w:w="4824"/>
          </w:tcPr>
          <w:p>
            <w:r>
              <w:t>Data, closure, identifiability, approximation, or interface evidence cannot support the claimed verdict</w:t>
            </w:r>
          </w:p>
        </w:tc>
      </w:tr>
      <w:tr>
        <w:tc>
          <w:tcPr>
            <w:tcW w:type="dxa" w:w="4824"/>
          </w:tcPr>
          <w:p>
            <w:r>
              <w:t>Normative incompatibility</w:t>
            </w:r>
          </w:p>
        </w:tc>
        <w:tc>
          <w:tcPr>
            <w:tcW w:type="dxa" w:w="4824"/>
          </w:tcPr>
          <w:p>
            <w:r>
              <w:t>Adopted rights, floors, burdens, identities, or authorities cannot be jointly satisfied under the frozen specification</w:t>
            </w:r>
          </w:p>
        </w:tc>
      </w:tr>
    </w:tbl>
    <w:p/>
    <w:p>
      <w:r>
        <w:t>These classes can coexist. A report should identify the earliest discharged obstruction rather than relabeling an epistemic or institutional failure as physical impossibility.</w:t>
      </w:r>
    </w:p>
    <w:p>
      <w:pPr>
        <w:pStyle w:val="Heading1"/>
      </w:pPr>
      <w:r>
        <w:t>25. Assessment maturity and certificates</w:t>
      </w:r>
    </w:p>
    <w:p>
      <w:r>
        <w:t>Assessment maturity is distinguished from sustainability certification so that preliminary accounting is not confused with a sustainability result.</w:t>
      </w:r>
    </w:p>
    <w:p>
      <w:pPr>
        <w:pStyle w:val="ListBullet"/>
      </w:pPr>
      <w:r>
        <w:rPr>
          <w:b/>
        </w:rPr>
        <w:t>Level 0 — Assertion:</w:t>
      </w:r>
      <w:r>
        <w:t xml:space="preserve"> no explicit model or evidence.</w:t>
      </w:r>
    </w:p>
    <w:p>
      <w:pPr>
        <w:pStyle w:val="ListBullet"/>
      </w:pPr>
      <w:r>
        <w:rPr>
          <w:b/>
        </w:rPr>
        <w:t>Level 1 — Accounting preflight:</w:t>
      </w:r>
      <w:r>
        <w:t xml:space="preserve"> principal stocks and flows are internally consistent.</w:t>
      </w:r>
    </w:p>
    <w:p>
      <w:pPr>
        <w:pStyle w:val="ListBullet"/>
      </w:pPr>
      <w:r>
        <w:rPr>
          <w:b/>
        </w:rPr>
        <w:t>Level 2 — Nominal constraint preflight:</w:t>
      </w:r>
      <w:r>
        <w:t xml:space="preserve"> the nominal scenario satisfies identified bounds.</w:t>
      </w:r>
    </w:p>
    <w:p>
      <w:pPr>
        <w:pStyle w:val="ListBullet"/>
      </w:pPr>
      <w:r>
        <w:rPr>
          <w:b/>
        </w:rPr>
        <w:t>Level 3 — Dynamic viability:</w:t>
      </w:r>
      <w:r>
        <w:t xml:space="preserve"> the actual initial state belongs to an estimated viability kernel under an implementable policy.</w:t>
      </w:r>
    </w:p>
    <w:p>
      <w:pPr>
        <w:pStyle w:val="ListBullet"/>
      </w:pPr>
      <w:r>
        <w:rPr>
          <w:b/>
        </w:rPr>
        <w:t>Level 4 — Robust viability:</w:t>
      </w:r>
      <w:r>
        <w:t xml:space="preserve"> viability survives a justified disturbance and model set.</w:t>
      </w:r>
    </w:p>
    <w:p>
      <w:pPr>
        <w:pStyle w:val="ListBullet"/>
      </w:pPr>
      <w:r>
        <w:rPr>
          <w:b/>
        </w:rPr>
        <w:t>Level 5 — Embedded viability:</w:t>
      </w:r>
      <w:r>
        <w:t xml:space="preserve"> boundary interfaces, dependencies, commons, distribution, and delayed liabilities are represented.</w:t>
      </w:r>
    </w:p>
    <w:p>
      <w:pPr>
        <w:pStyle w:val="ListBullet"/>
      </w:pPr>
      <w:r>
        <w:rPr>
          <w:b/>
        </w:rPr>
        <w:t>Level 6 — Empirically validated adaptive viability:</w:t>
      </w:r>
      <w:r>
        <w:t xml:space="preserve"> predictions, interventions, monitoring, and revisions have demonstrated performance over time or comparable cases.</w:t>
      </w:r>
    </w:p>
    <w:p>
      <w:r>
        <w:t>Levels 0–2 are assessment-maturity levels, not sustainability certificates. Levels 3–6 support increasingly strong qualified certificates.</w:t>
      </w:r>
    </w:p>
    <w:p>
      <w:pPr>
        <w:pStyle w:val="Heading2"/>
      </w:pPr>
      <w:r>
        <w:t>25.1 Certificate contents</w:t>
      </w:r>
    </w:p>
    <w:p>
      <w:r>
        <w:t xml:space="preserve">A qualified certificate requires an </w:t>
      </w:r>
      <w:r>
        <w:rPr>
          <w:b/>
        </w:rPr>
        <w:t>implementable policy witness</w:t>
      </w:r>
      <w:r>
        <w:t xml:space="preserve"> for Operator I or an implementable meta-policy witness for Operator II. The existence of desirable states without a path or strategy does not establish sustainability.</w:t>
      </w:r>
    </w:p>
    <w:p>
      <w:r>
        <w:t>A qualified certificate should include:</w:t>
      </w:r>
    </w:p>
    <w:p>
      <w:pPr>
        <w:pStyle w:val="ListNumber"/>
      </w:pPr>
      <w:r>
        <w:t>frozen \(\Omega\) and architecture index;</w:t>
      </w:r>
    </w:p>
    <w:p>
      <w:pPr>
        <w:pStyle w:val="ListNumber"/>
      </w:pPr>
      <w:r>
        <w:t>typed constraint register;</w:t>
      </w:r>
    </w:p>
    <w:p>
      <w:pPr>
        <w:pStyle w:val="ListNumber"/>
      </w:pPr>
      <w:r>
        <w:t>causal and behavioral models;</w:t>
      </w:r>
    </w:p>
    <w:p>
      <w:pPr>
        <w:pStyle w:val="ListNumber"/>
      </w:pPr>
      <w:r>
        <w:t>threshold provenance;</w:t>
      </w:r>
    </w:p>
    <w:p>
      <w:pPr>
        <w:pStyle w:val="ListNumber"/>
      </w:pPr>
      <w:r>
        <w:t>boundary-interface register;</w:t>
      </w:r>
    </w:p>
    <w:p>
      <w:pPr>
        <w:pStyle w:val="ListNumber"/>
      </w:pPr>
      <w:r>
        <w:t>typed dependency and commons map;</w:t>
      </w:r>
    </w:p>
    <w:p>
      <w:pPr>
        <w:pStyle w:val="ListNumber"/>
      </w:pPr>
      <w:r>
        <w:t>policy or meta-policy witness;</w:t>
      </w:r>
    </w:p>
    <w:p>
      <w:pPr>
        <w:pStyle w:val="ListNumber"/>
      </w:pPr>
      <w:r>
        <w:t>robustness and sensitivity evidence;</w:t>
      </w:r>
    </w:p>
    <w:p>
      <w:pPr>
        <w:pStyle w:val="ListNumber"/>
      </w:pPr>
      <w:r>
        <w:t>distribution and risk allocation;</w:t>
      </w:r>
    </w:p>
    <w:p>
      <w:pPr>
        <w:pStyle w:val="ListNumber"/>
      </w:pPr>
      <w:r>
        <w:t>identity-continuity result where transformation occurs;</w:t>
      </w:r>
    </w:p>
    <w:p>
      <w:pPr>
        <w:pStyle w:val="ListNumber"/>
      </w:pPr>
      <w:r>
        <w:t>monitoring and trigger rules;</w:t>
      </w:r>
    </w:p>
    <w:p>
      <w:pPr>
        <w:pStyle w:val="ListNumber"/>
      </w:pPr>
      <w:r>
        <w:t>unresolved proof obligations.</w:t>
      </w:r>
    </w:p>
    <w:p>
      <w:pPr>
        <w:pStyle w:val="Heading2"/>
      </w:pPr>
      <w:r>
        <w:t>25.2 Impossibility and infeasibility certificates</w:t>
      </w:r>
    </w:p>
    <w:p>
      <w:r>
        <w:t>A certificate may identify:</w:t>
      </w:r>
    </w:p>
    <w:p>
      <w:pPr>
        <w:pStyle w:val="ListBullet"/>
      </w:pPr>
      <w:r>
        <w:t>persistent net depletion under a non-substitutable essential-stock signature;</w:t>
      </w:r>
    </w:p>
    <w:p>
      <w:pPr>
        <w:pStyle w:val="ListBullet"/>
      </w:pPr>
      <w:r>
        <w:t>local or reachable-set corridor contradiction;</w:t>
      </w:r>
    </w:p>
    <w:p>
      <w:pPr>
        <w:pStyle w:val="ListBullet"/>
      </w:pPr>
      <w:r>
        <w:t>sink load exceeding capacity and maximum abatement;</w:t>
      </w:r>
    </w:p>
    <w:p>
      <w:pPr>
        <w:pStyle w:val="ListBullet"/>
      </w:pPr>
      <w:r>
        <w:t>response delay exceeding time to threshold without buffer;</w:t>
      </w:r>
    </w:p>
    <w:p>
      <w:pPr>
        <w:pStyle w:val="ListBullet"/>
      </w:pPr>
      <w:r>
        <w:t>incompatible contract modalities or interface demands;</w:t>
      </w:r>
    </w:p>
    <w:p>
      <w:pPr>
        <w:pStyle w:val="ListBullet"/>
      </w:pPr>
      <w:r>
        <w:t>insufficient provision to satisfy registered minima;</w:t>
      </w:r>
    </w:p>
    <w:p>
      <w:pPr>
        <w:pStyle w:val="ListBullet"/>
      </w:pPr>
      <w:r>
        <w:t>empty implementable action set;</w:t>
      </w:r>
    </w:p>
    <w:p>
      <w:pPr>
        <w:pStyle w:val="ListBullet"/>
      </w:pPr>
      <w:r>
        <w:t>no admissible transformation avoiding irreversible states;</w:t>
      </w:r>
    </w:p>
    <w:p>
      <w:pPr>
        <w:pStyle w:val="ListBullet"/>
      </w:pPr>
      <w:r>
        <w:t>commons allocation inconsistent with aggregate capacity.</w:t>
      </w:r>
    </w:p>
    <w:p>
      <w:r>
        <w:t>Such a certificate is conditional on \(\Omega\), the architecture registry, model set, and evidence. It does not prove impossibility under every conceivable architecture.</w:t>
      </w:r>
    </w:p>
    <w:p>
      <w:pPr>
        <w:pBdr>
          <w:bottom w:val="single" w:sz="6" w:color="AABBC5"/>
        </w:pBdr>
      </w:pPr>
    </w:p>
    <w:p>
      <w:pPr>
        <w:pStyle w:val="Heading1"/>
      </w:pPr>
      <w:r>
        <w:t>26. Proof obligations</w:t>
      </w:r>
    </w:p>
    <w:p>
      <w:r>
        <w:t>A rigorous assessment should discharge, to the declared maturity level:</w:t>
      </w:r>
    </w:p>
    <w:p>
      <w:pPr>
        <w:pStyle w:val="ListNumber"/>
      </w:pPr>
      <w:r>
        <w:rPr>
          <w:b/>
        </w:rPr>
        <w:t>Semantic obligation:</w:t>
      </w:r>
      <w:r>
        <w:t xml:space="preserve"> constructs and identities are operationally defined.</w:t>
      </w:r>
    </w:p>
    <w:p>
      <w:pPr>
        <w:pStyle w:val="ListNumber"/>
      </w:pPr>
      <w:r>
        <w:rPr>
          <w:b/>
        </w:rPr>
        <w:t>Accounting obligation:</w:t>
      </w:r>
      <w:r>
        <w:t xml:space="preserve"> stock, flow, burden, and allocation records are consistent.</w:t>
      </w:r>
    </w:p>
    <w:p>
      <w:pPr>
        <w:pStyle w:val="ListNumber"/>
      </w:pPr>
      <w:r>
        <w:rPr>
          <w:b/>
        </w:rPr>
        <w:t>Dynamic obligation:</w:t>
      </w:r>
      <w:r>
        <w:t xml:space="preserve"> trajectories follow the stated dynamics or behavioral correspondences.</w:t>
      </w:r>
    </w:p>
    <w:p>
      <w:pPr>
        <w:pStyle w:val="ListNumber"/>
      </w:pPr>
      <w:r>
        <w:rPr>
          <w:b/>
        </w:rPr>
        <w:t>Boundary obligation:</w:t>
      </w:r>
      <w:r>
        <w:t xml:space="preserve"> interfaces and negligibility claims are justified.</w:t>
      </w:r>
    </w:p>
    <w:p>
      <w:pPr>
        <w:pStyle w:val="ListNumber"/>
      </w:pPr>
      <w:r>
        <w:rPr>
          <w:b/>
        </w:rPr>
        <w:t>Robustness obligation:</w:t>
      </w:r>
      <w:r>
        <w:t xml:space="preserve"> results survive the declared disturbance and model set.</w:t>
      </w:r>
    </w:p>
    <w:p>
      <w:pPr>
        <w:pStyle w:val="ListNumber"/>
      </w:pPr>
      <w:r>
        <w:rPr>
          <w:b/>
        </w:rPr>
        <w:t>Legitimacy obligation:</w:t>
      </w:r>
      <w:r>
        <w:t xml:space="preserve"> authority for normative constraints and risk tolerance is explicit.</w:t>
      </w:r>
    </w:p>
    <w:p>
      <w:pPr>
        <w:pStyle w:val="ListNumber"/>
      </w:pPr>
      <w:r>
        <w:rPr>
          <w:b/>
        </w:rPr>
        <w:t>Composition obligation:</w:t>
      </w:r>
      <w:r>
        <w:t xml:space="preserve"> local contracts support the claimed global behavior.</w:t>
      </w:r>
    </w:p>
    <w:p>
      <w:pPr>
        <w:pStyle w:val="ListNumber"/>
      </w:pPr>
      <w:r>
        <w:rPr>
          <w:b/>
        </w:rPr>
        <w:t>Transformation obligation:</w:t>
      </w:r>
      <w:r>
        <w:t xml:space="preserve"> cross-architecture maps preserve registered obligations and identity continuity.</w:t>
      </w:r>
    </w:p>
    <w:p>
      <w:pPr>
        <w:pStyle w:val="ListNumber"/>
      </w:pPr>
      <w:r>
        <w:rPr>
          <w:b/>
        </w:rPr>
        <w:t>Commons obligation:</w:t>
      </w:r>
      <w:r>
        <w:t xml:space="preserve"> aggregate capacity and actor-level allocation are jointly represented.</w:t>
      </w:r>
    </w:p>
    <w:p>
      <w:pPr>
        <w:pStyle w:val="Heading2"/>
      </w:pPr>
      <w:r>
        <w:t>Box 13. Template — twelve-step diagnostic</w:t>
      </w:r>
    </w:p>
    <w:p>
      <w:pPr>
        <w:pStyle w:val="ListNumber"/>
      </w:pPr>
      <w:r>
        <w:t>Freeze the specification and current architecture.</w:t>
      </w:r>
    </w:p>
    <w:p>
      <w:pPr>
        <w:pStyle w:val="ListNumber"/>
      </w:pPr>
      <w:r>
        <w:t>Identify protected functions, values, populations, and higher-order identity.</w:t>
      </w:r>
    </w:p>
    <w:p>
      <w:pPr>
        <w:pStyle w:val="ListNumber"/>
      </w:pPr>
      <w:r>
        <w:t>Build the typed constraint registry.</w:t>
      </w:r>
    </w:p>
    <w:p>
      <w:pPr>
        <w:pStyle w:val="ListNumber"/>
      </w:pPr>
      <w:r>
        <w:t>Identify essential stocks and enabling capacities relative to protected predicates.</w:t>
      </w:r>
    </w:p>
    <w:p>
      <w:pPr>
        <w:pStyle w:val="ListNumber"/>
      </w:pPr>
      <w:r>
        <w:t>Map typed dependencies, boundary interfaces, and commons nodes.</w:t>
      </w:r>
    </w:p>
    <w:p>
      <w:pPr>
        <w:pStyle w:val="ListNumber"/>
      </w:pPr>
      <w:r>
        <w:t>Construct relation-level typed contracts.</w:t>
      </w:r>
    </w:p>
    <w:p>
      <w:pPr>
        <w:pStyle w:val="ListNumber"/>
      </w:pPr>
      <w:r>
        <w:t>Restrict control to the implementable action set.</w:t>
      </w:r>
    </w:p>
    <w:p>
      <w:pPr>
        <w:pStyle w:val="ListNumber"/>
      </w:pPr>
      <w:r>
        <w:t>Stress-test delay, correlated shocks, strategic defection, and alternative boundaries.</w:t>
      </w:r>
    </w:p>
    <w:p>
      <w:pPr>
        <w:pStyle w:val="ListNumber"/>
      </w:pPr>
      <w:r>
        <w:t>Estimate current-state viability and robustness margins.</w:t>
      </w:r>
    </w:p>
    <w:p>
      <w:pPr>
        <w:pStyle w:val="ListNumber"/>
      </w:pPr>
      <w:r>
        <w:t>If needed, evaluate architecture-transition paths.</w:t>
      </w:r>
    </w:p>
    <w:p>
      <w:pPr>
        <w:pStyle w:val="ListNumber"/>
      </w:pPr>
      <w:r>
        <w:t>Conduct adversarial counterexample and respecification tests.</w:t>
      </w:r>
    </w:p>
    <w:p>
      <w:pPr>
        <w:pStyle w:val="ListNumber"/>
      </w:pPr>
      <w:r>
        <w:t>Issue a typed result, maturity level, and unresolved-proof-obligation report.</w:t>
      </w:r>
    </w:p>
    <w:p>
      <w:pPr>
        <w:pBdr>
          <w:bottom w:val="single" w:sz="6" w:color="AABBC5"/>
        </w:pBdr>
      </w:pPr>
    </w:p>
    <w:p>
      <w:pPr>
        <w:pStyle w:val="Heading1"/>
      </w:pPr>
      <w:r>
        <w:t>27. Leading indicators</w:t>
      </w:r>
    </w:p>
    <w:p>
      <w:r>
        <w:t>Candidate indicators include:</w:t>
      </w:r>
    </w:p>
    <w:p>
      <w:pPr>
        <w:pStyle w:val="ListBullet"/>
      </w:pPr>
      <w:r>
        <w:t>declining minimum slack;</w:t>
      </w:r>
    </w:p>
    <w:p>
      <w:pPr>
        <w:pStyle w:val="ListBullet"/>
      </w:pPr>
      <w:r>
        <w:t>falling capacity-to-load ratio;</w:t>
      </w:r>
    </w:p>
    <w:p>
      <w:pPr>
        <w:pStyle w:val="ListBullet"/>
      </w:pPr>
      <w:r>
        <w:t>increasing recovery time;</w:t>
      </w:r>
    </w:p>
    <w:p>
      <w:pPr>
        <w:pStyle w:val="ListBullet"/>
      </w:pPr>
      <w:r>
        <w:t>rising control effort required to maintain the same state;</w:t>
      </w:r>
    </w:p>
    <w:p>
      <w:pPr>
        <w:pStyle w:val="ListBullet"/>
      </w:pPr>
      <w:r>
        <w:t>greater dependence on buffers;</w:t>
      </w:r>
    </w:p>
    <w:p>
      <w:pPr>
        <w:pStyle w:val="ListBullet"/>
      </w:pPr>
      <w:r>
        <w:t>increasing \(T_r/T_c\);</w:t>
      </w:r>
    </w:p>
    <w:p>
      <w:pPr>
        <w:pStyle w:val="ListBullet"/>
      </w:pPr>
      <w:r>
        <w:t>declining boundary-interface reliability;</w:t>
      </w:r>
    </w:p>
    <w:p>
      <w:pPr>
        <w:pStyle w:val="ListBullet"/>
      </w:pPr>
      <w:r>
        <w:t>increasing burden transfer across populations, domains, or time;</w:t>
      </w:r>
    </w:p>
    <w:p>
      <w:pPr>
        <w:pStyle w:val="ListBullet"/>
      </w:pPr>
      <w:r>
        <w:t>contraction of the current architecture’s viability kernel;</w:t>
      </w:r>
    </w:p>
    <w:p>
      <w:pPr>
        <w:pStyle w:val="ListBullet"/>
      </w:pPr>
      <w:r>
        <w:t>narrowing of viable transformation options.</w:t>
      </w:r>
    </w:p>
    <w:p>
      <w:r>
        <w:t>Their causal rationale is architectural: declining slack approaches a binding constraint; falling capacity-to-load ratio removes response room; rising control effort can reveal hidden deterioration; buffer dependence finances recurring load from finite reserves; rising delay ratio indicates dynamically inadequate governance; burden transfer converts local improvement into relational failure.</w:t>
      </w:r>
    </w:p>
    <w:p>
      <w:r>
        <w:t>These are candidate monitoring metrics. Their predictive advantage over simpler outcome indicators is empirical, not guaranteed by definition.</w:t>
      </w:r>
    </w:p>
    <w:p>
      <w:pPr>
        <w:pBdr>
          <w:bottom w:val="single" w:sz="6" w:color="AABBC5"/>
        </w:pBdr>
      </w:pPr>
    </w:p>
    <w:p>
      <w:pPr>
        <w:pStyle w:val="Heading1"/>
      </w:pPr>
      <w:r>
        <w:t>28. Conjectures and hypotheses</w:t>
      </w:r>
    </w:p>
    <w:p>
      <w:pPr>
        <w:pStyle w:val="Heading2"/>
      </w:pPr>
      <w:r>
        <w:t>Conjecture 1. Compositional sustainability</w:t>
      </w:r>
    </w:p>
    <w:p>
      <w:r>
        <w:t>Under identifiable compatibility, timing, robustness, and interface conditions, local typed contracts can establish jointly viable behavior without full monolithic verification.</w:t>
      </w:r>
    </w:p>
    <w:p>
      <w:pPr>
        <w:pStyle w:val="Heading2"/>
      </w:pPr>
      <w:r>
        <w:t>Conjecture 2. Transformability</w:t>
      </w:r>
    </w:p>
    <w:p>
      <w:r>
        <w:t>For identifiable system classes, sustained contraction or emptiness of the current architecture’s viability kernel predicts need for architecture change earlier than current output failure.</w:t>
      </w:r>
    </w:p>
    <w:p>
      <w:pPr>
        <w:pStyle w:val="Heading2"/>
      </w:pPr>
      <w:r>
        <w:t>Conjecture 3. Capacity-leading failure</w:t>
      </w:r>
    </w:p>
    <w:p>
      <w:r>
        <w:t>Declining regenerative, maintenance, or governance capacity predicts typed sustainability failure earlier than current output measures.</w:t>
      </w:r>
    </w:p>
    <w:p>
      <w:pPr>
        <w:pStyle w:val="Heading2"/>
      </w:pPr>
      <w:r>
        <w:t>Conjecture 3A. Bottleneck–robustness relation</w:t>
      </w:r>
    </w:p>
    <w:p>
      <w:r>
        <w:t>Within a preregistered system class and comparable disturbance geometry, smaller typed bottleneck margin predicts a smaller empirically estimated robustness margin after controlling for dynamics, response, and buffer structure. The controls distinguish an empirical cross-system claim from the definitional fact that a state closer to a boundary has less geometric distance in one direction.</w:t>
      </w:r>
    </w:p>
    <w:p>
      <w:pPr>
        <w:pStyle w:val="Heading2"/>
      </w:pPr>
      <w:r>
        <w:t>Conjecture 4. Boundary-expansion reversal</w:t>
      </w:r>
    </w:p>
    <w:p>
      <w:r>
        <w:t>Some favorable sustainability assessments reverse when imported resources, exported burdens, affected populations, and deferred liabilities are introduced through adequate boundary interfaces.</w:t>
      </w:r>
    </w:p>
    <w:p>
      <w:pPr>
        <w:pStyle w:val="Heading2"/>
      </w:pPr>
      <w:r>
        <w:t>Conjecture 5. Distributional dynamics</w:t>
      </w:r>
    </w:p>
    <w:p>
      <w:r>
        <w:t>In some system classes, unequal provision and burden alter health, compliance, conflict, and governance enough to change the functional viability kernel, in addition to their normative significance.</w:t>
      </w:r>
    </w:p>
    <w:p>
      <w:pPr>
        <w:pStyle w:val="Heading2"/>
      </w:pPr>
      <w:r>
        <w:t>Conjecture 6. Correlated disturbance</w:t>
      </w:r>
    </w:p>
    <w:p>
      <w:r>
        <w:t>Models treating ecological, economic, and social shocks as independent underestimate joint failure where shocks share causes or reinforcing feedback.</w:t>
      </w:r>
    </w:p>
    <w:p>
      <w:pPr>
        <w:pStyle w:val="Heading2"/>
      </w:pPr>
      <w:r>
        <w:t>Conjecture 7. Maintenance suppression</w:t>
      </w:r>
    </w:p>
    <w:p>
      <w:r>
        <w:t>Persistent diversion of maintenance toward present output initially improves visible performance while reducing future viability and transformability.</w:t>
      </w:r>
    </w:p>
    <w:p>
      <w:pPr>
        <w:pStyle w:val="Heading2"/>
      </w:pPr>
      <w:r>
        <w:t>Conjecture 8. Efficiency–scale interaction</w:t>
      </w:r>
    </w:p>
    <w:p>
      <w:r>
        <w:t>Efficiency improvements do not reliably reduce total burden where scale and rebound exceed intensity reduction.</w:t>
      </w:r>
    </w:p>
    <w:p>
      <w:pPr>
        <w:pStyle w:val="Heading2"/>
      </w:pPr>
      <w:r>
        <w:t>28.1 Falsifiability restrictions</w:t>
      </w:r>
    </w:p>
    <w:p>
      <w:r>
        <w:t>The conjectures may not be rescued by arbitrary post-hoc state augmentation. Each empirical study must preregister:</w:t>
      </w:r>
    </w:p>
    <w:p>
      <w:pPr>
        <w:pStyle w:val="ListBullet"/>
      </w:pPr>
      <w:r>
        <w:t>system class;</w:t>
      </w:r>
    </w:p>
    <w:p>
      <w:pPr>
        <w:pStyle w:val="ListBullet"/>
      </w:pPr>
      <w:r>
        <w:t>specification;</w:t>
      </w:r>
    </w:p>
    <w:p>
      <w:pPr>
        <w:pStyle w:val="ListBullet"/>
      </w:pPr>
      <w:r>
        <w:t>candidate indicators;</w:t>
      </w:r>
    </w:p>
    <w:p>
      <w:pPr>
        <w:pStyle w:val="ListBullet"/>
      </w:pPr>
      <w:r>
        <w:t>excluded variables;</w:t>
      </w:r>
    </w:p>
    <w:p>
      <w:pPr>
        <w:pStyle w:val="ListBullet"/>
      </w:pPr>
      <w:r>
        <w:t>predicted direction or comparative result;</w:t>
      </w:r>
    </w:p>
    <w:p>
      <w:pPr>
        <w:pStyle w:val="ListBullet"/>
      </w:pPr>
      <w:r>
        <w:t>acceptable model revisions;</w:t>
      </w:r>
    </w:p>
    <w:p>
      <w:pPr>
        <w:pStyle w:val="ListBullet"/>
      </w:pPr>
      <w:r>
        <w:t>observations that count against the conjecture.</w:t>
      </w:r>
    </w:p>
    <w:p>
      <w:r>
        <w:t>No unrestricted claim that every sustainability failure can be represented at an “adequate scale and resolution” is adopted, because such a statement is too elastic to falsify.</w:t>
      </w:r>
    </w:p>
    <w:p>
      <w:pPr>
        <w:pBdr>
          <w:bottom w:val="single" w:sz="6" w:color="AABBC5"/>
        </w:pBdr>
      </w:pPr>
    </w:p>
    <w:p>
      <w:pPr>
        <w:pStyle w:val="Heading1"/>
      </w:pPr>
      <w:r>
        <w:t>29. Falsification programme</w:t>
      </w:r>
    </w:p>
    <w:p>
      <w:pPr>
        <w:pStyle w:val="Heading2"/>
      </w:pPr>
      <w:r>
        <w:t>29.1 Persistence test</w:t>
      </w:r>
    </w:p>
    <w:p>
      <w:r>
        <w:t>Identify systems that persist while violating declared sustainability constraints. Test whether the typed vector distinguishes persistence from normative or relational admissibility without redefining identity after the result.</w:t>
      </w:r>
    </w:p>
    <w:p>
      <w:pPr>
        <w:pStyle w:val="Heading2"/>
      </w:pPr>
      <w:r>
        <w:t>29.2 Sacrifice test</w:t>
      </w:r>
    </w:p>
    <w:p>
      <w:r>
        <w:t>Identify a system that preserves aggregate function by sacrificing a subsystem. Test whether the typed dependency edge and frozen specification classify the sacrifice prospectively.</w:t>
      </w:r>
    </w:p>
    <w:p>
      <w:pPr>
        <w:pStyle w:val="Heading2"/>
      </w:pPr>
      <w:r>
        <w:t>29.3 Transformation test</w:t>
      </w:r>
    </w:p>
    <w:p>
      <w:r>
        <w:t>Identify cases where lower-level identity disappears while higher-level identity persists. Test the declared continuity relation and architecture translation map.</w:t>
      </w:r>
    </w:p>
    <w:p>
      <w:pPr>
        <w:pStyle w:val="Heading2"/>
      </w:pPr>
      <w:r>
        <w:t>29.4 Innovation test</w:t>
      </w:r>
    </w:p>
    <w:p>
      <w:r>
        <w:t>For innovations claimed to remove a limit, map new energy, material, institutional, distributional, and risk dependencies. Test whether substitution passes the registered criteria.</w:t>
      </w:r>
    </w:p>
    <w:p>
      <w:pPr>
        <w:pStyle w:val="Heading2"/>
      </w:pPr>
      <w:r>
        <w:t>29.5 Conflict test</w:t>
      </w:r>
    </w:p>
    <w:p>
      <w:r>
        <w:t>Represent incompatible normative specifications and authority claims without pretending dynamics derive a unique moral answer. Assess whether the architecture makes disagreements comparable and auditable.</w:t>
      </w:r>
    </w:p>
    <w:p>
      <w:pPr>
        <w:pStyle w:val="Heading2"/>
      </w:pPr>
      <w:r>
        <w:t>29.6 Unknowability test</w:t>
      </w:r>
    </w:p>
    <w:p>
      <w:r>
        <w:t>Use systems with uncertain thresholds or probabilities to test whether scenarios, adaptive monitoring, and precaution remain decision-useful.</w:t>
      </w:r>
    </w:p>
    <w:p>
      <w:pPr>
        <w:pStyle w:val="Heading2"/>
      </w:pPr>
      <w:r>
        <w:t>29.7 Commons test</w:t>
      </w:r>
    </w:p>
    <w:p>
      <w:r>
        <w:t>Use a diffuse burden for which no actor is individually pivotal. Test whether aggregate capacity plus allocation obligations classify free riding and collective failure.</w:t>
      </w:r>
    </w:p>
    <w:p>
      <w:pPr>
        <w:pStyle w:val="Heading2"/>
      </w:pPr>
      <w:r>
        <w:t>29.8 Vacuity test</w:t>
      </w:r>
    </w:p>
    <w:p>
      <w:r>
        <w:t>Attempt to explain failure without adding variables after the event. If the framework requires unlimited post-hoc augmentation, the relevant conjecture fails.</w:t>
      </w:r>
    </w:p>
    <w:p>
      <w:pPr>
        <w:pBdr>
          <w:bottom w:val="single" w:sz="6" w:color="AABBC5"/>
        </w:pBdr>
      </w:pPr>
    </w:p>
    <w:p>
      <w:pPr>
        <w:pStyle w:val="Heading1"/>
      </w:pPr>
      <w:r>
        <w:t>30. Empirical programme</w:t>
      </w:r>
    </w:p>
    <w:p>
      <w:r>
        <w:t>For each case, compare four nested approaches:</w:t>
      </w:r>
    </w:p>
    <w:p>
      <w:pPr>
        <w:pStyle w:val="ListNumber"/>
      </w:pPr>
      <w:r>
        <w:t>output-only model;</w:t>
      </w:r>
    </w:p>
    <w:p>
      <w:pPr>
        <w:pStyle w:val="ListNumber"/>
      </w:pPr>
      <w:r>
        <w:t>stock-and-flow model;</w:t>
      </w:r>
    </w:p>
    <w:p>
      <w:pPr>
        <w:pStyle w:val="ListNumber"/>
      </w:pPr>
      <w:r>
        <w:t>disturbance-and-resilience model;</w:t>
      </w:r>
    </w:p>
    <w:p>
      <w:pPr>
        <w:pStyle w:val="ListNumber"/>
      </w:pPr>
      <w:r>
        <w:t>typed, embedded, transformation-aware architecture.</w:t>
      </w:r>
    </w:p>
    <w:p>
      <w:r>
        <w:t>The expanded framework earns its complexity only if it improves prediction, diagnosis, intervention selection, boundary transparency, or identification of false local success.</w:t>
      </w:r>
    </w:p>
    <w:p>
      <w:r>
        <w:t>A first test suite should include:</w:t>
      </w:r>
    </w:p>
    <w:p>
      <w:pPr>
        <w:pStyle w:val="ListBullet"/>
      </w:pPr>
      <w:r>
        <w:t>a fishery, watershed, or grazing commons;</w:t>
      </w:r>
    </w:p>
    <w:p>
      <w:pPr>
        <w:pStyle w:val="ListBullet"/>
      </w:pPr>
      <w:r>
        <w:t>a water, energy, or public-health provisioning system;</w:t>
      </w:r>
    </w:p>
    <w:p>
      <w:pPr>
        <w:pStyle w:val="ListBullet"/>
      </w:pPr>
      <w:r>
        <w:t>a region dependent on imported resources and exported burdens;</w:t>
      </w:r>
    </w:p>
    <w:p>
      <w:pPr>
        <w:pStyle w:val="ListBullet"/>
      </w:pPr>
      <w:r>
        <w:t>an institution facing overload and unequal access;</w:t>
      </w:r>
    </w:p>
    <w:p>
      <w:pPr>
        <w:pStyle w:val="ListBullet"/>
      </w:pPr>
      <w:r>
        <w:t>a historical transformation with contested identity continuity;</w:t>
      </w:r>
    </w:p>
    <w:p>
      <w:pPr>
        <w:pStyle w:val="ListBullet"/>
      </w:pPr>
      <w:r>
        <w:t>a global shared-sink case such as greenhouse-gas emissions.</w:t>
      </w:r>
    </w:p>
    <w:p>
      <w:r>
        <w:t>Researchers should preregister \(\Omega\), architecture, constraints, boundary interfaces, contract modalities, and expected leading indicators. Competing models should be retained where uncertainty is material.</w:t>
      </w:r>
    </w:p>
    <w:p>
      <w:pPr>
        <w:pStyle w:val="Heading2"/>
      </w:pPr>
      <w:r>
        <w:t>30.0A Primary and secondary domain cases</w:t>
      </w:r>
    </w:p>
    <w:p>
      <w:r>
        <w:t>The primary end-to-end architecture test is groundwater, conditional on a named basin passing a readiness gate. The gate requires a defensible boundary; head or storage observations; pumping and recharge records; at least one ecological, subsidence, salinity, or provision threshold; dated governance events and authority records; an implementable policy class; and a held-out comparison opportunity. The first analysis should compare a simple one-pool model with a justified fast/slow alternative, construct compatible information states, and report a kernel, capture basin, obstruction, or conservative decision margin rather than forcing a precise result from inadequate data.</w:t>
      </w:r>
    </w:p>
    <w:p>
      <w:r>
        <w:t>Phosphorus is the secondary specialization for typed moiety accounting, reserve and recovery distinctions, trade and catchment interfaces, substitution, and composition. If groundwater fails the readiness gate, phosphorus may proceed first operationally, but the result is then an accounting/composition test rather than a complete test of the epistemic and institutional architecture.</w:t>
      </w:r>
    </w:p>
    <w:p>
      <w:pPr>
        <w:pStyle w:val="Heading2"/>
      </w:pPr>
      <w:r>
        <w:t>30.0B Domain-module admission standards</w:t>
      </w:r>
    </w:p>
    <w:p>
      <w:r>
        <w:t>A phosphorus module tracks elemental phosphorus in one declared unit across extraction, processing, fertilizer, soil, crop, livestock, product, waste, recovery, and receiving-water compartments. Measured and estimated physical boundary flows are separated from reporting error and structural discrepancy; hybrid jumps preserve the moiety unless a physical boundary transfer is declared. Soil-labile phosphorus may require both lower fertility and upper runoff-risk bounds. Trade and catchment routing carry units, delay, losses, ownership, authority, and uncertainty.</w:t>
      </w:r>
    </w:p>
    <w:p>
      <w:r>
        <w:t>A groundwater module declares head domains and constitutive storage maps, routes managed release explicitly, and uses donor- and recipient-limited bidirectional exchange. Adding formation balances yields a total-storage identity in which internal leakage cancels. Formation-specific solute masses are required when concentration or exchange matters; internal solute transfer likewise cancels in the total balance. Belief updates live on a declared compact history/parameter domain, and institutional state separates information, authority, implementation, enforcement, budget, emergency status, and allocation.</w:t>
      </w:r>
    </w:p>
    <w:p>
      <w:r>
        <w:t>Neither module is admitted as a validated case because its equations are well typed. Admission additionally requires a named boundary, data and proxy model, safe thresholds, causal policy class, comparator models, proper held-out score, uncertainty calibration, and a decision-relevant kernel, capture basin, obstruction, or conservative margin.</w:t>
      </w:r>
    </w:p>
    <w:p>
      <w:pPr>
        <w:pStyle w:val="Heading2"/>
      </w:pPr>
      <w:r>
        <w:t>30.0C Sampled-governance empirical sequence</w:t>
      </w:r>
    </w:p>
    <w:p>
      <w:r>
        <w:t>The sampled-governance programme proceeds in this order:</w:t>
      </w:r>
    </w:p>
    <w:p>
      <w:pPr>
        <w:pStyle w:val="ListNumber"/>
      </w:pPr>
      <w:r>
        <w:t>freeze mechanism sign, timing, target population, and falsifier;</w:t>
      </w:r>
    </w:p>
    <w:p>
      <w:pPr>
        <w:pStyle w:val="ListNumber"/>
      </w:pPr>
      <w:r>
        <w:t>register source-linked observation, assessment, authorization, implementation, and enforcement events;</w:t>
      </w:r>
    </w:p>
    <w:p>
      <w:pPr>
        <w:pStyle w:val="ListNumber"/>
      </w:pPr>
      <w:r>
        <w:t>reproduce retrospective simulations, spectra, power calculations, and case screens;</w:t>
      </w:r>
    </w:p>
    <w:p>
      <w:pPr>
        <w:pStyle w:val="ListNumber"/>
      </w:pPr>
      <w:r>
        <w:t>choose quasi-experimental or randomized variation from its identifying assumptions;</w:t>
      </w:r>
    </w:p>
    <w:p>
      <w:pPr>
        <w:pStyle w:val="ListNumber"/>
      </w:pPr>
      <w:r>
        <w:t>preregister causal estimands, anticipation, spillovers, comparison units, and exclusions;</w:t>
      </w:r>
    </w:p>
    <w:p>
      <w:pPr>
        <w:pStyle w:val="ListNumber"/>
      </w:pPr>
      <w:r>
        <w:t>compare environmental, demographic, institutional, combined, and null models out of sample;</w:t>
      </w:r>
    </w:p>
    <w:p>
      <w:pPr>
        <w:pStyle w:val="ListNumber"/>
      </w:pPr>
      <w:r>
        <w:t>use human-in-the-loop designs only with ethical, powered protocols;</w:t>
      </w:r>
    </w:p>
    <w:p>
      <w:pPr>
        <w:pStyle w:val="ListNumber"/>
      </w:pPr>
      <w:r>
        <w:t>use closed-loop management-strategy evaluation for decision performance under separated uncertainty classes, not as causal identification by itself.</w:t>
      </w:r>
    </w:p>
    <w:p>
      <w:r>
        <w:t>Retrospective association and spectral structure remain descriptive or hypothesis-generating until these identification obligations are met.</w:t>
      </w:r>
    </w:p>
    <w:p>
      <w:pPr>
        <w:pStyle w:val="Heading2"/>
      </w:pPr>
      <w:r>
        <w:t>30.1 Future formal work</w:t>
      </w:r>
    </w:p>
    <w:p>
      <w:r>
        <w:t>Priority formal developments include:</w:t>
      </w:r>
    </w:p>
    <w:p>
      <w:pPr>
        <w:pStyle w:val="ListBullet"/>
      </w:pPr>
      <w:r>
        <w:t>nonlinear, strategic, stochastic, and confidence-propagating composition extensions;</w:t>
      </w:r>
    </w:p>
    <w:p>
      <w:pPr>
        <w:pStyle w:val="ListBullet"/>
      </w:pPr>
      <w:r>
        <w:t>variable-event, partially observed, and stochastic hybrid viability across architecture graphs;</w:t>
      </w:r>
    </w:p>
    <w:p>
      <w:pPr>
        <w:pStyle w:val="ListBullet"/>
      </w:pPr>
      <w:r>
        <w:t>responsibility allocation under commons constraints;</w:t>
      </w:r>
    </w:p>
    <w:p>
      <w:pPr>
        <w:pStyle w:val="ListBullet"/>
      </w:pPr>
      <w:r>
        <w:t>methods for approximating typed viability kernels;</w:t>
      </w:r>
    </w:p>
    <w:p>
      <w:pPr>
        <w:pStyle w:val="ListBullet"/>
      </w:pPr>
      <w:r>
        <w:t>interface confidence propagation;</w:t>
      </w:r>
    </w:p>
    <w:p>
      <w:pPr>
        <w:pStyle w:val="ListBullet"/>
      </w:pPr>
      <w:r>
        <w:t>identity-continuity logic;</w:t>
      </w:r>
    </w:p>
    <w:p>
      <w:pPr>
        <w:pStyle w:val="ListBullet"/>
      </w:pPr>
      <w:r>
        <w:t>strategic implementability modules.</w:t>
      </w:r>
    </w:p>
    <w:p>
      <w:pPr>
        <w:pStyle w:val="Heading2"/>
      </w:pPr>
      <w:r>
        <w:t>30.2 Evaluation criteria</w:t>
      </w:r>
    </w:p>
    <w:p>
      <w:r>
        <w:t>The programme should be judged by:</w:t>
      </w:r>
    </w:p>
    <w:p>
      <w:pPr>
        <w:pStyle w:val="ListBullet"/>
      </w:pPr>
      <w:r>
        <w:t>scope without semantic distortion;</w:t>
      </w:r>
    </w:p>
    <w:p>
      <w:pPr>
        <w:pStyle w:val="ListBullet"/>
      </w:pPr>
      <w:r>
        <w:t>nontrivial exclusions;</w:t>
      </w:r>
    </w:p>
    <w:p>
      <w:pPr>
        <w:pStyle w:val="ListBullet"/>
      </w:pPr>
      <w:r>
        <w:t>operationality;</w:t>
      </w:r>
    </w:p>
    <w:p>
      <w:pPr>
        <w:pStyle w:val="ListBullet"/>
      </w:pPr>
      <w:r>
        <w:t>predictive utility;</w:t>
      </w:r>
    </w:p>
    <w:p>
      <w:pPr>
        <w:pStyle w:val="ListBullet"/>
      </w:pPr>
      <w:r>
        <w:t>intervention utility;</w:t>
      </w:r>
    </w:p>
    <w:p>
      <w:pPr>
        <w:pStyle w:val="ListBullet"/>
      </w:pPr>
      <w:r>
        <w:t>transparency of values and assumptions;</w:t>
      </w:r>
    </w:p>
    <w:p>
      <w:pPr>
        <w:pStyle w:val="ListBullet"/>
      </w:pPr>
      <w:r>
        <w:t>parsimony;</w:t>
      </w:r>
    </w:p>
    <w:p>
      <w:pPr>
        <w:pStyle w:val="ListBullet"/>
      </w:pPr>
      <w:r>
        <w:t>robustness to respecification;</w:t>
      </w:r>
    </w:p>
    <w:p>
      <w:pPr>
        <w:pStyle w:val="ListBullet"/>
      </w:pPr>
      <w:r>
        <w:t>falsifiability.</w:t>
      </w:r>
    </w:p>
    <w:p>
      <w:pPr>
        <w:pBdr>
          <w:bottom w:val="single" w:sz="6" w:color="AABBC5"/>
        </w:pBdr>
      </w:pPr>
    </w:p>
    <w:p>
      <w:pPr>
        <w:pStyle w:val="Heading1"/>
      </w:pPr>
      <w:r>
        <w:t>30A. Comparative theory development</w:t>
      </w:r>
    </w:p>
    <w:p>
      <w:r>
        <w:t>The empirical programme should distinguish three possible outcomes for the architectural project.</w:t>
      </w:r>
    </w:p>
    <w:p>
      <w:pPr>
        <w:pStyle w:val="ListNumber"/>
      </w:pPr>
      <w:r>
        <w:rPr>
          <w:b/>
        </w:rPr>
        <w:t>Specification-language success:</w:t>
      </w:r>
      <w:r>
        <w:t xml:space="preserve"> the framework improves transparency and comparability but yields no new explanatory law.</w:t>
      </w:r>
    </w:p>
    <w:p>
      <w:pPr>
        <w:pStyle w:val="ListNumber"/>
      </w:pPr>
      <w:r>
        <w:rPr>
          <w:b/>
        </w:rPr>
        <w:t>Diagnostic-theory success:</w:t>
      </w:r>
      <w:r>
        <w:t xml:space="preserve"> typed capacities, interfaces, and transformation variables improve diagnosis or early warning across cases.</w:t>
      </w:r>
    </w:p>
    <w:p>
      <w:pPr>
        <w:pStyle w:val="ListNumber"/>
      </w:pPr>
      <w:r>
        <w:rPr>
          <w:b/>
        </w:rPr>
        <w:t>General-theory success:</w:t>
      </w:r>
      <w:r>
        <w:t xml:space="preserve"> restricted domain-general propositions survive respecification and receive repeated empirical support.</w:t>
      </w:r>
    </w:p>
    <w:p>
      <w:r>
        <w:t>The first outcome is useful but does not justify the strongest title claim by itself. The second and third would progressively support a general theory.</w:t>
      </w:r>
    </w:p>
    <w:p>
      <w:pPr>
        <w:pStyle w:val="Heading2"/>
      </w:pPr>
      <w:r>
        <w:t>30A.1 Novelty test</w:t>
      </w:r>
    </w:p>
    <w:p>
      <w:r>
        <w:t>Future literature review must compare the proposal with existing viable-sustainability, robust-control, social–ecological, safe-and-just-space, ecological-economics, commons, and contract-based traditions. Novelty may lie in the integrated architecture rather than any single component. It should be claimed only where the combination produces a new formal object, proof obligation, diagnosis, or empirical result.</w:t>
      </w:r>
    </w:p>
    <w:p>
      <w:pPr>
        <w:pStyle w:val="Heading2"/>
      </w:pPr>
      <w:r>
        <w:t>30A.2 Respecification test</w:t>
      </w:r>
    </w:p>
    <w:p>
      <w:r>
        <w:t>For family \(\mathfrak O\) of plausible specifications, compare whether a conclusion is:</w:t>
      </w:r>
    </w:p>
    <w:p>
      <w:pPr>
        <w:pStyle w:val="ListBullet"/>
      </w:pPr>
      <w:r>
        <w:t>invariant;</w:t>
      </w:r>
    </w:p>
    <w:p>
      <w:pPr>
        <w:pStyle w:val="ListBullet"/>
      </w:pPr>
      <w:r>
        <w:t>sensitive to one declared normative choice;</w:t>
      </w:r>
    </w:p>
    <w:p>
      <w:pPr>
        <w:pStyle w:val="ListBullet"/>
      </w:pPr>
      <w:r>
        <w:t>sensitive to boundary or horizon;</w:t>
      </w:r>
    </w:p>
    <w:p>
      <w:pPr>
        <w:pStyle w:val="ListBullet"/>
      </w:pPr>
      <w:r>
        <w:t>dependent on an uncertain empirical contract;</w:t>
      </w:r>
    </w:p>
    <w:p>
      <w:pPr>
        <w:pStyle w:val="ListBullet"/>
      </w:pPr>
      <w:r>
        <w:t>reversed by a plausible alternative architecture.</w:t>
      </w:r>
    </w:p>
    <w:p>
      <w:r>
        <w:t>This converts specification relativity from a hidden weakness into an explicit robustness analysis.</w:t>
      </w:r>
    </w:p>
    <w:p>
      <w:pPr>
        <w:pStyle w:val="Heading1"/>
      </w:pPr>
      <w:r>
        <w:t>31. AI declaration</w:t>
      </w:r>
    </w:p>
    <w:p>
      <w:r>
        <w:t>Generative AI tools were used during manuscript development to assist with document organization, cross-document mapping, consistency scans, and language editing. They were not treated as sources of mathematical authority or empirical evidence. All definitions, assumptions, proofs, interpretations, citations, and publication decisions were reviewed by the authors, who accept full responsibility for the manuscript.</w:t>
      </w:r>
    </w:p>
    <w:p>
      <w:pPr>
        <w:pBdr>
          <w:bottom w:val="single" w:sz="6" w:color="AABBC5"/>
        </w:pBdr>
      </w:pPr>
    </w:p>
    <w:p>
      <w:pPr>
        <w:pStyle w:val="Heading1"/>
      </w:pPr>
      <w:r>
        <w:t>32. Limitations</w:t>
      </w:r>
    </w:p>
    <w:p>
      <w:r>
        <w:t>First, the architecture remains a candidate kernel rather than a validated general explanatory theory. Its conjectures require prospective tests.</w:t>
      </w:r>
    </w:p>
    <w:p>
      <w:r>
        <w:t>Second, specification relativity is not eliminated. Competent assessments can disagree because they use different identities, horizons, authorities, or boundaries. The contribution is to expose and audit those differences, not to derive one universal moral solution.</w:t>
      </w:r>
    </w:p>
    <w:p>
      <w:r>
        <w:t>Third, architecture registries will be incomplete. Unknown transformations may exist, and known transitions may fail.</w:t>
      </w:r>
    </w:p>
    <w:p>
      <w:r>
        <w:t>Fourth, contract synthesis and robust composition can be computationally hard or undecidable for general nonlinear and strategic systems. Modularization is an architectural and sometimes computational aid, not a universal tractability solution.</w:t>
      </w:r>
    </w:p>
    <w:p>
      <w:r>
        <w:t>Fifth, social variables require empirical, probabilistic, strategic, and interpretive models. A common interface grammar does not make social and physical mechanisms identical.</w:t>
      </w:r>
    </w:p>
    <w:p>
      <w:r>
        <w:t>Sixth, boundary adequacy depends on evidence and sensitivity analysis. Omitted influences can invalidate certificates.</w:t>
      </w:r>
    </w:p>
    <w:p>
      <w:r>
        <w:t>Seventh, aggregate commons budgets do not determine a uniquely just allocation. Allocation remains an explicit normative and institutional module.</w:t>
      </w:r>
    </w:p>
    <w:p>
      <w:r>
        <w:t>Eighth, high-dimensional viability kernels may require approximations, conservative bounds, simulation, or local proofs.</w:t>
      </w:r>
    </w:p>
    <w:p>
      <w:r>
        <w:t>Ninth, the typed judgment vector can clarify but not automatically resolve conflicts among rights, needs, risks, and identities.</w:t>
      </w:r>
    </w:p>
    <w:p>
      <w:r>
        <w:t>Tenth, placeholders create a risk of indefinite deferral. Every placeholder must carry an owner, scope, evidence requirement, and proof obligation.</w:t>
      </w:r>
    </w:p>
    <w:p>
      <w:r>
        <w:t>Eleventh, RFDE viability objects live in history spaces and require declared projections before comparison with ordinary state-space kernels.</w:t>
      </w:r>
    </w:p>
    <w:p>
      <w:r>
        <w:t>Twelfth, discontinuous feedback requires an explicit solution semantics. Sample-and-hold is the default; Filippov, Krasovskii, relaxed, or strategic semantics are not silently substituted.</w:t>
      </w:r>
    </w:p>
    <w:p>
      <w:r>
        <w:t>Thirteenth, finite-horizon predecessor sequences do not automatically converge to an infinite-horizon kernel. Compactness, closedness, inwardness, continuity from above, or another exact convergence theorem is required.</w:t>
      </w:r>
    </w:p>
    <w:p>
      <w:r>
        <w:t>Fourteenth, HJI computation, if adopted, requires state-constraint viscosity boundary semantics. It is not assumed by the set-valued predecessor results.</w:t>
      </w:r>
    </w:p>
    <w:p>
      <w:r>
        <w:t>Fifteenth, specification revision, mode switching, and architecture reset cannot erase protected identity, liabilities, or prior obligations. Otherwise transformation would be relabeling rather than sustainability.</w:t>
      </w:r>
    </w:p>
    <w:p>
      <w:r>
        <w:t>Sixteenth, the deterministic fixed-review Operator II theorem precedes stochastic, variable-event, strategic, and partial-observation generalizations.</w:t>
      </w:r>
    </w:p>
    <w:p>
      <w:r>
        <w:t>Seventeenth, irreducible uncertainty limits certification. Every verdict remains conditional on the declared model, information, boundary interfaces, disturbance family, and evidence; failed monitoring assumptions trigger review rather than permanent proof.</w:t>
      </w:r>
    </w:p>
    <w:p>
      <w:pPr>
        <w:pBdr>
          <w:bottom w:val="single" w:sz="6" w:color="AABBC5"/>
        </w:pBdr>
      </w:pPr>
    </w:p>
    <w:p>
      <w:pPr>
        <w:pStyle w:val="Heading1"/>
      </w:pPr>
      <w:r>
        <w:t>33. Conclusion</w:t>
      </w:r>
    </w:p>
    <w:p>
      <w:r>
        <w:t>This manuscript proposes the architecture of a general sustainability theory rather than claiming its completion. The stable spine consists of:</w:t>
      </w:r>
    </w:p>
    <w:p>
      <w:pPr>
        <w:pStyle w:val="ListNumber"/>
      </w:pPr>
      <w:r>
        <w:t>a prospectively frozen sustainability specification;</w:t>
      </w:r>
    </w:p>
    <w:p>
      <w:pPr>
        <w:pStyle w:val="ListNumber"/>
      </w:pPr>
      <w:r>
        <w:t>a registry of system architectures;</w:t>
      </w:r>
    </w:p>
    <w:p>
      <w:pPr>
        <w:pStyle w:val="ListNumber"/>
      </w:pPr>
      <w:r>
        <w:t>one typed constraint registry;</w:t>
      </w:r>
    </w:p>
    <w:p>
      <w:pPr>
        <w:pStyle w:val="ListNumber"/>
      </w:pPr>
      <w:r>
        <w:t>a typed physical, functional, normative, relational, and epistemic judgment vector;</w:t>
      </w:r>
    </w:p>
    <w:p>
      <w:pPr>
        <w:pStyle w:val="ListNumber"/>
      </w:pPr>
      <w:r>
        <w:t>within-architecture viability evaluated from the actual initial state under a causal implementable policy class;</w:t>
      </w:r>
    </w:p>
    <w:p>
      <w:pPr>
        <w:pStyle w:val="ListNumber"/>
      </w:pPr>
      <w:r>
        <w:t>a separate hybrid transformation operator;</w:t>
      </w:r>
    </w:p>
    <w:p>
      <w:pPr>
        <w:pStyle w:val="ListNumber"/>
      </w:pPr>
      <w:r>
        <w:t>explicit boundary-interface adequacy;</w:t>
      </w:r>
    </w:p>
    <w:p>
      <w:pPr>
        <w:pStyle w:val="ListNumber"/>
      </w:pPr>
      <w:r>
        <w:t>typed dependency hypergraphs with commons nodes;</w:t>
      </w:r>
    </w:p>
    <w:p>
      <w:pPr>
        <w:pStyle w:val="ListNumber"/>
      </w:pPr>
      <w:r>
        <w:t>deterministic, robust, probabilistic, strategic, and scenario contracts;</w:t>
      </w:r>
    </w:p>
    <w:p>
      <w:pPr>
        <w:pStyle w:val="ListNumber"/>
      </w:pPr>
      <w:r>
        <w:t>a disciplined taxonomy of definitions, principles, lemmas, conjectures, templates, placeholders, and proof obligations.</w:t>
      </w:r>
    </w:p>
    <w:p>
      <w:r>
        <w:t>The central idea is not that ecological, economic, and social systems obey one equation. It is that sustainability claims about all three require a compatible architecture for possibility, function, value, relation, disturbance, action, boundary, and change.</w:t>
      </w:r>
    </w:p>
    <w:p>
      <w:r>
        <w:t>In compressed form:</w:t>
      </w:r>
    </w:p>
    <w:p>
      <w:pPr>
        <w:jc w:val="center"/>
      </w:pPr>
      <w:r>
        <w:rPr>
          <w:rFonts w:ascii="Cambria Math" w:hAnsi="Cambria Math"/>
          <w:i/>
          <w:sz w:val="21"/>
        </w:rPr>
        <w:t>\boxed{</w:t>
        <w:br/>
        <w:t>\begin{aligned}</w:t>
        <w:br/>
        <w:t>\text{Sustainability architecture}</w:t>
        <w:br/>
        <w:t>={}&amp;</w:t>
        <w:br/>
        <w:t>\text{typed admissible viability}\</w:t>
        <w:br/>
        <w:t>&amp;+\text{architecture-sensitive transformation}\</w:t>
        <w:br/>
        <w:t>&amp;+\text{interdependent composition}\</w:t>
        <w:br/>
        <w:t>&amp;+\text{commons-aware responsibility}\</w:t>
        <w:br/>
        <w:t>&amp;+\text{auditable boundary assumptions}\</w:t>
        <w:br/>
        <w:t>&amp;+\text{prospectively declared identity and legitimacy}.</w:t>
        <w:br/>
        <w:t>\end{aligned}}</w:t>
      </w:r>
    </w:p>
    <w:p>
      <w:r>
        <w:t>The architecture is successful only if later formal and empirical work can fill its boxes without redefining the primitive in every domain—and if doing so yields nontrivial exclusions, earlier warnings, or better interventions than simpler approaches.</w:t>
      </w:r>
    </w:p>
    <w:p>
      <w:pPr>
        <w:pBdr>
          <w:bottom w:val="single" w:sz="6" w:color="AABBC5"/>
        </w:pBdr>
      </w:pPr>
    </w:p>
    <w:p>
      <w:pPr>
        <w:pStyle w:val="Heading1"/>
      </w:pPr>
      <w:r>
        <w:t>References</w:t>
      </w:r>
    </w:p>
    <w:p>
      <w:r>
        <w:t xml:space="preserve">Aubin, J.-P. (2009). </w:t>
      </w:r>
      <w:r>
        <w:rPr>
          <w:i/>
        </w:rPr>
        <w:t>Viability theory</w:t>
      </w:r>
      <w:r>
        <w:t>. Birkhäuser. https://doi.org/10.1007/978-0-8176-4910-4</w:t>
      </w:r>
    </w:p>
    <w:p>
      <w:r>
        <w:t xml:space="preserve">Aubin, J.-P., Bayen, A. M., &amp; Saint-Pierre, P. (2011). </w:t>
      </w:r>
      <w:r>
        <w:rPr>
          <w:i/>
        </w:rPr>
        <w:t>Viability theory: New directions</w:t>
      </w:r>
      <w:r>
        <w:t>. Springer. https://doi.org/10.1007/978-3-642-16684-6</w:t>
      </w:r>
    </w:p>
    <w:p>
      <w:r>
        <w:t xml:space="preserve">Blanchini, F. (1999). Set invariance in control. </w:t>
      </w:r>
      <w:r>
        <w:rPr>
          <w:i/>
        </w:rPr>
        <w:t>Automatica, 35</w:t>
      </w:r>
      <w:r>
        <w:t>(11), 1747–1767.</w:t>
      </w:r>
    </w:p>
    <w:p>
      <w:r>
        <w:t xml:space="preserve">Goebel, R., Sanfelice, R. G., &amp; Teel, A. R. (2012). </w:t>
      </w:r>
      <w:r>
        <w:rPr>
          <w:i/>
        </w:rPr>
        <w:t>Hybrid dynamical systems: Modeling, stability, and robustness</w:t>
      </w:r>
      <w:r>
        <w:t>. Princeton University Press.</w:t>
      </w:r>
    </w:p>
    <w:p>
      <w:r>
        <w:t xml:space="preserve">Hale, J. K., &amp; Verduyn Lunel, S. M. (1993). </w:t>
      </w:r>
      <w:r>
        <w:rPr>
          <w:i/>
        </w:rPr>
        <w:t>Introduction to functional differential equations</w:t>
      </w:r>
      <w:r>
        <w:t>. Springer.</w:t>
      </w:r>
    </w:p>
    <w:p>
      <w:r>
        <w:t xml:space="preserve">Munda, G., &amp; Nardo, M. (2009). Noncompensatory/nonlinear composite indicators for ranking countries: A defensible setting. </w:t>
      </w:r>
      <w:r>
        <w:rPr>
          <w:i/>
        </w:rPr>
        <w:t>Applied Economics, 41</w:t>
      </w:r>
      <w:r>
        <w:t>, 1513–1523. https://doi.org/10.1080/00036840601019364</w:t>
      </w:r>
    </w:p>
    <w:p>
      <w:r>
        <w:t xml:space="preserve">O’Neill, D. W., Fanning, A. L., Lamb, W. F., &amp; Steinberger, J. K. (2018). A good life for all within planetary boundaries. </w:t>
      </w:r>
      <w:r>
        <w:rPr>
          <w:i/>
        </w:rPr>
        <w:t>Nature Sustainability, 1</w:t>
      </w:r>
      <w:r>
        <w:t>, 88–95. https://doi.org/10.1038/s41893-018-0021-4</w:t>
      </w:r>
    </w:p>
    <w:p>
      <w:r>
        <w:t xml:space="preserve">Saint-Pierre, P. (1994). Approximation of the viability kernel. </w:t>
      </w:r>
      <w:r>
        <w:rPr>
          <w:i/>
        </w:rPr>
        <w:t>Applied Mathematics and Optimization, 29</w:t>
      </w:r>
      <w:r>
        <w:t>, 187–209. https://doi.org/10.1007/BF01204182</w:t>
      </w:r>
    </w:p>
    <w:p>
      <w:r>
        <w:t xml:space="preserve">Chen, Y., Anderson, J., Kalsi, K., Low, S. H., &amp; Ames, A. D. (2019). Compositional set invariance in network systems with assume–guarantee contracts. In </w:t>
      </w:r>
      <w:r>
        <w:rPr>
          <w:i/>
        </w:rPr>
        <w:t>Proceedings of the American Control Conference</w:t>
      </w:r>
      <w:r>
        <w:t>.</w:t>
      </w:r>
    </w:p>
    <w:p>
      <w:r>
        <w:t xml:space="preserve">Ekins, P., Simon, S., Deutsch, L., Folke, C., &amp; de Groot, R. (2003). A framework for the practical application of the concepts of critical natural capital and strong sustainability. </w:t>
      </w:r>
      <w:r>
        <w:rPr>
          <w:i/>
        </w:rPr>
        <w:t>Ecological Economics, 44</w:t>
      </w:r>
      <w:r>
        <w:t>(2–3), 165–185.</w:t>
      </w:r>
    </w:p>
    <w:p>
      <w:r>
        <w:t xml:space="preserve">Folke, C., Carpenter, S. R., Walker, B., Scheffer, M., Chapin, T., &amp; Rockström, J. (2010). Resilience thinking: Integrating resilience, adaptability and transformability. </w:t>
      </w:r>
      <w:r>
        <w:rPr>
          <w:i/>
        </w:rPr>
        <w:t>Ecology and Society, 15</w:t>
      </w:r>
      <w:r>
        <w:t>(4), 20. https://doi.org/10.5751/ES-03610-150420</w:t>
      </w:r>
    </w:p>
    <w:p>
      <w:r>
        <w:t xml:space="preserve">Holling, C. S. (1973). Resilience and stability of ecological systems. </w:t>
      </w:r>
      <w:r>
        <w:rPr>
          <w:i/>
        </w:rPr>
        <w:t>Annual Review of Ecology and Systematics, 4</w:t>
      </w:r>
      <w:r>
        <w:t>, 1–23. https://doi.org/10.1146/annurev.es.04.110173.000245</w:t>
      </w:r>
    </w:p>
    <w:p>
      <w:r>
        <w:t xml:space="preserve">Meadows, D. H. (2008). </w:t>
      </w:r>
      <w:r>
        <w:rPr>
          <w:i/>
        </w:rPr>
        <w:t>Thinking in systems: A primer</w:t>
      </w:r>
      <w:r>
        <w:t>. Chelsea Green.</w:t>
      </w:r>
    </w:p>
    <w:p>
      <w:r>
        <w:t xml:space="preserve">Neumayer, E. (2013). </w:t>
      </w:r>
      <w:r>
        <w:rPr>
          <w:i/>
        </w:rPr>
        <w:t>Weak versus strong sustainability: Exploring the limits of two opposing paradigms</w:t>
      </w:r>
      <w:r>
        <w:t xml:space="preserve"> (4th ed.). Edward Elgar.</w:t>
      </w:r>
    </w:p>
    <w:p>
      <w:r>
        <w:t xml:space="preserve">Ostrom, E. (2009). A general framework for analyzing sustainability of social-ecological systems. </w:t>
      </w:r>
      <w:r>
        <w:rPr>
          <w:i/>
        </w:rPr>
        <w:t>Science, 325</w:t>
      </w:r>
      <w:r>
        <w:t>(5939), 419–422. https://doi.org/10.1126/science.1172133</w:t>
      </w:r>
    </w:p>
    <w:p>
      <w:r>
        <w:t xml:space="preserve">Rockafellar, R. T. (1970). </w:t>
      </w:r>
      <w:r>
        <w:rPr>
          <w:i/>
        </w:rPr>
        <w:t>Convex analysis</w:t>
      </w:r>
      <w:r>
        <w:t>. Princeton University Press.</w:t>
      </w:r>
    </w:p>
    <w:p>
      <w:r>
        <w:t xml:space="preserve">Raworth, K. (2012). </w:t>
      </w:r>
      <w:r>
        <w:rPr>
          <w:i/>
        </w:rPr>
        <w:t>A safe and just space for humanity: Can we live within the doughnut?</w:t>
      </w:r>
      <w:r>
        <w:t xml:space="preserve"> Oxfam Discussion Paper.</w:t>
      </w:r>
    </w:p>
    <w:p>
      <w:r>
        <w:t xml:space="preserve">Raworth, K. (2017). </w:t>
      </w:r>
      <w:r>
        <w:rPr>
          <w:i/>
        </w:rPr>
        <w:t>Doughnut economics: Seven ways to think like a 21st-century economist</w:t>
      </w:r>
      <w:r>
        <w:t>. Chelsea Green.</w:t>
      </w:r>
    </w:p>
    <w:p>
      <w:r>
        <w:t xml:space="preserve">Rockström, J., Steffen, W., Noone, K., Persson, Å., Chapin, F. S., III, Lambin, E. F., Lenton, T. M., Scheffer, M., Folke, C., Schellnhuber, H. J., Nykvist, B., de Wit, C. A., Hughes, T., van der Leeuw, S., Rodhe, H., Sörlin, S., Snyder, P. K., Costanza, R., Svedin, U., … Foley, J. A. (2009). Planetary boundaries: Exploring the safe operating space for humanity. </w:t>
      </w:r>
      <w:r>
        <w:rPr>
          <w:i/>
        </w:rPr>
        <w:t>Ecology and Society, 14</w:t>
      </w:r>
      <w:r>
        <w:t>(2), 32. https://doi.org/10.5751/ES-03180-140232</w:t>
      </w:r>
    </w:p>
    <w:p>
      <w:r>
        <w:t xml:space="preserve">Steffen, W., Richardson, K., Rockström, J., Cornell, S. E., Fetzer, I., Bennett, E. M., Biggs, R., Carpenter, S. R., de Vries, W., de Wit, C. A., Folke, C., Gerten, D., Heinke, J., Mace, G. M., Persson, L. M., Ramanathan, V., Reyers, B., &amp; Sörlin, S. (2015). Planetary boundaries: Guiding human development on a changing planet. </w:t>
      </w:r>
      <w:r>
        <w:rPr>
          <w:i/>
        </w:rPr>
        <w:t>Science, 347</w:t>
      </w:r>
      <w:r>
        <w:t>(6223), 1259855. https://doi.org/10.1126/science.1259855</w:t>
      </w:r>
    </w:p>
    <w:p>
      <w:r>
        <w:t xml:space="preserve">Walker, B., Holling, C. S., Carpenter, S. R., &amp; Kinzig, A. (2004). Resilience, adaptability and transformability in social–ecological systems. </w:t>
      </w:r>
      <w:r>
        <w:rPr>
          <w:i/>
        </w:rPr>
        <w:t>Ecology and Society, 9</w:t>
      </w:r>
      <w:r>
        <w:t>(2), 5. https://doi.org/10.5751/ES-00650-090205</w:t>
      </w:r>
    </w:p>
    <w:p>
      <w:r>
        <w:t xml:space="preserve">Alkire, S., &amp; Foster, J. (2011). Counting and multidimensional poverty measurement. </w:t>
      </w:r>
      <w:r>
        <w:rPr>
          <w:i/>
        </w:rPr>
        <w:t>Journal of Public Economics, 95</w:t>
      </w:r>
      <w:r>
        <w:t>(7–8), 476–487. https://doi.org/10.1016/j.jpubeco.2010.11.006</w:t>
      </w:r>
    </w:p>
    <w:p>
      <w:r>
        <w:t xml:space="preserve">Department of Fisheries and Oceans Canada. (2016). </w:t>
      </w:r>
      <w:r>
        <w:rPr>
          <w:i/>
        </w:rPr>
        <w:t>Stock assessment of Northern Cod (NAFO Divs. 2J3KL) in 2016</w:t>
      </w:r>
      <w:r>
        <w:t>. Canadian Science Advisory Secretariat Science Advisory Report 2016/026.</w:t>
      </w:r>
    </w:p>
    <w:p>
      <w:r>
        <w:t xml:space="preserve">Department of Fisheries and Oceans Canada. (2018). </w:t>
      </w:r>
      <w:r>
        <w:rPr>
          <w:i/>
        </w:rPr>
        <w:t>Proceedings of the Northern Cod Framework Review Meeting</w:t>
      </w:r>
      <w:r>
        <w:t>. Canadian Science Advisory Secretariat Proceedings Series.</w:t>
      </w:r>
    </w:p>
    <w:p>
      <w:r>
        <w:t xml:space="preserve">Department of Fisheries and Oceans Canada. (2024, June 26). </w:t>
      </w:r>
      <w:r>
        <w:rPr>
          <w:i/>
        </w:rPr>
        <w:t>The Government of Canada announces the historic return of the commercial Northern cod fishery in Newfoundland and Labrador</w:t>
      </w:r>
      <w:r>
        <w:t>.</w:t>
      </w:r>
    </w:p>
    <w:p>
      <w:r>
        <w:t xml:space="preserve">Rose, G. A., &amp; Walters, C. J. (2019). The state of Canada’s iconic Northern cod: A second opinion. </w:t>
      </w:r>
      <w:r>
        <w:rPr>
          <w:i/>
        </w:rPr>
        <w:t>Fisheries Research, 219</w:t>
      </w:r>
      <w:r>
        <w:t>, 105314. https://doi.org/10.1016/j.fishres.2019.105314</w:t>
      </w:r>
    </w:p>
    <w:p>
      <w:r>
        <w:t xml:space="preserve">Statistics Canada. (2023). </w:t>
      </w:r>
      <w:r>
        <w:rPr>
          <w:i/>
        </w:rPr>
        <w:t>Resource-based community status and proportion of income and employment from a resource industry, by resource industry, 2016 and 2021</w:t>
      </w:r>
      <w:r>
        <w:t xml:space="preserve"> (Tables 38-10-0167-01 and 38-10-0168-01).</w:t>
      </w:r>
    </w:p>
    <w:p>
      <w:r>
        <w:t xml:space="preserve">World Bank. (2025, June 5). </w:t>
      </w:r>
      <w:r>
        <w:rPr>
          <w:i/>
        </w:rPr>
        <w:t>June 2025 update to global poverty lines</w:t>
      </w:r>
      <w:r>
        <w:t>.</w:t>
      </w:r>
    </w:p>
    <w:p>
      <w:r>
        <w:t xml:space="preserve">World Commission on Environment and Development. (1987). </w:t>
      </w:r>
      <w:r>
        <w:rPr>
          <w:i/>
        </w:rPr>
        <w:t>Our common future</w:t>
      </w:r>
      <w:r>
        <w:t>. Oxford University Press.</w:t>
      </w:r>
    </w:p>
    <w:p>
      <w:pPr>
        <w:pBdr>
          <w:bottom w:val="single" w:sz="6" w:color="AABBC5"/>
        </w:pBdr>
      </w:pPr>
    </w:p>
    <w:p>
      <w:r>
        <w:br w:type="page"/>
      </w:r>
    </w:p>
    <w:p>
      <w:pPr>
        <w:pStyle w:val="Heading1"/>
      </w:pPr>
      <w:r>
        <w:t>Appendix A. Sustainability specification template</w:t>
      </w:r>
    </w:p>
    <w:p>
      <w:pPr>
        <w:pStyle w:val="ListBullet"/>
      </w:pPr>
      <w:r>
        <w:t>Focal system \(S\):</w:t>
      </w:r>
    </w:p>
    <w:p>
      <w:pPr>
        <w:pStyle w:val="ListBullet"/>
      </w:pPr>
      <w:r>
        <w:t>Actual initial state or uncertainty set \(z_0\):</w:t>
      </w:r>
    </w:p>
    <w:p>
      <w:pPr>
        <w:pStyle w:val="ListBullet"/>
      </w:pPr>
      <w:r>
        <w:t>Higher-order identity \(I^H\):</w:t>
      </w:r>
    </w:p>
    <w:p>
      <w:pPr>
        <w:pStyle w:val="ListBullet"/>
      </w:pPr>
      <w:r>
        <w:t>Lower-level identity \(I^L\):</w:t>
      </w:r>
    </w:p>
    <w:p>
      <w:pPr>
        <w:pStyle w:val="ListBullet"/>
      </w:pPr>
      <w:r>
        <w:t>Protected functions and values \(\mathcal V\):</w:t>
      </w:r>
    </w:p>
    <w:p>
      <w:pPr>
        <w:pStyle w:val="ListBullet"/>
      </w:pPr>
      <w:r>
        <w:t>Boundary \(B\):</w:t>
      </w:r>
    </w:p>
    <w:p>
      <w:pPr>
        <w:pStyle w:val="ListBullet"/>
      </w:pPr>
      <w:r>
        <w:t>Horizon \(T\):</w:t>
      </w:r>
    </w:p>
    <w:p>
      <w:pPr>
        <w:pStyle w:val="ListBullet"/>
      </w:pPr>
      <w:r>
        <w:t>Disturbance class \(W\):</w:t>
      </w:r>
    </w:p>
    <w:p>
      <w:pPr>
        <w:pStyle w:val="ListBullet"/>
      </w:pPr>
      <w:r>
        <w:t>Normative authority \(\mathcal N\):</w:t>
      </w:r>
    </w:p>
    <w:p>
      <w:pPr>
        <w:pStyle w:val="ListBullet"/>
      </w:pPr>
      <w:r>
        <w:t>Permitted revision and architecture-change rules \(\mathcal R_A\):</w:t>
      </w:r>
    </w:p>
    <w:p>
      <w:pPr>
        <w:pStyle w:val="ListBullet"/>
      </w:pPr>
      <w:r>
        <w:t>Current architecture \(\mathfrak A_q\):</w:t>
      </w:r>
    </w:p>
    <w:p>
      <w:r>
        <w:br w:type="page"/>
      </w:r>
    </w:p>
    <w:p>
      <w:pPr>
        <w:pStyle w:val="Heading1"/>
      </w:pPr>
      <w:r>
        <w:t>Appendix B. Typed constraint-register template</w:t>
      </w:r>
    </w:p>
    <w:tbl>
      <w:tblPr>
        <w:tblStyle w:val="TableGrid"/>
        <w:tblW w:type="auto" w:w="0"/>
        <w:jc w:val="center"/>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shd w:fill="DCE8EF"/>
            <w:vAlign w:val="center"/>
          </w:tcPr>
          <w:p>
            <w:r>
              <w:rPr>
                <w:b/>
              </w:rPr>
              <w:t>ID</w:t>
            </w:r>
          </w:p>
        </w:tc>
        <w:tc>
          <w:tcPr>
            <w:tcW w:type="dxa" w:w="1072"/>
            <w:shd w:fill="DCE8EF"/>
            <w:vAlign w:val="center"/>
          </w:tcPr>
          <w:p>
            <w:r>
              <w:rPr>
                <w:b/>
              </w:rPr>
              <w:t>Predicate</w:t>
            </w:r>
          </w:p>
        </w:tc>
        <w:tc>
          <w:tcPr>
            <w:tcW w:type="dxa" w:w="1072"/>
            <w:shd w:fill="DCE8EF"/>
            <w:vAlign w:val="center"/>
          </w:tcPr>
          <w:p>
            <w:r>
              <w:rPr>
                <w:b/>
              </w:rPr>
              <w:t>Type</w:t>
            </w:r>
          </w:p>
        </w:tc>
        <w:tc>
          <w:tcPr>
            <w:tcW w:type="dxa" w:w="1072"/>
            <w:shd w:fill="DCE8EF"/>
            <w:vAlign w:val="center"/>
          </w:tcPr>
          <w:p>
            <w:r>
              <w:rPr>
                <w:b/>
              </w:rPr>
              <w:t>Subject</w:t>
            </w:r>
          </w:p>
        </w:tc>
        <w:tc>
          <w:tcPr>
            <w:tcW w:type="dxa" w:w="1072"/>
            <w:shd w:fill="DCE8EF"/>
            <w:vAlign w:val="center"/>
          </w:tcPr>
          <w:p>
            <w:r>
              <w:rPr>
                <w:b/>
              </w:rPr>
              <w:t>Provenance</w:t>
            </w:r>
          </w:p>
        </w:tc>
        <w:tc>
          <w:tcPr>
            <w:tcW w:type="dxa" w:w="1072"/>
            <w:shd w:fill="DCE8EF"/>
            <w:vAlign w:val="center"/>
          </w:tcPr>
          <w:p>
            <w:r>
              <w:rPr>
                <w:b/>
              </w:rPr>
              <w:t>Substitutability</w:t>
            </w:r>
          </w:p>
        </w:tc>
        <w:tc>
          <w:tcPr>
            <w:tcW w:type="dxa" w:w="1072"/>
            <w:shd w:fill="DCE8EF"/>
            <w:vAlign w:val="center"/>
          </w:tcPr>
          <w:p>
            <w:r>
              <w:rPr>
                <w:b/>
              </w:rPr>
              <w:t>Reversibility/criticality</w:t>
            </w:r>
          </w:p>
        </w:tc>
        <w:tc>
          <w:tcPr>
            <w:tcW w:type="dxa" w:w="1072"/>
            <w:shd w:fill="DCE8EF"/>
            <w:vAlign w:val="center"/>
          </w:tcPr>
          <w:p>
            <w:r>
              <w:rPr>
                <w:b/>
              </w:rPr>
              <w:t>Group/system</w:t>
            </w:r>
          </w:p>
        </w:tc>
        <w:tc>
          <w:tcPr>
            <w:tcW w:type="dxa" w:w="1072"/>
            <w:shd w:fill="DCE8EF"/>
            <w:vAlign w:val="center"/>
          </w:tcPr>
          <w:p>
            <w:r>
              <w:rPr>
                <w:b/>
              </w:rPr>
              <w:t>Horizon</w:t>
            </w:r>
          </w:p>
        </w:tc>
      </w:tr>
      <w:tr>
        <w:tc>
          <w:tcPr>
            <w:tcW w:type="dxa" w:w="1072"/>
          </w:tcPr>
          <w:p>
            <w:r>
              <w:t>C1</w:t>
            </w:r>
          </w:p>
        </w:tc>
        <w:tc>
          <w:tcPr>
            <w:tcW w:type="dxa" w:w="1072"/>
          </w:tcPr>
          <w:p>
            <w:r>
              <w:t>[Bound]</w:t>
            </w:r>
          </w:p>
        </w:tc>
        <w:tc>
          <w:tcPr>
            <w:tcW w:type="dxa" w:w="1072"/>
          </w:tcPr>
          <w:p>
            <w:r>
              <w:t>P/F/N/R/Epistemic</w:t>
            </w:r>
          </w:p>
        </w:tc>
        <w:tc>
          <w:tcPr>
            <w:tcW w:type="dxa" w:w="1072"/>
          </w:tcPr>
          <w:p>
            <w:r>
              <w:t>[State/capacity/etc.]</w:t>
            </w:r>
          </w:p>
        </w:tc>
        <w:tc>
          <w:tcPr>
            <w:tcW w:type="dxa" w:w="1072"/>
          </w:tcPr>
          <w:p>
            <w:r>
              <w:t>[P/E/M/N/L]</w:t>
            </w:r>
          </w:p>
        </w:tc>
        <w:tc>
          <w:tcPr>
            <w:tcW w:type="dxa" w:w="1072"/>
          </w:tcPr>
          <w:p>
            <w:r>
              <w:t>[Rule]</w:t>
            </w:r>
          </w:p>
        </w:tc>
        <w:tc>
          <w:tcPr>
            <w:tcW w:type="dxa" w:w="1072"/>
          </w:tcPr>
          <w:p>
            <w:r>
              <w:t>[Tag]</w:t>
            </w:r>
          </w:p>
        </w:tc>
        <w:tc>
          <w:tcPr>
            <w:tcW w:type="dxa" w:w="1072"/>
          </w:tcPr>
          <w:p>
            <w:r>
              <w:t>[Affected party]</w:t>
            </w:r>
          </w:p>
        </w:tc>
        <w:tc>
          <w:tcPr>
            <w:tcW w:type="dxa" w:w="1072"/>
          </w:tcPr>
          <w:p>
            <w:r>
              <w:t>[T]</w:t>
            </w:r>
          </w:p>
        </w:tc>
      </w:tr>
    </w:tbl>
    <w:p/>
    <w:p>
      <w:r>
        <w:br w:type="page"/>
      </w:r>
    </w:p>
    <w:p>
      <w:pPr>
        <w:pStyle w:val="Heading1"/>
      </w:pPr>
      <w:r>
        <w:t>Appendix C. Boundary-interface register</w:t>
      </w:r>
    </w:p>
    <w:tbl>
      <w:tblPr>
        <w:tblStyle w:val="TableGrid"/>
        <w:tblW w:type="auto" w:w="0"/>
        <w:jc w:val="center"/>
        <w:tblLook w:firstColumn="1" w:firstRow="1" w:lastColumn="0" w:lastRow="0" w:noHBand="0" w:noVBand="1" w:val="04A0"/>
      </w:tblPr>
      <w:tblGrid>
        <w:gridCol w:w="1206"/>
        <w:gridCol w:w="1206"/>
        <w:gridCol w:w="1206"/>
        <w:gridCol w:w="1206"/>
        <w:gridCol w:w="1206"/>
        <w:gridCol w:w="1206"/>
        <w:gridCol w:w="1206"/>
        <w:gridCol w:w="1206"/>
      </w:tblGrid>
      <w:tr>
        <w:tc>
          <w:tcPr>
            <w:tcW w:type="dxa" w:w="1206"/>
            <w:shd w:fill="DCE8EF"/>
            <w:vAlign w:val="center"/>
          </w:tcPr>
          <w:p>
            <w:r>
              <w:rPr>
                <w:b/>
              </w:rPr>
              <w:t>Interface</w:t>
            </w:r>
          </w:p>
        </w:tc>
        <w:tc>
          <w:tcPr>
            <w:tcW w:type="dxa" w:w="1206"/>
            <w:shd w:fill="DCE8EF"/>
            <w:vAlign w:val="center"/>
          </w:tcPr>
          <w:p>
            <w:r>
              <w:rPr>
                <w:b/>
              </w:rPr>
              <w:t>Input/output/disturbance</w:t>
            </w:r>
          </w:p>
        </w:tc>
        <w:tc>
          <w:tcPr>
            <w:tcW w:type="dxa" w:w="1206"/>
            <w:shd w:fill="DCE8EF"/>
            <w:vAlign w:val="center"/>
          </w:tcPr>
          <w:p>
            <w:r>
              <w:rPr>
                <w:b/>
              </w:rPr>
              <w:t>Assumption</w:t>
            </w:r>
          </w:p>
        </w:tc>
        <w:tc>
          <w:tcPr>
            <w:tcW w:type="dxa" w:w="1206"/>
            <w:shd w:fill="DCE8EF"/>
            <w:vAlign w:val="center"/>
          </w:tcPr>
          <w:p>
            <w:r>
              <w:rPr>
                <w:b/>
              </w:rPr>
              <w:t>Guarantee or envelope</w:t>
            </w:r>
          </w:p>
        </w:tc>
        <w:tc>
          <w:tcPr>
            <w:tcW w:type="dxa" w:w="1206"/>
            <w:shd w:fill="DCE8EF"/>
            <w:vAlign w:val="center"/>
          </w:tcPr>
          <w:p>
            <w:r>
              <w:rPr>
                <w:b/>
              </w:rPr>
              <w:t>Modality</w:t>
            </w:r>
          </w:p>
        </w:tc>
        <w:tc>
          <w:tcPr>
            <w:tcW w:type="dxa" w:w="1206"/>
            <w:shd w:fill="DCE8EF"/>
            <w:vAlign w:val="center"/>
          </w:tcPr>
          <w:p>
            <w:r>
              <w:rPr>
                <w:b/>
              </w:rPr>
              <w:t>Evidence</w:t>
            </w:r>
          </w:p>
        </w:tc>
        <w:tc>
          <w:tcPr>
            <w:tcW w:type="dxa" w:w="1206"/>
            <w:shd w:fill="DCE8EF"/>
            <w:vAlign w:val="center"/>
          </w:tcPr>
          <w:p>
            <w:r>
              <w:rPr>
                <w:b/>
              </w:rPr>
              <w:t>Failure probability</w:t>
            </w:r>
          </w:p>
        </w:tc>
        <w:tc>
          <w:tcPr>
            <w:tcW w:type="dxa" w:w="1206"/>
            <w:shd w:fill="DCE8EF"/>
            <w:vAlign w:val="center"/>
          </w:tcPr>
          <w:p>
            <w:r>
              <w:rPr>
                <w:b/>
              </w:rPr>
              <w:t>Monitoring trigger</w:t>
            </w:r>
          </w:p>
        </w:tc>
      </w:tr>
    </w:tbl>
    <w:p/>
    <w:p>
      <w:r>
        <w:br w:type="page"/>
      </w:r>
    </w:p>
    <w:p>
      <w:pPr>
        <w:pStyle w:val="Heading1"/>
      </w:pPr>
      <w:r>
        <w:t>Appendix D. Typed contract template</w:t>
      </w:r>
    </w:p>
    <w:p>
      <w:pPr>
        <w:pStyle w:val="ListBullet"/>
      </w:pPr>
      <w:r>
        <w:t>Module and relation:</w:t>
      </w:r>
    </w:p>
    <w:p>
      <w:pPr>
        <w:pStyle w:val="ListBullet"/>
      </w:pPr>
      <w:r>
        <w:t>Assumption \(A\):</w:t>
      </w:r>
    </w:p>
    <w:p>
      <w:pPr>
        <w:pStyle w:val="ListBullet"/>
      </w:pPr>
      <w:r>
        <w:t>Guarantee or response envelope \(G\):</w:t>
      </w:r>
    </w:p>
    <w:p>
      <w:pPr>
        <w:pStyle w:val="ListBullet"/>
      </w:pPr>
      <w:r>
        <w:t>Modality: deterministic / robust / probabilistic / strategic / scenario</w:t>
      </w:r>
    </w:p>
    <w:p>
      <w:pPr>
        <w:pStyle w:val="ListBullet"/>
      </w:pPr>
      <w:r>
        <w:t>Time signature:</w:t>
      </w:r>
    </w:p>
    <w:p>
      <w:pPr>
        <w:pStyle w:val="ListBullet"/>
      </w:pPr>
      <w:r>
        <w:t>Disturbance signature:</w:t>
      </w:r>
    </w:p>
    <w:p>
      <w:pPr>
        <w:pStyle w:val="ListBullet"/>
      </w:pPr>
      <w:r>
        <w:t>Units and scale:</w:t>
      </w:r>
    </w:p>
    <w:p>
      <w:pPr>
        <w:pStyle w:val="ListBullet"/>
      </w:pPr>
      <w:r>
        <w:t>Confidence:</w:t>
      </w:r>
    </w:p>
    <w:p>
      <w:pPr>
        <w:pStyle w:val="ListBullet"/>
      </w:pPr>
      <w:r>
        <w:t>Buffer or fallback:</w:t>
      </w:r>
    </w:p>
    <w:p>
      <w:pPr>
        <w:pStyle w:val="ListBullet"/>
      </w:pPr>
      <w:r>
        <w:t>Evidence:</w:t>
      </w:r>
    </w:p>
    <w:p>
      <w:pPr>
        <w:pStyle w:val="ListBullet"/>
      </w:pPr>
      <w:r>
        <w:t>Revision trigger:</w:t>
      </w:r>
    </w:p>
    <w:p>
      <w:r>
        <w:br w:type="page"/>
      </w:r>
    </w:p>
    <w:p>
      <w:pPr>
        <w:pStyle w:val="Heading1"/>
      </w:pPr>
      <w:r>
        <w:t>Appendix E. Identity-continuity template</w:t>
      </w:r>
    </w:p>
    <w:p>
      <w:pPr>
        <w:pStyle w:val="ListBullet"/>
      </w:pPr>
      <w:r>
        <w:t>Higher-order predicates that must persist:</w:t>
      </w:r>
    </w:p>
    <w:p>
      <w:pPr>
        <w:pStyle w:val="ListBullet"/>
      </w:pPr>
      <w:r>
        <w:t>Lower-order predicates allowed to change:</w:t>
      </w:r>
    </w:p>
    <w:p>
      <w:pPr>
        <w:pStyle w:val="ListBullet"/>
      </w:pPr>
      <w:r>
        <w:t>Origin architecture:</w:t>
      </w:r>
    </w:p>
    <w:p>
      <w:pPr>
        <w:pStyle w:val="ListBullet"/>
      </w:pPr>
      <w:r>
        <w:t>Destination architecture:</w:t>
      </w:r>
    </w:p>
    <w:p>
      <w:pPr>
        <w:pStyle w:val="ListBullet"/>
      </w:pPr>
      <w:r>
        <w:t>Translation map \(R_{qq'}\):</w:t>
      </w:r>
    </w:p>
    <w:p>
      <w:pPr>
        <w:pStyle w:val="ListBullet"/>
      </w:pPr>
      <w:r>
        <w:t>Continuity test \(\mathcal C_I\):</w:t>
      </w:r>
    </w:p>
    <w:p>
      <w:pPr>
        <w:pStyle w:val="ListBullet"/>
      </w:pPr>
      <w:r>
        <w:t>Stranded stocks and liabilities:</w:t>
      </w:r>
    </w:p>
    <w:p>
      <w:pPr>
        <w:pStyle w:val="ListBullet"/>
      </w:pPr>
      <w:r>
        <w:t>Affected populations:</w:t>
      </w:r>
    </w:p>
    <w:p>
      <w:pPr>
        <w:pStyle w:val="ListBullet"/>
      </w:pPr>
      <w:r>
        <w:t>Authorizing procedure:</w:t>
      </w:r>
    </w:p>
    <w:p>
      <w:r>
        <w:br w:type="page"/>
      </w:r>
    </w:p>
    <w:p>
      <w:pPr>
        <w:pStyle w:val="Heading1"/>
      </w:pPr>
      <w:r>
        <w:t>Appendix F. Commons-allocation template</w:t>
      </w:r>
    </w:p>
    <w:p>
      <w:pPr>
        <w:pStyle w:val="ListBullet"/>
      </w:pPr>
      <w:r>
        <w:t>Commons node:</w:t>
      </w:r>
    </w:p>
    <w:p>
      <w:pPr>
        <w:pStyle w:val="ListBullet"/>
      </w:pPr>
      <w:r>
        <w:t>Contributors:</w:t>
      </w:r>
    </w:p>
    <w:p>
      <w:pPr>
        <w:pStyle w:val="ListBullet"/>
      </w:pPr>
      <w:r>
        <w:t>Aggregate load function \(\mathcal L_C\):</w:t>
      </w:r>
    </w:p>
    <w:p>
      <w:pPr>
        <w:pStyle w:val="ListBullet"/>
      </w:pPr>
      <w:r>
        <w:t>Capacity \(C_C\):</w:t>
      </w:r>
    </w:p>
    <w:p>
      <w:pPr>
        <w:pStyle w:val="ListBullet"/>
      </w:pPr>
      <w:r>
        <w:t>Uncertainty:</w:t>
      </w:r>
    </w:p>
    <w:p>
      <w:pPr>
        <w:pStyle w:val="ListBullet"/>
      </w:pPr>
      <w:r>
        <w:t>Allocation rule:</w:t>
      </w:r>
    </w:p>
    <w:p>
      <w:pPr>
        <w:pStyle w:val="ListBullet"/>
      </w:pPr>
      <w:r>
        <w:t>Actor budgets \(b_i\):</w:t>
      </w:r>
    </w:p>
    <w:p>
      <w:pPr>
        <w:pStyle w:val="ListBullet"/>
      </w:pPr>
      <w:r>
        <w:t>Compliance and enforcement:</w:t>
      </w:r>
    </w:p>
    <w:p>
      <w:pPr>
        <w:pStyle w:val="ListBullet"/>
      </w:pPr>
      <w:r>
        <w:t>Vulnerable populations:</w:t>
      </w:r>
    </w:p>
    <w:p>
      <w:pPr>
        <w:pStyle w:val="ListBullet"/>
      </w:pPr>
      <w:r>
        <w:t>Revision rule:</w:t>
      </w:r>
    </w:p>
    <w:p>
      <w:r>
        <w:br w:type="page"/>
      </w:r>
    </w:p>
    <w:p>
      <w:pPr>
        <w:pStyle w:val="Heading1"/>
      </w:pPr>
      <w:r>
        <w:t>Appendix G. Populated claim-status ledger</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DCE8EF"/>
            <w:vAlign w:val="center"/>
          </w:tcPr>
          <w:p>
            <w:r>
              <w:rPr>
                <w:b/>
              </w:rPr>
              <w:t>ID</w:t>
            </w:r>
          </w:p>
        </w:tc>
        <w:tc>
          <w:tcPr>
            <w:tcW w:type="dxa" w:w="1930"/>
            <w:shd w:fill="DCE8EF"/>
            <w:vAlign w:val="center"/>
          </w:tcPr>
          <w:p>
            <w:r>
              <w:rPr>
                <w:b/>
              </w:rPr>
              <w:t>Named claim or object</w:t>
            </w:r>
          </w:p>
        </w:tc>
        <w:tc>
          <w:tcPr>
            <w:tcW w:type="dxa" w:w="1930"/>
            <w:shd w:fill="DCE8EF"/>
            <w:vAlign w:val="center"/>
          </w:tcPr>
          <w:p>
            <w:r>
              <w:rPr>
                <w:b/>
              </w:rPr>
              <w:t>Manuscript function</w:t>
            </w:r>
          </w:p>
        </w:tc>
        <w:tc>
          <w:tcPr>
            <w:tcW w:type="dxa" w:w="1930"/>
            <w:shd w:fill="DCE8EF"/>
            <w:vAlign w:val="center"/>
          </w:tcPr>
          <w:p>
            <w:r>
              <w:rPr>
                <w:b/>
              </w:rPr>
              <w:t>Epistemic status</w:t>
            </w:r>
          </w:p>
        </w:tc>
        <w:tc>
          <w:tcPr>
            <w:tcW w:type="dxa" w:w="1930"/>
            <w:shd w:fill="DCE8EF"/>
            <w:vAlign w:val="center"/>
          </w:tcPr>
          <w:p>
            <w:r>
              <w:rPr>
                <w:b/>
              </w:rPr>
              <w:t>Principal assumptions or authority</w:t>
            </w:r>
          </w:p>
        </w:tc>
      </w:tr>
      <w:tr>
        <w:tc>
          <w:tcPr>
            <w:tcW w:type="dxa" w:w="1930"/>
          </w:tcPr>
          <w:p>
            <w:r>
              <w:t>D1</w:t>
            </w:r>
          </w:p>
        </w:tc>
        <w:tc>
          <w:tcPr>
            <w:tcW w:type="dxa" w:w="1930"/>
          </w:tcPr>
          <w:p>
            <w:r>
              <w:t>Sustainability specification \(\Omega\)</w:t>
            </w:r>
          </w:p>
        </w:tc>
        <w:tc>
          <w:tcPr>
            <w:tcW w:type="dxa" w:w="1930"/>
          </w:tcPr>
          <w:p>
            <w:r>
              <w:t>Definition</w:t>
            </w:r>
          </w:p>
        </w:tc>
        <w:tc>
          <w:tcPr>
            <w:tcW w:type="dxa" w:w="1930"/>
          </w:tcPr>
          <w:p>
            <w:r>
              <w:t>Architectural definition</w:t>
            </w:r>
          </w:p>
        </w:tc>
        <w:tc>
          <w:tcPr>
            <w:tcW w:type="dxa" w:w="1930"/>
          </w:tcPr>
          <w:p>
            <w:r>
              <w:t>Purpose-relative declared assessment</w:t>
            </w:r>
          </w:p>
        </w:tc>
      </w:tr>
      <w:tr>
        <w:tc>
          <w:tcPr>
            <w:tcW w:type="dxa" w:w="1930"/>
          </w:tcPr>
          <w:p>
            <w:r>
              <w:t>D2</w:t>
            </w:r>
          </w:p>
        </w:tc>
        <w:tc>
          <w:tcPr>
            <w:tcW w:type="dxa" w:w="1930"/>
          </w:tcPr>
          <w:p>
            <w:r>
              <w:t>Architecture \(\mathfrak A_q\) and registry \(\mathbb A\)</w:t>
            </w:r>
          </w:p>
        </w:tc>
        <w:tc>
          <w:tcPr>
            <w:tcW w:type="dxa" w:w="1930"/>
          </w:tcPr>
          <w:p>
            <w:r>
              <w:t>Definition</w:t>
            </w:r>
          </w:p>
        </w:tc>
        <w:tc>
          <w:tcPr>
            <w:tcW w:type="dxa" w:w="1930"/>
          </w:tcPr>
          <w:p>
            <w:r>
              <w:t>Architectural definition</w:t>
            </w:r>
          </w:p>
        </w:tc>
        <w:tc>
          <w:tcPr>
            <w:tcW w:type="dxa" w:w="1930"/>
          </w:tcPr>
          <w:p>
            <w:r>
              <w:t>Declared state, dynamics, policies, interfaces</w:t>
            </w:r>
          </w:p>
        </w:tc>
      </w:tr>
      <w:tr>
        <w:tc>
          <w:tcPr>
            <w:tcW w:type="dxa" w:w="1930"/>
          </w:tcPr>
          <w:p>
            <w:r>
              <w:t>D3</w:t>
            </w:r>
          </w:p>
        </w:tc>
        <w:tc>
          <w:tcPr>
            <w:tcW w:type="dxa" w:w="1930"/>
          </w:tcPr>
          <w:p>
            <w:r>
              <w:t>Typed constraint registry \(\mathscr C\)</w:t>
            </w:r>
          </w:p>
        </w:tc>
        <w:tc>
          <w:tcPr>
            <w:tcW w:type="dxa" w:w="1930"/>
          </w:tcPr>
          <w:p>
            <w:r>
              <w:t>Definition/template</w:t>
            </w:r>
          </w:p>
        </w:tc>
        <w:tc>
          <w:tcPr>
            <w:tcW w:type="dxa" w:w="1930"/>
          </w:tcPr>
          <w:p>
            <w:r>
              <w:t>Architectural definition</w:t>
            </w:r>
          </w:p>
        </w:tc>
        <w:tc>
          <w:tcPr>
            <w:tcW w:type="dxa" w:w="1930"/>
          </w:tcPr>
          <w:p>
            <w:r>
              <w:t>Provenance and authority recorded per entry</w:t>
            </w:r>
          </w:p>
        </w:tc>
      </w:tr>
      <w:tr>
        <w:tc>
          <w:tcPr>
            <w:tcW w:type="dxa" w:w="1930"/>
          </w:tcPr>
          <w:p>
            <w:r>
              <w:t>D4</w:t>
            </w:r>
          </w:p>
        </w:tc>
        <w:tc>
          <w:tcPr>
            <w:tcW w:type="dxa" w:w="1930"/>
          </w:tcPr>
          <w:p>
            <w:r>
              <w:t>Typed judgment vector \((P,F,N,R,E)\)</w:t>
            </w:r>
          </w:p>
        </w:tc>
        <w:tc>
          <w:tcPr>
            <w:tcW w:type="dxa" w:w="1930"/>
          </w:tcPr>
          <w:p>
            <w:r>
              <w:t>Definition</w:t>
            </w:r>
          </w:p>
        </w:tc>
        <w:tc>
          <w:tcPr>
            <w:tcW w:type="dxa" w:w="1930"/>
          </w:tcPr>
          <w:p>
            <w:r>
              <w:t>Architectural definition</w:t>
            </w:r>
          </w:p>
        </w:tc>
        <w:tc>
          <w:tcPr>
            <w:tcW w:type="dxa" w:w="1930"/>
          </w:tcPr>
          <w:p>
            <w:r>
              <w:t>Typed predicates and information process</w:t>
            </w:r>
          </w:p>
        </w:tc>
      </w:tr>
      <w:tr>
        <w:tc>
          <w:tcPr>
            <w:tcW w:type="dxa" w:w="1930"/>
          </w:tcPr>
          <w:p>
            <w:r>
              <w:t>D5</w:t>
            </w:r>
          </w:p>
        </w:tc>
        <w:tc>
          <w:tcPr>
            <w:tcW w:type="dxa" w:w="1930"/>
          </w:tcPr>
          <w:p>
            <w:r>
              <w:t>Operator I robust viability</w:t>
            </w:r>
          </w:p>
        </w:tc>
        <w:tc>
          <w:tcPr>
            <w:tcW w:type="dxa" w:w="1930"/>
          </w:tcPr>
          <w:p>
            <w:r>
              <w:t>Definition</w:t>
            </w:r>
          </w:p>
        </w:tc>
        <w:tc>
          <w:tcPr>
            <w:tcW w:type="dxa" w:w="1930"/>
          </w:tcPr>
          <w:p>
            <w:r>
              <w:t>Established viability construction specialized here</w:t>
            </w:r>
          </w:p>
        </w:tc>
        <w:tc>
          <w:tcPr>
            <w:tcW w:type="dxa" w:w="1930"/>
          </w:tcPr>
          <w:p>
            <w:r>
              <w:t>Causal policy and disturbance classes</w:t>
            </w:r>
          </w:p>
        </w:tc>
      </w:tr>
      <w:tr>
        <w:tc>
          <w:tcPr>
            <w:tcW w:type="dxa" w:w="1930"/>
          </w:tcPr>
          <w:p>
            <w:r>
              <w:t>D6</w:t>
            </w:r>
          </w:p>
        </w:tc>
        <w:tc>
          <w:tcPr>
            <w:tcW w:type="dxa" w:w="1930"/>
          </w:tcPr>
          <w:p>
            <w:r>
              <w:t>Operator II transformation</w:t>
            </w:r>
          </w:p>
        </w:tc>
        <w:tc>
          <w:tcPr>
            <w:tcW w:type="dxa" w:w="1930"/>
          </w:tcPr>
          <w:p>
            <w:r>
              <w:t>Definition/research architecture</w:t>
            </w:r>
          </w:p>
        </w:tc>
        <w:tc>
          <w:tcPr>
            <w:tcW w:type="dxa" w:w="1930"/>
          </w:tcPr>
          <w:p>
            <w:r>
              <w:t>Architectural postulate and research programme</w:t>
            </w:r>
          </w:p>
        </w:tc>
        <w:tc>
          <w:tcPr>
            <w:tcW w:type="dxa" w:w="1930"/>
          </w:tcPr>
          <w:p>
            <w:r>
              <w:t>Architecture graph, reset maps, transition rules</w:t>
            </w:r>
          </w:p>
        </w:tc>
      </w:tr>
      <w:tr>
        <w:tc>
          <w:tcPr>
            <w:tcW w:type="dxa" w:w="1930"/>
          </w:tcPr>
          <w:p>
            <w:r>
              <w:t>D7</w:t>
            </w:r>
          </w:p>
        </w:tc>
        <w:tc>
          <w:tcPr>
            <w:tcW w:type="dxa" w:w="1930"/>
          </w:tcPr>
          <w:p>
            <w:r>
              <w:t>System-level assessment map \(\mathfrak J_\Omega\)</w:t>
            </w:r>
          </w:p>
        </w:tc>
        <w:tc>
          <w:tcPr>
            <w:tcW w:type="dxa" w:w="1930"/>
          </w:tcPr>
          <w:p>
            <w:r>
              <w:t>Definition</w:t>
            </w:r>
          </w:p>
        </w:tc>
        <w:tc>
          <w:tcPr>
            <w:tcW w:type="dxa" w:w="1930"/>
          </w:tcPr>
          <w:p>
            <w:r>
              <w:t>Architectural definition</w:t>
            </w:r>
          </w:p>
        </w:tc>
        <w:tc>
          <w:tcPr>
            <w:tcW w:type="dxa" w:w="1930"/>
          </w:tcPr>
          <w:p>
            <w:r>
              <w:t>Ordered current/recovery/transformation tests</w:t>
            </w:r>
          </w:p>
        </w:tc>
      </w:tr>
      <w:tr>
        <w:tc>
          <w:tcPr>
            <w:tcW w:type="dxa" w:w="1930"/>
          </w:tcPr>
          <w:p>
            <w:r>
              <w:t>WF1</w:t>
            </w:r>
          </w:p>
        </w:tc>
        <w:tc>
          <w:tcPr>
            <w:tcW w:type="dxa" w:w="1930"/>
          </w:tcPr>
          <w:p>
            <w:r>
              <w:t>Prospective specification locking</w:t>
            </w:r>
          </w:p>
        </w:tc>
        <w:tc>
          <w:tcPr>
            <w:tcW w:type="dxa" w:w="1930"/>
          </w:tcPr>
          <w:p>
            <w:r>
              <w:t>Well-formedness rule</w:t>
            </w:r>
          </w:p>
        </w:tc>
        <w:tc>
          <w:tcPr>
            <w:tcW w:type="dxa" w:w="1930"/>
          </w:tcPr>
          <w:p>
            <w:r>
              <w:t>Methodological/normative postulate</w:t>
            </w:r>
          </w:p>
        </w:tc>
        <w:tc>
          <w:tcPr>
            <w:tcW w:type="dxa" w:w="1930"/>
          </w:tcPr>
          <w:p>
            <w:r>
              <w:t>Declared authority and preregistration</w:t>
            </w:r>
          </w:p>
        </w:tc>
      </w:tr>
      <w:tr>
        <w:tc>
          <w:tcPr>
            <w:tcW w:type="dxa" w:w="1930"/>
          </w:tcPr>
          <w:p>
            <w:r>
              <w:t>IP1</w:t>
            </w:r>
          </w:p>
        </w:tc>
        <w:tc>
          <w:tcPr>
            <w:tcW w:type="dxa" w:w="1930"/>
          </w:tcPr>
          <w:p>
            <w:r>
              <w:t>Boundary-interface adequacy</w:t>
            </w:r>
          </w:p>
        </w:tc>
        <w:tc>
          <w:tcPr>
            <w:tcW w:type="dxa" w:w="1930"/>
          </w:tcPr>
          <w:p>
            <w:r>
              <w:t>Interface principle</w:t>
            </w:r>
          </w:p>
        </w:tc>
        <w:tc>
          <w:tcPr>
            <w:tcW w:type="dxa" w:w="1930"/>
          </w:tcPr>
          <w:p>
            <w:r>
              <w:t>Methodological postulate</w:t>
            </w:r>
          </w:p>
        </w:tc>
        <w:tc>
          <w:tcPr>
            <w:tcW w:type="dxa" w:w="1930"/>
          </w:tcPr>
          <w:p>
            <w:r>
              <w:t>Discharged interfaces and sensitivity bounds</w:t>
            </w:r>
          </w:p>
        </w:tc>
      </w:tr>
      <w:tr>
        <w:tc>
          <w:tcPr>
            <w:tcW w:type="dxa" w:w="1930"/>
          </w:tcPr>
          <w:p>
            <w:r>
              <w:t>IP2</w:t>
            </w:r>
          </w:p>
        </w:tc>
        <w:tc>
          <w:tcPr>
            <w:tcW w:type="dxa" w:w="1930"/>
          </w:tcPr>
          <w:p>
            <w:r>
              <w:t>Typed dependency and commons accounting</w:t>
            </w:r>
          </w:p>
        </w:tc>
        <w:tc>
          <w:tcPr>
            <w:tcW w:type="dxa" w:w="1930"/>
          </w:tcPr>
          <w:p>
            <w:r>
              <w:t>Interface principle</w:t>
            </w:r>
          </w:p>
        </w:tc>
        <w:tc>
          <w:tcPr>
            <w:tcW w:type="dxa" w:w="1930"/>
          </w:tcPr>
          <w:p>
            <w:r>
              <w:t>Architectural definition plus normative allocation</w:t>
            </w:r>
          </w:p>
        </w:tc>
        <w:tc>
          <w:tcPr>
            <w:tcW w:type="dxa" w:w="1930"/>
          </w:tcPr>
          <w:p>
            <w:r>
              <w:t>Registered edge types and allocation authority</w:t>
            </w:r>
          </w:p>
        </w:tc>
      </w:tr>
      <w:tr>
        <w:tc>
          <w:tcPr>
            <w:tcW w:type="dxa" w:w="1930"/>
          </w:tcPr>
          <w:p>
            <w:r>
              <w:t>IP3</w:t>
            </w:r>
          </w:p>
        </w:tc>
        <w:tc>
          <w:tcPr>
            <w:tcW w:type="dxa" w:w="1930"/>
          </w:tcPr>
          <w:p>
            <w:r>
              <w:t>Transition relaxation rule</w:t>
            </w:r>
          </w:p>
        </w:tc>
        <w:tc>
          <w:tcPr>
            <w:tcW w:type="dxa" w:w="1930"/>
          </w:tcPr>
          <w:p>
            <w:r>
              <w:t>Interface principle</w:t>
            </w:r>
          </w:p>
        </w:tc>
        <w:tc>
          <w:tcPr>
            <w:tcW w:type="dxa" w:w="1930"/>
          </w:tcPr>
          <w:p>
            <w:r>
              <w:t>Architectural/normative postulate</w:t>
            </w:r>
          </w:p>
        </w:tc>
        <w:tc>
          <w:tcPr>
            <w:tcW w:type="dxa" w:w="1930"/>
          </w:tcPr>
          <w:p>
            <w:r>
              <w:t>Constraint-specific authorization and debt limits</w:t>
            </w:r>
          </w:p>
        </w:tc>
      </w:tr>
      <w:tr>
        <w:tc>
          <w:tcPr>
            <w:tcW w:type="dxa" w:w="1930"/>
          </w:tcPr>
          <w:p>
            <w:r>
              <w:t>IP4</w:t>
            </w:r>
          </w:p>
        </w:tc>
        <w:tc>
          <w:tcPr>
            <w:tcW w:type="dxa" w:w="1930"/>
          </w:tcPr>
          <w:p>
            <w:r>
              <w:t>Contract modality compatibility</w:t>
            </w:r>
          </w:p>
        </w:tc>
        <w:tc>
          <w:tcPr>
            <w:tcW w:type="dxa" w:w="1930"/>
          </w:tcPr>
          <w:p>
            <w:r>
              <w:t>Interface principle</w:t>
            </w:r>
          </w:p>
        </w:tc>
        <w:tc>
          <w:tcPr>
            <w:tcW w:type="dxa" w:w="1930"/>
          </w:tcPr>
          <w:p>
            <w:r>
              <w:t>Architectural postulate</w:t>
            </w:r>
          </w:p>
        </w:tc>
        <w:tc>
          <w:tcPr>
            <w:tcW w:type="dxa" w:w="1930"/>
          </w:tcPr>
          <w:p>
            <w:r>
              <w:t>Common units, horizons, confidence, and timing</w:t>
            </w:r>
          </w:p>
        </w:tc>
      </w:tr>
      <w:tr>
        <w:tc>
          <w:tcPr>
            <w:tcW w:type="dxa" w:w="1930"/>
          </w:tcPr>
          <w:p>
            <w:r>
              <w:t>L1</w:t>
            </w:r>
          </w:p>
        </w:tc>
        <w:tc>
          <w:tcPr>
            <w:tcW w:type="dxa" w:w="1930"/>
          </w:tcPr>
          <w:p>
            <w:r>
              <w:t>Finite essential-stock condition</w:t>
            </w:r>
          </w:p>
        </w:tc>
        <w:tc>
          <w:tcPr>
            <w:tcW w:type="dxa" w:w="1930"/>
          </w:tcPr>
          <w:p>
            <w:r>
              <w:t>Conditional lemma</w:t>
            </w:r>
          </w:p>
        </w:tc>
        <w:tc>
          <w:tcPr>
            <w:tcW w:type="dxa" w:w="1930"/>
          </w:tcPr>
          <w:p>
            <w:r>
              <w:t>Mathematical consequence</w:t>
            </w:r>
          </w:p>
        </w:tc>
        <w:tc>
          <w:tcPr>
            <w:tcW w:type="dxa" w:w="1930"/>
          </w:tcPr>
          <w:p>
            <w:r>
              <w:t>Non-substitution, positive floor, persistent net depletion</w:t>
            </w:r>
          </w:p>
        </w:tc>
      </w:tr>
      <w:tr>
        <w:tc>
          <w:tcPr>
            <w:tcW w:type="dxa" w:w="1930"/>
          </w:tcPr>
          <w:p>
            <w:r>
              <w:t>L2</w:t>
            </w:r>
          </w:p>
        </w:tc>
        <w:tc>
          <w:tcPr>
            <w:tcW w:type="dxa" w:w="1930"/>
          </w:tcPr>
          <w:p>
            <w:r>
              <w:t>Rate–buffer condition</w:t>
            </w:r>
          </w:p>
        </w:tc>
        <w:tc>
          <w:tcPr>
            <w:tcW w:type="dxa" w:w="1930"/>
          </w:tcPr>
          <w:p>
            <w:r>
              <w:t>Conditional lemma</w:t>
            </w:r>
          </w:p>
        </w:tc>
        <w:tc>
          <w:tcPr>
            <w:tcW w:type="dxa" w:w="1930"/>
          </w:tcPr>
          <w:p>
            <w:r>
              <w:t>Mathematical consequence</w:t>
            </w:r>
          </w:p>
        </w:tc>
        <w:tc>
          <w:tcPr>
            <w:tcW w:type="dxa" w:w="1930"/>
          </w:tcPr>
          <w:p>
            <w:r>
              <w:t>Declared capacity, buffer, and duration</w:t>
            </w:r>
          </w:p>
        </w:tc>
      </w:tr>
      <w:tr>
        <w:tc>
          <w:tcPr>
            <w:tcW w:type="dxa" w:w="1930"/>
          </w:tcPr>
          <w:p>
            <w:r>
              <w:t>L3</w:t>
            </w:r>
          </w:p>
        </w:tc>
        <w:tc>
          <w:tcPr>
            <w:tcW w:type="dxa" w:w="1930"/>
          </w:tcPr>
          <w:p>
            <w:r>
              <w:t>Zero-margin fragility</w:t>
            </w:r>
          </w:p>
        </w:tc>
        <w:tc>
          <w:tcPr>
            <w:tcW w:type="dxa" w:w="1930"/>
          </w:tcPr>
          <w:p>
            <w:r>
              <w:t>Conditional lemma</w:t>
            </w:r>
          </w:p>
        </w:tc>
        <w:tc>
          <w:tcPr>
            <w:tcW w:type="dxa" w:w="1930"/>
          </w:tcPr>
          <w:p>
            <w:r>
              <w:t>Mathematical consequence</w:t>
            </w:r>
          </w:p>
        </w:tc>
        <w:tc>
          <w:tcPr>
            <w:tcW w:type="dxa" w:w="1930"/>
          </w:tcPr>
          <w:p>
            <w:r>
              <w:t>Disturbance direction and absent response/buffer</w:t>
            </w:r>
          </w:p>
        </w:tc>
      </w:tr>
      <w:tr>
        <w:tc>
          <w:tcPr>
            <w:tcW w:type="dxa" w:w="1930"/>
          </w:tcPr>
          <w:p>
            <w:r>
              <w:t>L4</w:t>
            </w:r>
          </w:p>
        </w:tc>
        <w:tc>
          <w:tcPr>
            <w:tcW w:type="dxa" w:w="1930"/>
          </w:tcPr>
          <w:p>
            <w:r>
              <w:t>Delay condition</w:t>
            </w:r>
          </w:p>
        </w:tc>
        <w:tc>
          <w:tcPr>
            <w:tcW w:type="dxa" w:w="1930"/>
          </w:tcPr>
          <w:p>
            <w:r>
              <w:t>Conditional lemma</w:t>
            </w:r>
          </w:p>
        </w:tc>
        <w:tc>
          <w:tcPr>
            <w:tcW w:type="dxa" w:w="1930"/>
          </w:tcPr>
          <w:p>
            <w:r>
              <w:t>Conditional mathematical implication</w:t>
            </w:r>
          </w:p>
        </w:tc>
        <w:tc>
          <w:tcPr>
            <w:tcW w:type="dxa" w:w="1930"/>
          </w:tcPr>
          <w:p>
            <w:r>
              <w:t>Valid \(T_r,T_c\) estimates</w:t>
            </w:r>
          </w:p>
        </w:tc>
      </w:tr>
      <w:tr>
        <w:tc>
          <w:tcPr>
            <w:tcW w:type="dxa" w:w="1930"/>
          </w:tcPr>
          <w:p>
            <w:r>
              <w:t>L5</w:t>
            </w:r>
          </w:p>
        </w:tc>
        <w:tc>
          <w:tcPr>
            <w:tcW w:type="dxa" w:w="1930"/>
          </w:tcPr>
          <w:p>
            <w:r>
              <w:t>Obligatory-support condition</w:t>
            </w:r>
          </w:p>
        </w:tc>
        <w:tc>
          <w:tcPr>
            <w:tcW w:type="dxa" w:w="1930"/>
          </w:tcPr>
          <w:p>
            <w:r>
              <w:t>Conditional lemma</w:t>
            </w:r>
          </w:p>
        </w:tc>
        <w:tc>
          <w:tcPr>
            <w:tcW w:type="dxa" w:w="1930"/>
          </w:tcPr>
          <w:p>
            <w:r>
              <w:t>Logical consequence of typed dependency</w:t>
            </w:r>
          </w:p>
        </w:tc>
        <w:tc>
          <w:tcPr>
            <w:tcW w:type="dxa" w:w="1930"/>
          </w:tcPr>
          <w:p>
            <w:r>
              <w:t>Registered support and no substitute</w:t>
            </w:r>
          </w:p>
        </w:tc>
      </w:tr>
      <w:tr>
        <w:tc>
          <w:tcPr>
            <w:tcW w:type="dxa" w:w="1930"/>
          </w:tcPr>
          <w:p>
            <w:r>
              <w:t>L6</w:t>
            </w:r>
          </w:p>
        </w:tc>
        <w:tc>
          <w:tcPr>
            <w:tcW w:type="dxa" w:w="1930"/>
          </w:tcPr>
          <w:p>
            <w:r>
              <w:t>Non-compensation</w:t>
            </w:r>
          </w:p>
        </w:tc>
        <w:tc>
          <w:tcPr>
            <w:tcW w:type="dxa" w:w="1930"/>
          </w:tcPr>
          <w:p>
            <w:r>
              <w:t>Conditional lemma/interface rule</w:t>
            </w:r>
          </w:p>
        </w:tc>
        <w:tc>
          <w:tcPr>
            <w:tcW w:type="dxa" w:w="1930"/>
          </w:tcPr>
          <w:p>
            <w:r>
              <w:t>Logical consequence plus normative tag</w:t>
            </w:r>
          </w:p>
        </w:tc>
        <w:tc>
          <w:tcPr>
            <w:tcW w:type="dxa" w:w="1930"/>
          </w:tcPr>
          <w:p>
            <w:r>
              <w:t>Constraint designated non-compensable</w:t>
            </w:r>
          </w:p>
        </w:tc>
      </w:tr>
      <w:tr>
        <w:tc>
          <w:tcPr>
            <w:tcW w:type="dxa" w:w="1930"/>
          </w:tcPr>
          <w:p>
            <w:r>
              <w:t>L7</w:t>
            </w:r>
          </w:p>
        </w:tc>
        <w:tc>
          <w:tcPr>
            <w:tcW w:type="dxa" w:w="1930"/>
          </w:tcPr>
          <w:p>
            <w:r>
              <w:t>Conditional growth bound</w:t>
            </w:r>
          </w:p>
        </w:tc>
        <w:tc>
          <w:tcPr>
            <w:tcW w:type="dxa" w:w="1930"/>
          </w:tcPr>
          <w:p>
            <w:r>
              <w:t>Conditional lemma</w:t>
            </w:r>
          </w:p>
        </w:tc>
        <w:tc>
          <w:tcPr>
            <w:tcW w:type="dxa" w:w="1930"/>
          </w:tcPr>
          <w:p>
            <w:r>
              <w:t>Mathematical consequence</w:t>
            </w:r>
          </w:p>
        </w:tc>
        <w:tc>
          <w:tcPr>
            <w:tcW w:type="dxa" w:w="1930"/>
          </w:tcPr>
          <w:p>
            <w:r>
              <w:t>Persistent intensity and bounded capacity</w:t>
            </w:r>
          </w:p>
        </w:tc>
      </w:tr>
      <w:tr>
        <w:tc>
          <w:tcPr>
            <w:tcW w:type="dxa" w:w="1930"/>
          </w:tcPr>
          <w:p>
            <w:r>
              <w:t>L8</w:t>
            </w:r>
          </w:p>
        </w:tc>
        <w:tc>
          <w:tcPr>
            <w:tcW w:type="dxa" w:w="1930"/>
          </w:tcPr>
          <w:p>
            <w:r>
              <w:t>Local corridor failure</w:t>
            </w:r>
          </w:p>
        </w:tc>
        <w:tc>
          <w:tcPr>
            <w:tcW w:type="dxa" w:w="1930"/>
          </w:tcPr>
          <w:p>
            <w:r>
              <w:t>Conditional lemma</w:t>
            </w:r>
          </w:p>
        </w:tc>
        <w:tc>
          <w:tcPr>
            <w:tcW w:type="dxa" w:w="1930"/>
          </w:tcPr>
          <w:p>
            <w:r>
              <w:t>Mathematical consequence</w:t>
            </w:r>
          </w:p>
        </w:tc>
        <w:tc>
          <w:tcPr>
            <w:tcW w:type="dxa" w:w="1930"/>
          </w:tcPr>
          <w:p>
            <w:r>
              <w:t>Declared lower and upper activity bounds</w:t>
            </w:r>
          </w:p>
        </w:tc>
      </w:tr>
      <w:tr>
        <w:tc>
          <w:tcPr>
            <w:tcW w:type="dxa" w:w="1930"/>
          </w:tcPr>
          <w:p>
            <w:r>
              <w:t>C1</w:t>
            </w:r>
          </w:p>
        </w:tc>
        <w:tc>
          <w:tcPr>
            <w:tcW w:type="dxa" w:w="1930"/>
          </w:tcPr>
          <w:p>
            <w:r>
              <w:t>Compositional sustainability</w:t>
            </w:r>
          </w:p>
        </w:tc>
        <w:tc>
          <w:tcPr>
            <w:tcW w:type="dxa" w:w="1930"/>
          </w:tcPr>
          <w:p>
            <w:r>
              <w:t>Conjecture box</w:t>
            </w:r>
          </w:p>
        </w:tc>
        <w:tc>
          <w:tcPr>
            <w:tcW w:type="dxa" w:w="1930"/>
          </w:tcPr>
          <w:p>
            <w:r>
              <w:t>Formal conjecture</w:t>
            </w:r>
          </w:p>
        </w:tc>
        <w:tc>
          <w:tcPr>
            <w:tcW w:type="dxa" w:w="1930"/>
          </w:tcPr>
          <w:p>
            <w:r>
              <w:t>Compatibility, timing, robustness, interfaces</w:t>
            </w:r>
          </w:p>
        </w:tc>
      </w:tr>
      <w:tr>
        <w:tc>
          <w:tcPr>
            <w:tcW w:type="dxa" w:w="1930"/>
          </w:tcPr>
          <w:p>
            <w:r>
              <w:t>C2</w:t>
            </w:r>
          </w:p>
        </w:tc>
        <w:tc>
          <w:tcPr>
            <w:tcW w:type="dxa" w:w="1930"/>
          </w:tcPr>
          <w:p>
            <w:r>
              <w:t>Transformability</w:t>
            </w:r>
          </w:p>
        </w:tc>
        <w:tc>
          <w:tcPr>
            <w:tcW w:type="dxa" w:w="1930"/>
          </w:tcPr>
          <w:p>
            <w:r>
              <w:t>Conjecture box</w:t>
            </w:r>
          </w:p>
        </w:tc>
        <w:tc>
          <w:tcPr>
            <w:tcW w:type="dxa" w:w="1930"/>
          </w:tcPr>
          <w:p>
            <w:r>
              <w:t>Formal/empirical conjecture</w:t>
            </w:r>
          </w:p>
        </w:tc>
        <w:tc>
          <w:tcPr>
            <w:tcW w:type="dxa" w:w="1930"/>
          </w:tcPr>
          <w:p>
            <w:r>
              <w:t>Identified system class and kernel metric</w:t>
            </w:r>
          </w:p>
        </w:tc>
      </w:tr>
      <w:tr>
        <w:tc>
          <w:tcPr>
            <w:tcW w:type="dxa" w:w="1930"/>
          </w:tcPr>
          <w:p>
            <w:r>
              <w:t>C3</w:t>
            </w:r>
          </w:p>
        </w:tc>
        <w:tc>
          <w:tcPr>
            <w:tcW w:type="dxa" w:w="1930"/>
          </w:tcPr>
          <w:p>
            <w:r>
              <w:t>Capacity-leading failure</w:t>
            </w:r>
          </w:p>
        </w:tc>
        <w:tc>
          <w:tcPr>
            <w:tcW w:type="dxa" w:w="1930"/>
          </w:tcPr>
          <w:p>
            <w:r>
              <w:t>Conjecture box</w:t>
            </w:r>
          </w:p>
        </w:tc>
        <w:tc>
          <w:tcPr>
            <w:tcW w:type="dxa" w:w="1930"/>
          </w:tcPr>
          <w:p>
            <w:r>
              <w:t>Empirical hypothesis</w:t>
            </w:r>
          </w:p>
        </w:tc>
        <w:tc>
          <w:tcPr>
            <w:tcW w:type="dxa" w:w="1930"/>
          </w:tcPr>
          <w:p>
            <w:r>
              <w:t>Preregistered indicators and comparison model</w:t>
            </w:r>
          </w:p>
        </w:tc>
      </w:tr>
      <w:tr>
        <w:tc>
          <w:tcPr>
            <w:tcW w:type="dxa" w:w="1930"/>
          </w:tcPr>
          <w:p>
            <w:r>
              <w:t>C3A</w:t>
            </w:r>
          </w:p>
        </w:tc>
        <w:tc>
          <w:tcPr>
            <w:tcW w:type="dxa" w:w="1930"/>
          </w:tcPr>
          <w:p>
            <w:r>
              <w:t>Bottleneck–robustness relation</w:t>
            </w:r>
          </w:p>
        </w:tc>
        <w:tc>
          <w:tcPr>
            <w:tcW w:type="dxa" w:w="1930"/>
          </w:tcPr>
          <w:p>
            <w:r>
              <w:t>Conjecture box</w:t>
            </w:r>
          </w:p>
        </w:tc>
        <w:tc>
          <w:tcPr>
            <w:tcW w:type="dxa" w:w="1930"/>
          </w:tcPr>
          <w:p>
            <w:r>
              <w:t>Empirical hypothesis</w:t>
            </w:r>
          </w:p>
        </w:tc>
        <w:tc>
          <w:tcPr>
            <w:tcW w:type="dxa" w:w="1930"/>
          </w:tcPr>
          <w:p>
            <w:r>
              <w:t>Comparable disturbance geometry and controls</w:t>
            </w:r>
          </w:p>
        </w:tc>
      </w:tr>
      <w:tr>
        <w:tc>
          <w:tcPr>
            <w:tcW w:type="dxa" w:w="1930"/>
          </w:tcPr>
          <w:p>
            <w:r>
              <w:t>C4</w:t>
            </w:r>
          </w:p>
        </w:tc>
        <w:tc>
          <w:tcPr>
            <w:tcW w:type="dxa" w:w="1930"/>
          </w:tcPr>
          <w:p>
            <w:r>
              <w:t>Boundary-expansion reversal</w:t>
            </w:r>
          </w:p>
        </w:tc>
        <w:tc>
          <w:tcPr>
            <w:tcW w:type="dxa" w:w="1930"/>
          </w:tcPr>
          <w:p>
            <w:r>
              <w:t>Conjecture box</w:t>
            </w:r>
          </w:p>
        </w:tc>
        <w:tc>
          <w:tcPr>
            <w:tcW w:type="dxa" w:w="1930"/>
          </w:tcPr>
          <w:p>
            <w:r>
              <w:t>Empirical hypothesis</w:t>
            </w:r>
          </w:p>
        </w:tc>
        <w:tc>
          <w:tcPr>
            <w:tcW w:type="dxa" w:w="1930"/>
          </w:tcPr>
          <w:p>
            <w:r>
              <w:t>Preregistered boundary alternatives</w:t>
            </w:r>
          </w:p>
        </w:tc>
      </w:tr>
      <w:tr>
        <w:tc>
          <w:tcPr>
            <w:tcW w:type="dxa" w:w="1930"/>
          </w:tcPr>
          <w:p>
            <w:r>
              <w:t>C5</w:t>
            </w:r>
          </w:p>
        </w:tc>
        <w:tc>
          <w:tcPr>
            <w:tcW w:type="dxa" w:w="1930"/>
          </w:tcPr>
          <w:p>
            <w:r>
              <w:t>Distributional dynamics</w:t>
            </w:r>
          </w:p>
        </w:tc>
        <w:tc>
          <w:tcPr>
            <w:tcW w:type="dxa" w:w="1930"/>
          </w:tcPr>
          <w:p>
            <w:r>
              <w:t>Conjecture box</w:t>
            </w:r>
          </w:p>
        </w:tc>
        <w:tc>
          <w:tcPr>
            <w:tcW w:type="dxa" w:w="1930"/>
          </w:tcPr>
          <w:p>
            <w:r>
              <w:t>Empirical hypothesis</w:t>
            </w:r>
          </w:p>
        </w:tc>
        <w:tc>
          <w:tcPr>
            <w:tcW w:type="dxa" w:w="1930"/>
          </w:tcPr>
          <w:p>
            <w:r>
              <w:t>Causal distribution-to-dynamics mechanism</w:t>
            </w:r>
          </w:p>
        </w:tc>
      </w:tr>
      <w:tr>
        <w:tc>
          <w:tcPr>
            <w:tcW w:type="dxa" w:w="1930"/>
          </w:tcPr>
          <w:p>
            <w:r>
              <w:t>C6</w:t>
            </w:r>
          </w:p>
        </w:tc>
        <w:tc>
          <w:tcPr>
            <w:tcW w:type="dxa" w:w="1930"/>
          </w:tcPr>
          <w:p>
            <w:r>
              <w:t>Correlated disturbance</w:t>
            </w:r>
          </w:p>
        </w:tc>
        <w:tc>
          <w:tcPr>
            <w:tcW w:type="dxa" w:w="1930"/>
          </w:tcPr>
          <w:p>
            <w:r>
              <w:t>Conjecture box</w:t>
            </w:r>
          </w:p>
        </w:tc>
        <w:tc>
          <w:tcPr>
            <w:tcW w:type="dxa" w:w="1930"/>
          </w:tcPr>
          <w:p>
            <w:r>
              <w:t>Empirical hypothesis</w:t>
            </w:r>
          </w:p>
        </w:tc>
        <w:tc>
          <w:tcPr>
            <w:tcW w:type="dxa" w:w="1930"/>
          </w:tcPr>
          <w:p>
            <w:r>
              <w:t>Joint shock model and benchmark</w:t>
            </w:r>
          </w:p>
        </w:tc>
      </w:tr>
      <w:tr>
        <w:tc>
          <w:tcPr>
            <w:tcW w:type="dxa" w:w="1930"/>
          </w:tcPr>
          <w:p>
            <w:r>
              <w:t>C7</w:t>
            </w:r>
          </w:p>
        </w:tc>
        <w:tc>
          <w:tcPr>
            <w:tcW w:type="dxa" w:w="1930"/>
          </w:tcPr>
          <w:p>
            <w:r>
              <w:t>Maintenance suppression</w:t>
            </w:r>
          </w:p>
        </w:tc>
        <w:tc>
          <w:tcPr>
            <w:tcW w:type="dxa" w:w="1930"/>
          </w:tcPr>
          <w:p>
            <w:r>
              <w:t>Conjecture box</w:t>
            </w:r>
          </w:p>
        </w:tc>
        <w:tc>
          <w:tcPr>
            <w:tcW w:type="dxa" w:w="1930"/>
          </w:tcPr>
          <w:p>
            <w:r>
              <w:t>Empirical hypothesis</w:t>
            </w:r>
          </w:p>
        </w:tc>
        <w:tc>
          <w:tcPr>
            <w:tcW w:type="dxa" w:w="1930"/>
          </w:tcPr>
          <w:p>
            <w:r>
              <w:t>Maintenance/output separation and lag</w:t>
            </w:r>
          </w:p>
        </w:tc>
      </w:tr>
      <w:tr>
        <w:tc>
          <w:tcPr>
            <w:tcW w:type="dxa" w:w="1930"/>
          </w:tcPr>
          <w:p>
            <w:r>
              <w:t>C8</w:t>
            </w:r>
          </w:p>
        </w:tc>
        <w:tc>
          <w:tcPr>
            <w:tcW w:type="dxa" w:w="1930"/>
          </w:tcPr>
          <w:p>
            <w:r>
              <w:t>Efficiency–scale interaction</w:t>
            </w:r>
          </w:p>
        </w:tc>
        <w:tc>
          <w:tcPr>
            <w:tcW w:type="dxa" w:w="1930"/>
          </w:tcPr>
          <w:p>
            <w:r>
              <w:t>Conjecture box</w:t>
            </w:r>
          </w:p>
        </w:tc>
        <w:tc>
          <w:tcPr>
            <w:tcW w:type="dxa" w:w="1930"/>
          </w:tcPr>
          <w:p>
            <w:r>
              <w:t>Empirical hypothesis</w:t>
            </w:r>
          </w:p>
        </w:tc>
        <w:tc>
          <w:tcPr>
            <w:tcW w:type="dxa" w:w="1930"/>
          </w:tcPr>
          <w:p>
            <w:r>
              <w:t>Rebound and total-burden measurements</w:t>
            </w:r>
          </w:p>
        </w:tc>
      </w:tr>
      <w:tr>
        <w:tc>
          <w:tcPr>
            <w:tcW w:type="dxa" w:w="1930"/>
          </w:tcPr>
          <w:p>
            <w:r>
              <w:t>M1</w:t>
            </w:r>
          </w:p>
        </w:tc>
        <w:tc>
          <w:tcPr>
            <w:tcW w:type="dxa" w:w="1930"/>
          </w:tcPr>
          <w:p>
            <w:r>
              <w:t>Stock–capacity–support model</w:t>
            </w:r>
          </w:p>
        </w:tc>
        <w:tc>
          <w:tcPr>
            <w:tcW w:type="dxa" w:w="1930"/>
          </w:tcPr>
          <w:p>
            <w:r>
              <w:t>Instantiation sketch</w:t>
            </w:r>
          </w:p>
        </w:tc>
        <w:tc>
          <w:tcPr>
            <w:tcW w:type="dxa" w:w="1930"/>
          </w:tcPr>
          <w:p>
            <w:r>
              <w:t>Modeling assumption/template</w:t>
            </w:r>
          </w:p>
        </w:tc>
        <w:tc>
          <w:tcPr>
            <w:tcW w:type="dxa" w:w="1930"/>
          </w:tcPr>
          <w:p>
            <w:r>
              <w:t>Uncalibrated generic dynamics</w:t>
            </w:r>
          </w:p>
        </w:tc>
      </w:tr>
      <w:tr>
        <w:tc>
          <w:tcPr>
            <w:tcW w:type="dxa" w:w="1930"/>
          </w:tcPr>
          <w:p>
            <w:r>
              <w:t>M2</w:t>
            </w:r>
          </w:p>
        </w:tc>
        <w:tc>
          <w:tcPr>
            <w:tcW w:type="dxa" w:w="1930"/>
          </w:tcPr>
          <w:p>
            <w:r>
              <w:t>Grassland model</w:t>
            </w:r>
          </w:p>
        </w:tc>
        <w:tc>
          <w:tcPr>
            <w:tcW w:type="dxa" w:w="1930"/>
          </w:tcPr>
          <w:p>
            <w:r>
              <w:t>Instantiation sketch</w:t>
            </w:r>
          </w:p>
        </w:tc>
        <w:tc>
          <w:tcPr>
            <w:tcW w:type="dxa" w:w="1930"/>
          </w:tcPr>
          <w:p>
            <w:r>
              <w:t>Modeling assumption</w:t>
            </w:r>
          </w:p>
        </w:tc>
        <w:tc>
          <w:tcPr>
            <w:tcW w:type="dxa" w:w="1930"/>
          </w:tcPr>
          <w:p>
            <w:r>
              <w:t>Domain calibration required</w:t>
            </w:r>
          </w:p>
        </w:tc>
      </w:tr>
      <w:tr>
        <w:tc>
          <w:tcPr>
            <w:tcW w:type="dxa" w:w="1930"/>
          </w:tcPr>
          <w:p>
            <w:r>
              <w:t>M3</w:t>
            </w:r>
          </w:p>
        </w:tc>
        <w:tc>
          <w:tcPr>
            <w:tcW w:type="dxa" w:w="1930"/>
          </w:tcPr>
          <w:p>
            <w:r>
              <w:t>Economic model</w:t>
            </w:r>
          </w:p>
        </w:tc>
        <w:tc>
          <w:tcPr>
            <w:tcW w:type="dxa" w:w="1930"/>
          </w:tcPr>
          <w:p>
            <w:r>
              <w:t>Instantiation sketch</w:t>
            </w:r>
          </w:p>
        </w:tc>
        <w:tc>
          <w:tcPr>
            <w:tcW w:type="dxa" w:w="1930"/>
          </w:tcPr>
          <w:p>
            <w:r>
              <w:t>Modeling assumption</w:t>
            </w:r>
          </w:p>
        </w:tc>
        <w:tc>
          <w:tcPr>
            <w:tcW w:type="dxa" w:w="1930"/>
          </w:tcPr>
          <w:p>
            <w:r>
              <w:t>Behavioral contracts required</w:t>
            </w:r>
          </w:p>
        </w:tc>
      </w:tr>
      <w:tr>
        <w:tc>
          <w:tcPr>
            <w:tcW w:type="dxa" w:w="1930"/>
          </w:tcPr>
          <w:p>
            <w:r>
              <w:t>M4</w:t>
            </w:r>
          </w:p>
        </w:tc>
        <w:tc>
          <w:tcPr>
            <w:tcW w:type="dxa" w:w="1930"/>
          </w:tcPr>
          <w:p>
            <w:r>
              <w:t>Public-health model</w:t>
            </w:r>
          </w:p>
        </w:tc>
        <w:tc>
          <w:tcPr>
            <w:tcW w:type="dxa" w:w="1930"/>
          </w:tcPr>
          <w:p>
            <w:r>
              <w:t>Instantiation sketch</w:t>
            </w:r>
          </w:p>
        </w:tc>
        <w:tc>
          <w:tcPr>
            <w:tcW w:type="dxa" w:w="1930"/>
          </w:tcPr>
          <w:p>
            <w:r>
              <w:t>Modeling assumption</w:t>
            </w:r>
          </w:p>
        </w:tc>
        <w:tc>
          <w:tcPr>
            <w:tcW w:type="dxa" w:w="1930"/>
          </w:tcPr>
          <w:p>
            <w:r>
              <w:t>Measurement and strategic semantics required</w:t>
            </w:r>
          </w:p>
        </w:tc>
      </w:tr>
      <w:tr>
        <w:tc>
          <w:tcPr>
            <w:tcW w:type="dxa" w:w="1930"/>
          </w:tcPr>
          <w:p>
            <w:r>
              <w:t>M5</w:t>
            </w:r>
          </w:p>
        </w:tc>
        <w:tc>
          <w:tcPr>
            <w:tcW w:type="dxa" w:w="1930"/>
          </w:tcPr>
          <w:p>
            <w:r>
              <w:t>Coupled community model</w:t>
            </w:r>
          </w:p>
        </w:tc>
        <w:tc>
          <w:tcPr>
            <w:tcW w:type="dxa" w:w="1930"/>
          </w:tcPr>
          <w:p>
            <w:r>
              <w:t>Instantiation sketch</w:t>
            </w:r>
          </w:p>
        </w:tc>
        <w:tc>
          <w:tcPr>
            <w:tcW w:type="dxa" w:w="1930"/>
          </w:tcPr>
          <w:p>
            <w:r>
              <w:t>Modeling assumption/hypothesis generator</w:t>
            </w:r>
          </w:p>
        </w:tc>
        <w:tc>
          <w:tcPr>
            <w:tcW w:type="dxa" w:w="1930"/>
          </w:tcPr>
          <w:p>
            <w:r>
              <w:t>No validated kernel claimed</w:t>
            </w:r>
          </w:p>
        </w:tc>
      </w:tr>
      <w:tr>
        <w:tc>
          <w:tcPr>
            <w:tcW w:type="dxa" w:w="1930"/>
          </w:tcPr>
          <w:p>
            <w:r>
              <w:t>RP1</w:t>
            </w:r>
          </w:p>
        </w:tc>
        <w:tc>
          <w:tcPr>
            <w:tcW w:type="dxa" w:w="1930"/>
          </w:tcPr>
          <w:p>
            <w:r>
              <w:t>Restricted composition theorem programme</w:t>
            </w:r>
          </w:p>
        </w:tc>
        <w:tc>
          <w:tcPr>
            <w:tcW w:type="dxa" w:w="1930"/>
          </w:tcPr>
          <w:p>
            <w:r>
              <w:t>Proof obligation</w:t>
            </w:r>
          </w:p>
        </w:tc>
        <w:tc>
          <w:tcPr>
            <w:tcW w:type="dxa" w:w="1930"/>
          </w:tcPr>
          <w:p>
            <w:r>
              <w:t>Research programme</w:t>
            </w:r>
          </w:p>
        </w:tc>
        <w:tc>
          <w:tcPr>
            <w:tcW w:type="dxa" w:w="1930"/>
          </w:tcPr>
          <w:p>
            <w:r>
              <w:t>Contract synthesis and confidence propagation</w:t>
            </w:r>
          </w:p>
        </w:tc>
      </w:tr>
      <w:tr>
        <w:tc>
          <w:tcPr>
            <w:tcW w:type="dxa" w:w="1930"/>
          </w:tcPr>
          <w:p>
            <w:r>
              <w:t>RP2</w:t>
            </w:r>
          </w:p>
        </w:tc>
        <w:tc>
          <w:tcPr>
            <w:tcW w:type="dxa" w:w="1930"/>
          </w:tcPr>
          <w:p>
            <w:r>
              <w:t>Hybrid transformation semantics</w:t>
            </w:r>
          </w:p>
        </w:tc>
        <w:tc>
          <w:tcPr>
            <w:tcW w:type="dxa" w:w="1930"/>
          </w:tcPr>
          <w:p>
            <w:r>
              <w:t>Proof obligation</w:t>
            </w:r>
          </w:p>
        </w:tc>
        <w:tc>
          <w:tcPr>
            <w:tcW w:type="dxa" w:w="1930"/>
          </w:tcPr>
          <w:p>
            <w:r>
              <w:t>Research programme</w:t>
            </w:r>
          </w:p>
        </w:tc>
        <w:tc>
          <w:tcPr>
            <w:tcW w:type="dxa" w:w="1930"/>
          </w:tcPr>
          <w:p>
            <w:r>
              <w:t>Cross-architecture policies and obligation translation</w:t>
            </w:r>
          </w:p>
        </w:tc>
      </w:tr>
      <w:tr>
        <w:tc>
          <w:tcPr>
            <w:tcW w:type="dxa" w:w="1930"/>
          </w:tcPr>
          <w:p>
            <w:r>
              <w:t>RP3</w:t>
            </w:r>
          </w:p>
        </w:tc>
        <w:tc>
          <w:tcPr>
            <w:tcW w:type="dxa" w:w="1930"/>
          </w:tcPr>
          <w:p>
            <w:r>
              <w:t>Empirical comparative programme</w:t>
            </w:r>
          </w:p>
        </w:tc>
        <w:tc>
          <w:tcPr>
            <w:tcW w:type="dxa" w:w="1930"/>
          </w:tcPr>
          <w:p>
            <w:r>
              <w:t>Research programme</w:t>
            </w:r>
          </w:p>
        </w:tc>
        <w:tc>
          <w:tcPr>
            <w:tcW w:type="dxa" w:w="1930"/>
          </w:tcPr>
          <w:p>
            <w:r>
              <w:t>Empirical programme</w:t>
            </w:r>
          </w:p>
        </w:tc>
        <w:tc>
          <w:tcPr>
            <w:tcW w:type="dxa" w:w="1930"/>
          </w:tcPr>
          <w:p>
            <w:r>
              <w:t>Preregistered cases and model ladder</w:t>
            </w:r>
          </w:p>
        </w:tc>
      </w:tr>
    </w:tbl>
    <w:p/>
    <w:p>
      <w:r>
        <w:t>The research-program claim ledger contains source-level theorems, proofs, bridges, and verification status. This appendix records the named claims of the architectural manuscript and is updated whenever a claim changes status.</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Revised working manuscript · 17 August 2026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D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668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b/>
      <w:i/>
      <w:iCs/>
      <w:color w:val="3F668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Toward a General Theory of Sustainability: An Architectural Kernel and Composition Language</dc:title>
  <dc:subject>A typed, transformation-aware architecture for ecological, economic, and social sustainability</dc:subject>
  <dc:creator>[Author name]</dc:creator>
  <cp:keywords/>
  <dc:description>Revised working manuscript incorporating architectural audits</dc:description>
  <cp:lastModifiedBy/>
  <cp:revision>1</cp:revision>
  <dcterms:created xsi:type="dcterms:W3CDTF">2013-12-23T23:15:00Z</dcterms:created>
  <dcterms:modified xsi:type="dcterms:W3CDTF">2013-12-23T23:15:00Z</dcterms:modified>
  <cp:category/>
</cp:coreProperties>
</file>