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Highlights</w:t>
      </w:r>
    </w:p>
    <w:p>
      <w:pPr>
        <w:spacing w:after="240" w:line="312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Manuscript: </w:t>
      </w:r>
      <w:r>
        <w:rPr>
          <w:i/>
          <w:iCs/>
          <w:sz w:val="22"/>
          <w:szCs w:val="22"/>
        </w:rPr>
        <w:t xml:space="preserve">A Geometric Theory of Metabolic Flux Rerouting: How Active-Set Curvature Predicts Transcriptional Regulation and Protein-Layer Buffering</w:t>
      </w:r>
    </w:p>
    <w:p>
      <w:pPr>
        <w:pStyle w:val="ListParagraph"/>
        <w:numPr>
          <w:ilvl w:val="0"/>
          <w:numId w:val="1"/>
        </w:numPr>
        <w:spacing w:after="120" w:line="312"/>
        <w:jc w:val="left"/>
      </w:pPr>
      <w:r>
        <w:rPr>
          <w:sz w:val="24"/>
          <w:szCs w:val="24"/>
        </w:rPr>
        <w:t xml:space="preserve">A discrete curvature measure locates metabolic rerouting at active-set walls</w:t>
      </w:r>
    </w:p>
    <w:p>
      <w:pPr>
        <w:pStyle w:val="ListParagraph"/>
        <w:numPr>
          <w:ilvl w:val="0"/>
          <w:numId w:val="1"/>
        </w:numPr>
        <w:spacing w:after="120" w:line="312"/>
        <w:jc w:val="left"/>
      </w:pPr>
      <w:r>
        <w:rPr>
          <w:sz w:val="24"/>
          <w:szCs w:val="24"/>
        </w:rPr>
        <w:t xml:space="preserve">Gene-level metric predicts E. coli transcriptional induction (r = 0.395)</w:t>
      </w:r>
    </w:p>
    <w:p>
      <w:pPr>
        <w:pStyle w:val="ListParagraph"/>
        <w:numPr>
          <w:ilvl w:val="0"/>
          <w:numId w:val="1"/>
        </w:numPr>
        <w:spacing w:after="120" w:line="312"/>
        <w:jc w:val="left"/>
      </w:pPr>
      <w:r>
        <w:rPr>
          <w:sz w:val="24"/>
          <w:szCs w:val="24"/>
        </w:rPr>
        <w:t xml:space="preserve">Induced genes sit in operons of CRP-led carbon and energy regulons</w:t>
      </w:r>
    </w:p>
    <w:p>
      <w:pPr>
        <w:pStyle w:val="ListParagraph"/>
        <w:numPr>
          <w:ilvl w:val="0"/>
          <w:numId w:val="1"/>
        </w:numPr>
        <w:spacing w:after="120" w:line="312"/>
        <w:jc w:val="left"/>
      </w:pPr>
      <w:r>
        <w:rPr>
          <w:sz w:val="24"/>
          <w:szCs w:val="24"/>
        </w:rPr>
        <w:t xml:space="preserve">Rerouting mass concentrates on fork metabolites of central carbon metabolism</w:t>
      </w:r>
    </w:p>
    <w:p>
      <w:pPr>
        <w:pStyle w:val="ListParagraph"/>
        <w:numPr>
          <w:ilvl w:val="0"/>
          <w:numId w:val="1"/>
        </w:numPr>
        <w:spacing w:after="120" w:line="312"/>
        <w:jc w:val="left"/>
      </w:pPr>
      <w:r>
        <w:rPr>
          <w:sz w:val="24"/>
          <w:szCs w:val="24"/>
        </w:rPr>
        <w:t xml:space="preserve">Protein synthesis is buffered; metabolic memory is post-translational</w:t>
      </w:r>
    </w:p>
    <w:sectPr>
      <w:footerReference w:type="default" r:id="rId7"/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0" w:line="312"/>
    </w:pPr>
    <w:rPr>
      <w:rFonts w:asci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2026-09-21T08:58:47.142Z</dcterms:created>
  <dcterms:modified xsi:type="dcterms:W3CDTF">2026-09-21T08:58:47.143Z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