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00" w:lineRule="auto"/>
        <w:jc w:val="center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УСТАВ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HealthMonitor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4"/>
          <w:szCs w:val="24"/>
          <w:rtl w:val="0"/>
        </w:rPr>
        <w:t xml:space="preserve">Телемедицинская платформа удаленного мониторинга пациентов с хроническими заболеваниями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5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Документ подготовлен в соответствии со стандартом PMI (PMBOK) для устава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Версия 1.0 · Сентябрь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1. Обоснование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Хронические заболевания — диабет, артериальная гипертония и бронхиальная астма — формируют устойчивый и растущий спрос на инструменты дистанционного контроля состояния здоровья в Российской Федерации.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Сахарный диабет: в России официально зарегистрировано порядка 5 млн пациентов, ежегодно выявляется свыше 215 тыс. новых случаев; по экспертным оценкам, ещё столько же случаев остаются не диагностированными.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Артериальная гипертония: по данным исследования ЭССЕ-РФ, от 41 до 54% взрослого населения имеют повышенное давление (более 40 млн человек), при этом официально наблюдаются у врачей около 21 млн — значительная часть пациентов не получает регулярного контроля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Бронхиальная астма: по разным оценкам, в России от бронхиальной астмы страдают порядка 8,5 млн человек, что делает её одним из самых массовых хронических заболеваний дыхательной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Одновременно рынок телемедицины в России демонстрирует уверенный рост: по данным BusinesStat, выручка клиник от дистанционных консультаций выросла почти в три раза за 2020–2024 гг. (с 5,6 до 15,8 млрд руб.), а годовое число телеконсультаций достигло порядка 24 млн. Драйверами роста выступают расширение программ ДМС с телемедицинским покрытием и государственная поддержка цифровизации здравоохранения.</w:t>
      </w:r>
    </w:p>
    <w:p w:rsidR="00000000" w:rsidDel="00000000" w:rsidP="00000000" w:rsidRDefault="00000000" w:rsidRPr="00000000" w14:paraId="00000016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При этом действующие крупные игроки рынка (СберЗдоровье, OnDoc, Medesk, МЕДМИС и др.) сфокусированы преимущественно на разовых телеконсультациях, записи к врачу и агрегации медицинских услуг, но не предлагают специализированного решения для непрерывного мониторинга хронических пациентов с автоматической интеграцией медицинских устройств и системой алертов для врача. Это формирует свободную рыночную нишу.</w:t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Реализация проекта HealthMonitor позволит: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снизить частоту экстренных госпитализаций и осложнений за счёт раннего выявления критических изменений показателей;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повысить приверженность пациентов лечению (комплаенс) благодаря напоминаниям и обратной связи от врача;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новый источник дохода для медицинских организаций и страховых компаний через подписочную/B2B2C модель;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занять рыночную нишу специализированного RPM-решения (Remote Patient Monitoring) до её занятия крупными экосистемными игроками.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2. Цели проекта и критерии успеха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Цель проекта: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разработать и вывести на рынок MVP телемедицинской платформы удалённого мониторинга пациентов с диабетом, гипертонией и астмой, обеспечив соответствие требованиям защиты медицинских данных (152-ФЗ).</w:t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Критерии успеха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MVP запущен в пилотную эксплуатацию в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утвержденный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срок и в рамках бюджета с отклонением не более ±10%.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 окончанию тестирования на платформе зарегистрировано не менее 20 пациентов и не менее 5 врачей, каждый из которых совершил хотя бы один вход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Реализована и протестирована интеграция минимум с 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видами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медицинских устройств (глюкометр, тонометр).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Среднее время реакции врача на критический алерт — не более 15 минут в рабочее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платформы требованиям 152-ФЗ подтверждено юридическим отделом до запуска в промышленную эксплуатацию (0 критических замечаний).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Доля пациентов с регулярным (не реже 1 раза в 2 дня) вводом показателей — не менее 60% от активных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3. Высокоуровневые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 пациента: ручной ввод показателей, просмотр истории и динамики, напоминания о приёме лекарств и измерениях.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 врача: дашборд по всем пациентам, приоритизация по критичности, история показателей, аналитика и формирование отчётов.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медицинскими устройствами (глюкометры, тонометры) через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— автоматическая передача показаний.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Чат с врачом (текстовый) — обязателен для MVP; видео-консультации — расширение платформы вне рамок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Модуль алертов: настраиваемые пороговые значения, эскалация при отсутствии реакции врача, экстренные уведомления родственникам (SMS/push) при критических показателях.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Административная панель: управление пользователями, ролями и правами доступа, аудит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Защита персональных и медицинских данных в соответствии с 152-ФЗ: шифрование данных при хранении и передаче, локализация первичной обработки на серверах в РФ, журналирование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Архитектурная готовность к последующему соответствию HIPAA при возможном выходе на международные рынки (вне рамок 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Масштабируемость: архитектура должна выдерживать рост числа пациентов минимум в 5 раз без существенного рефакторинга.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4. Границы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В рамках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 нозологии: сахарный диабет, артериальная гипертония, бронхиальная астма.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еб-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платформа для пациентов, их родственников и врачей.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Ручной ввод показателей и автоматическая интеграция с 1–2 моделями глюкометров и тонометров.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Текстовый чат «врач — пациент».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Базовая система алертов и push/SMS-уведомлений, включая экстренные уведомления родственникам.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и хранение персональных данных исключительно на серверах, физически расположенных в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Пилотный запуск в 1 регионе.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Модерация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Вне рамок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Видео-консультации «врач — пациент».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рочие хронические заболевания (ХОБЛ, хроническая сердечная недостаточность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носимыми устройствами и сенсорами непрерывного мониторинга глюкозы (CGM).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Выход на зарубежные рынки и обеспечение полного соответствия HIPAA/GDPR.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ИИ-модуль предиктивной аналитики рисков осложнений.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ЕГИСЗ и работа по тарифам ОМС.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5. Допущения и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Команда проекта будет укомплектована в течение 2 недель после старта проекта и не меняется до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окончания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 этапе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и пилотной эксплуатации MVP в роли пациентов и врачей будут участники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Производители глюкометров и тонометров предоставят техническую документацию и/или API, необходимые для интеграции.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Пациенты пилотной группы обладают смартфонами и стабильным доступом к интернету.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персональных данных пациентов допускается только на серверах, расположенных на территории РФ (требование ч. 5 ст. 18 152-ФЗ).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Бюджет проекта не может быть увеличен без формального пересмотра устава и согласования со спонсором.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Согласие на обработку персональных данных, включая специальную категорию данных о состоянии здоровья, должно оформляться отдельным документом (требование 152-ФЗ, действует с 01.09.2025), а не встраиваться в пользовательское соглашение.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Платформа не заменяет врачебную диагностику и не формирует медицинские рекомендации пациенту напрямую — окончательное клиническое решение остаётся за врачом (ограничение с точки зрения ответственности).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Срок реализации MVP фиксирован уставом проекта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имеет жесткую привязку к графику учебного семестра (15 недель)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6. Ключевые стейкхолдеры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1.8709677419356"/>
        <w:gridCol w:w="2936.670967741936"/>
        <w:gridCol w:w="1658.206451612903"/>
        <w:gridCol w:w="1531.6258064516128"/>
        <w:gridCol w:w="1531.6258064516128"/>
        <w:tblGridChange w:id="0">
          <w:tblGrid>
            <w:gridCol w:w="2151.8709677419356"/>
            <w:gridCol w:w="2936.670967741936"/>
            <w:gridCol w:w="1658.206451612903"/>
            <w:gridCol w:w="1531.6258064516128"/>
            <w:gridCol w:w="1531.6258064516128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Интерес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Вовлеченность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Критерий успеха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4"/>
                <w:szCs w:val="24"/>
                <w:shd w:fill="e6f4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e6f4f3" w:val="clear"/>
                <w:rtl w:val="0"/>
              </w:rPr>
              <w:t xml:space="preserve">Спонсор проекта или преподаватель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4"/>
                <w:szCs w:val="24"/>
                <w:shd w:fill="e6f4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e6f4f3" w:val="clear"/>
                <w:rtl w:val="0"/>
              </w:rPr>
              <w:t xml:space="preserve">Финансирование, стратегическое соответствие целям бизнеса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Занятие рыночной ниши решения.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Врачи-пользователи платформы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Удобство работы, снижение нагрузки, ясность ответственности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Экономия времени врача 15 мин/чел. 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Пациенты и их родственники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Удобство, безопасность данных, доверие к платформе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Ускорение реакции на критические показатели - 1-7 дней.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82pqopoh1m35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7395"/>
        <w:tblGridChange w:id="0">
          <w:tblGrid>
            <w:gridCol w:w="2385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Зона ответственности в проекте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Куратор проекта / Главный эксперт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Внешний контроль и верификация соответствия результатов отраслевым стандартам, согласование ключевых изменений рамок и утверждение этапов проекта.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Manager / Аналитик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Исследование рынка и конкурентной среды, проведение CustDev-интервью, формирование продуктового бэклога, расчет метрик юнит-экономики и плана A/B-тестирования.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Архитектор / Tech Lead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Проектирование архитектуры веб-приложения и БД, выбор технологического стека, комплаенс безопасности данных (152-ФЗ), настройка репозитория.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UX/UI Designer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Исследование пользовательского опыта, дизайн-системы и интерактивного прототипа интерфейса в Figma.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Frontend-разработчик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Разработка клиентской части веб-приложения.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Backend-разработчик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Разработка серверной части веб-приложения.</w:t>
            </w:r>
          </w:p>
        </w:tc>
      </w:tr>
    </w:tbl>
    <w:p w:rsidR="00000000" w:rsidDel="00000000" w:rsidP="00000000" w:rsidRDefault="00000000" w:rsidRPr="00000000" w14:paraId="00000073">
      <w:pPr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7. Предварительные риски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59"/>
        <w:gridCol w:w="1539"/>
        <w:gridCol w:w="1540"/>
        <w:gridCol w:w="3362"/>
        <w:tblGridChange w:id="0">
          <w:tblGrid>
            <w:gridCol w:w="3359"/>
            <w:gridCol w:w="1539"/>
            <w:gridCol w:w="1540"/>
            <w:gridCol w:w="3362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Реакция / стратегия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Утечка медицинских данных или нарушение требований 152-ФЗ (штрафы до 6–18 млн руб., репутационный ущерб)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Критическое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Аудит информационной безопасности, шифрование, привлечение юридической помощи с этапа инициации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Задержка интеграции с медицинским оборудованием из-за отсутствия открытого API у производителей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Партнёрские соглашения на старте проекта; резервный сценарий — ручной ввод показателей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Юридическая ответственность за врачебную ошибку, связанную со сбоем или задержкой алерта платформы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Низкая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Чёткое разграничение ответственности в пользовательском соглашении, страхование ответственности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Низкая вовлечённость пациентов и нерегулярный ввод показателей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Геймификация, напоминания, приоритет автоматической передачи данных с устройств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Сопротивление врачей изменению рабочих процессов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Обучение, вовлечение врачей-амбассадоров на этапе пилота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Изменение регуляторных требований (152-ФЗ, требования к регистрации ПО как медизделия) в ходе проекта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Низкая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Регулярный мониторинг законодательства, гибкая архитектура платформы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8. Бюджет и сроки (высокоуровнево)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Ниже приведена ориентировочная оценка для целей утверждения устава; детальный бюджет и календарный план формируются на этапе планирования проекта.</w:t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Укрупнённый календарный план (15 недель до запуска MVP)</w:t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3000"/>
        <w:tblGridChange w:id="0">
          <w:tblGrid>
            <w:gridCol w:w="3600"/>
            <w:gridCol w:w="32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Инициация и дизайн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Устав, детальные требования, UX/UI, архитектура, выбор партнёров-производителей устройств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неделя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Разработка MVP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Разработка приложений пациента/врача, интеграции с устройствами, модуль алертов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недель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Тестирование и комплаенс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QA, нагрузочное тестирование, проверка соответствия 152-ФЗ, пилот с ограниченной группой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недели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Запуск и стабилизация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Пилотный запуск в регионе, сбор обратной связи, доработка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недели</w:t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Укрупнённая структура бюджета (пример распределения)</w:t>
      </w:r>
      <w:r w:rsidDel="00000000" w:rsidR="00000000" w:rsidRPr="00000000">
        <w:rPr>
          <w:rtl w:val="0"/>
        </w:rPr>
      </w:r>
    </w:p>
    <w:tbl>
      <w:tblPr>
        <w:tblStyle w:val="Table5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5"/>
        <w:gridCol w:w="1275"/>
        <w:gridCol w:w="4965"/>
        <w:tblGridChange w:id="0">
          <w:tblGrid>
            <w:gridCol w:w="3555"/>
            <w:gridCol w:w="127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Статья расходов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Рубли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.9375" w:hRule="atLeast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sz w:val="24"/>
                <w:szCs w:val="24"/>
                <w:shd w:fill="e6f4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e6f4f3" w:val="clear"/>
                <w:rtl w:val="0"/>
              </w:rPr>
              <w:t xml:space="preserve">Разработка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4"/>
                <w:szCs w:val="24"/>
                <w:shd w:fill="e6f4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e6f4f3" w:val="clear"/>
                <w:rtl w:val="0"/>
              </w:rPr>
              <w:t xml:space="preserve">0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sz w:val="24"/>
                <w:szCs w:val="24"/>
                <w:shd w:fill="e6f4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e6f4f3" w:val="clear"/>
                <w:rtl w:val="0"/>
              </w:rPr>
              <w:t xml:space="preserve">Команда: PM, аналитик, разработчики, QA, дизайнер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Интеграция с медицинским оборудованием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4000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Работы по API/SDK, тестовые устройства, сертификация совместимости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Юридическое сопровождение и комплаенс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5000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Юридическая экспертиза 152-ФЗ, пользовательские соглашения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Маркетинг пилотного запуска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2000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Привлечение пилотных клиник, врачей, пациентов</w:t>
            </w:r>
          </w:p>
        </w:tc>
      </w:tr>
      <w:tr>
        <w:trPr>
          <w:cantSplit w:val="0"/>
          <w:tblHeader w:val="0"/>
        </w:trPr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Резерв на риски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1100</w:t>
            </w:r>
          </w:p>
        </w:tc>
        <w:tc>
          <w:tcPr>
            <w:shd w:fill="e6f4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Управляется руководителем проекта в рамках полномочий</w:t>
            </w:r>
          </w:p>
        </w:tc>
      </w:tr>
    </w:tbl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76" w:lineRule="auto"/>
        <w:jc w:val="both"/>
        <w:rPr>
          <w:rFonts w:ascii="Calibri" w:cs="Calibri" w:eastAsia="Calibri" w:hAnsi="Calibri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4"/>
          <w:szCs w:val="24"/>
          <w:rtl w:val="0"/>
        </w:rPr>
        <w:t xml:space="preserve">Итоговый ориентировочный бюджет MVP уточняется на этапе бизнес-планирования на основе детальной оценки трудозатрат команды и стоимости инфраструктуры; для целей утверждения устава рекомендуется зафиксировать верхнюю границу с допустимым отклонением ±10% согласно разделу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9. Полномочия руководителя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Самостоятельно (в рамках полномочий)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Распределять задачи внутри команды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Утверждать технические решения в рамках согласованного scope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Управлять резервом бюджета в пределах до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Утверждать план тестирования и программу пилотной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4"/>
          <w:szCs w:val="24"/>
          <w:rtl w:val="0"/>
        </w:rPr>
        <w:t xml:space="preserve">Требует согласования с юридическим отделом / DPO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Любые изменения порядка обработки персональных и медицинских данных пациентов.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Публикация или изменение пользовательского соглашения и политики конфиденциальности.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03" w:right="0" w:hanging="259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Любая трансграничная передача персональных данных (в случае возникновения такой необходимости).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Bdr>
          <w:bottom w:color="028090" w:space="4" w:sz="8" w:val="single"/>
        </w:pBdr>
        <w:spacing w:after="160" w:befor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10. Утверждение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Настоящий устав определяет цели, границы, полномочия и предварительную оценку рисков проекта HealthMonitor и является основанием для начала работ по проекту и выделения ресурсов.</w:t>
      </w:r>
    </w:p>
    <w:p w:rsidR="00000000" w:rsidDel="00000000" w:rsidP="00000000" w:rsidRDefault="00000000" w:rsidRPr="00000000" w14:paraId="000000C7">
      <w:pPr>
        <w:spacing w:after="240" w:before="3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4"/>
          <w:szCs w:val="24"/>
          <w:rtl w:val="0"/>
        </w:rPr>
        <w:t xml:space="preserve">УТВЕРЖДАЮ: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Спонсор проекта: ___________________________ / [ФИО] / Дата: _____._____.2026</w:t>
      </w:r>
    </w:p>
    <w:p w:rsidR="00000000" w:rsidDel="00000000" w:rsidP="00000000" w:rsidRDefault="00000000" w:rsidRPr="00000000" w14:paraId="000000C9">
      <w:pPr>
        <w:spacing w:after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Руководитель проекта: ___________________________ / [ФИО] / Дата: _____._____.2026</w:t>
      </w:r>
    </w:p>
    <w:p w:rsidR="00000000" w:rsidDel="00000000" w:rsidP="00000000" w:rsidRDefault="00000000" w:rsidRPr="00000000" w14:paraId="000000CA">
      <w:pPr>
        <w:spacing w:after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Юридический отдел (DPO): ___________________________ / [ФИО] / Дата: _____._____.2026</w:t>
      </w:r>
    </w:p>
    <w:sectPr>
      <w:headerReference r:id="rId6" w:type="default"/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Стр.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из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–"/>
      <w:lvlJc w:val="left"/>
      <w:pPr>
        <w:ind w:left="792" w:hanging="259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