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C13" w:rsidRPr="00A66C13" w:rsidRDefault="00A66C13" w:rsidP="00A66C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6C13">
        <w:rPr>
          <w:rFonts w:ascii="Times New Roman" w:hAnsi="Times New Roman" w:cs="Times New Roman"/>
          <w:b/>
          <w:bCs/>
          <w:sz w:val="28"/>
          <w:szCs w:val="28"/>
        </w:rPr>
        <w:t>Выбор начального приближения в методе Ньютона</w:t>
      </w:r>
    </w:p>
    <w:p w:rsidR="00A66C13" w:rsidRPr="00A66C13" w:rsidRDefault="00A66C13" w:rsidP="00A66C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6C13">
        <w:rPr>
          <w:rFonts w:ascii="Times New Roman" w:hAnsi="Times New Roman" w:cs="Times New Roman"/>
          <w:sz w:val="28"/>
          <w:szCs w:val="28"/>
        </w:rPr>
        <w:t>Как было показано ранее сходимость итерационной последо- вательности, получаемой в методе Ньютона, зависит от выбора</w:t>
      </w:r>
    </w:p>
    <w:p w:rsidR="00A66C13" w:rsidRPr="00A66C13" w:rsidRDefault="00A66C13" w:rsidP="00A66C13">
      <w:pPr>
        <w:rPr>
          <w:rFonts w:ascii="Times New Roman" w:hAnsi="Times New Roman" w:cs="Times New Roman"/>
          <w:sz w:val="28"/>
          <w:szCs w:val="28"/>
        </w:rPr>
      </w:pPr>
      <w:r w:rsidRPr="00A66C13">
        <w:rPr>
          <w:rFonts w:ascii="Times New Roman" w:hAnsi="Times New Roman" w:cs="Times New Roman"/>
          <w:sz w:val="28"/>
          <w:szCs w:val="28"/>
        </w:rPr>
        <w:t xml:space="preserve">начального приближения </w:t>
      </w:r>
      <w:r w:rsidRPr="00A66C13">
        <w:rPr>
          <w:rFonts w:ascii="Times New Roman" w:hAnsi="Times New Roman" w:cs="Times New Roman"/>
          <w:i/>
          <w:sz w:val="28"/>
          <w:szCs w:val="28"/>
        </w:rPr>
        <w:t>x</w:t>
      </w:r>
      <w:r w:rsidRPr="00A66C13">
        <w:rPr>
          <w:rFonts w:ascii="Times New Roman" w:hAnsi="Times New Roman" w:cs="Times New Roman"/>
          <w:sz w:val="28"/>
          <w:szCs w:val="28"/>
        </w:rPr>
        <w:t xml:space="preserve">0 и свойств заданной функции </w:t>
      </w:r>
      <w:r w:rsidRPr="00A66C13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A66C13">
        <w:rPr>
          <w:rFonts w:ascii="Times New Roman" w:hAnsi="Times New Roman" w:cs="Times New Roman"/>
          <w:sz w:val="28"/>
          <w:szCs w:val="28"/>
        </w:rPr>
        <w:t xml:space="preserve">( </w:t>
      </w:r>
      <w:r w:rsidRPr="00A66C13">
        <w:rPr>
          <w:rFonts w:ascii="Times New Roman" w:hAnsi="Times New Roman" w:cs="Times New Roman"/>
          <w:i/>
          <w:sz w:val="28"/>
          <w:szCs w:val="28"/>
        </w:rPr>
        <w:t>x</w:t>
      </w:r>
      <w:r w:rsidRPr="00A66C13">
        <w:rPr>
          <w:rFonts w:ascii="Times New Roman" w:hAnsi="Times New Roman" w:cs="Times New Roman"/>
          <w:sz w:val="28"/>
          <w:szCs w:val="28"/>
        </w:rPr>
        <w:t>) .</w:t>
      </w:r>
    </w:p>
    <w:p w:rsidR="00A66C13" w:rsidRPr="00A66C13" w:rsidRDefault="00A66C13" w:rsidP="00A66C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6C13">
        <w:rPr>
          <w:rFonts w:ascii="Times New Roman" w:hAnsi="Times New Roman" w:cs="Times New Roman"/>
          <w:sz w:val="28"/>
          <w:szCs w:val="28"/>
        </w:rPr>
        <w:t xml:space="preserve">Это хорошо видно из геометрической интерпретации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A66C13">
        <w:rPr>
          <w:rFonts w:ascii="Times New Roman" w:hAnsi="Times New Roman" w:cs="Times New Roman"/>
          <w:sz w:val="28"/>
          <w:szCs w:val="28"/>
        </w:rPr>
        <w:t>.</w:t>
      </w:r>
    </w:p>
    <w:p w:rsidR="00A66C13" w:rsidRPr="00A66C13" w:rsidRDefault="00A66C13" w:rsidP="00A66C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947" cy="33396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36" cy="3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13" w:rsidRPr="00A66C13" w:rsidRDefault="00A66C13" w:rsidP="00A66C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6C13">
        <w:rPr>
          <w:rFonts w:ascii="Times New Roman" w:hAnsi="Times New Roman" w:cs="Times New Roman"/>
          <w:sz w:val="28"/>
          <w:szCs w:val="28"/>
        </w:rPr>
        <w:t xml:space="preserve">Так, если в качестве начального приближения </w:t>
      </w:r>
      <w:r w:rsidRPr="00A66C13">
        <w:rPr>
          <w:rFonts w:ascii="Times New Roman" w:hAnsi="Times New Roman" w:cs="Times New Roman"/>
          <w:i/>
          <w:sz w:val="28"/>
          <w:szCs w:val="28"/>
        </w:rPr>
        <w:t>x</w:t>
      </w:r>
      <w:r w:rsidRPr="00A66C13">
        <w:rPr>
          <w:rFonts w:ascii="Times New Roman" w:hAnsi="Times New Roman" w:cs="Times New Roman"/>
          <w:sz w:val="28"/>
          <w:szCs w:val="28"/>
        </w:rPr>
        <w:t>0 взять одну</w:t>
      </w:r>
    </w:p>
    <w:p w:rsidR="00A66C13" w:rsidRPr="00A66C13" w:rsidRDefault="00A66C13" w:rsidP="00A66C13">
      <w:pPr>
        <w:rPr>
          <w:rFonts w:ascii="Times New Roman" w:hAnsi="Times New Roman" w:cs="Times New Roman"/>
          <w:sz w:val="28"/>
          <w:szCs w:val="28"/>
        </w:rPr>
      </w:pPr>
      <w:r w:rsidRPr="00A66C13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78" o:spid="_x0000_s1115" type="#_x0000_t202" style="position:absolute;margin-left:132.25pt;margin-top:9.45pt;width:3.2pt;height:7.2pt;z-index:-251656192;mso-position-horizontal-relative:page" filled="f" stroked="f">
            <v:textbox inset="0,0,0,0">
              <w:txbxContent>
                <w:p w:rsidR="00A66C13" w:rsidRDefault="00A66C13" w:rsidP="00A66C13"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spacing w:val="-11"/>
                      <w:sz w:val="13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A66C13">
        <w:rPr>
          <w:rFonts w:ascii="Times New Roman" w:hAnsi="Times New Roman" w:cs="Times New Roman"/>
          <w:sz w:val="28"/>
          <w:szCs w:val="28"/>
        </w:rPr>
        <w:pict>
          <v:shape id="docshape679" o:spid="_x0000_s1116" type="#_x0000_t202" style="position:absolute;margin-left:146.2pt;margin-top:2.4pt;width:5pt;height:12.4pt;z-index:-251655168;mso-position-horizontal-relative:page" filled="f" stroked="f">
            <v:textbox inset="0,0,0,0">
              <w:txbxContent>
                <w:p w:rsidR="00A66C13" w:rsidRDefault="00A66C13" w:rsidP="00A66C13">
                  <w:pPr>
                    <w:spacing w:line="247" w:lineRule="exact"/>
                    <w:rPr>
                      <w:i/>
                    </w:rPr>
                  </w:pPr>
                  <w:r>
                    <w:rPr>
                      <w:i/>
                      <w:spacing w:val="-10"/>
                    </w:rPr>
                    <w:t>x</w:t>
                  </w:r>
                </w:p>
              </w:txbxContent>
            </v:textbox>
            <w10:wrap anchorx="page"/>
          </v:shape>
        </w:pict>
      </w:r>
      <w:r w:rsidRPr="00A66C13">
        <w:rPr>
          <w:rFonts w:ascii="Times New Roman" w:hAnsi="Times New Roman" w:cs="Times New Roman"/>
          <w:sz w:val="28"/>
          <w:szCs w:val="28"/>
        </w:rPr>
        <w:pict>
          <v:shape id="docshape680" o:spid="_x0000_s1117" type="#_x0000_t202" style="position:absolute;margin-left:189.85pt;margin-top:9.45pt;width:3.15pt;height:7.2pt;z-index:-251654144;mso-position-horizontal-relative:page" filled="f" stroked="f">
            <v:textbox inset="0,0,0,0">
              <w:txbxContent>
                <w:p w:rsidR="00A66C13" w:rsidRDefault="00A66C13" w:rsidP="00A66C13"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spacing w:val="-12"/>
                      <w:sz w:val="13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A66C13">
        <w:rPr>
          <w:rFonts w:ascii="Times New Roman" w:hAnsi="Times New Roman" w:cs="Times New Roman"/>
          <w:sz w:val="28"/>
          <w:szCs w:val="28"/>
        </w:rPr>
        <w:pict>
          <v:shape id="docshape681" o:spid="_x0000_s1118" type="#_x0000_t202" style="position:absolute;margin-left:151pt;margin-top:9.45pt;width:3.3pt;height:7.2pt;z-index:-251653120;mso-position-horizontal-relative:page" filled="f" stroked="f">
            <v:textbox inset="0,0,0,0">
              <w:txbxContent>
                <w:p w:rsidR="00A66C13" w:rsidRDefault="00A66C13" w:rsidP="00A66C13"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spacing w:val="-10"/>
                      <w:sz w:val="13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A66C13">
        <w:rPr>
          <w:rFonts w:ascii="Times New Roman" w:hAnsi="Times New Roman" w:cs="Times New Roman"/>
          <w:sz w:val="28"/>
          <w:szCs w:val="28"/>
        </w:rPr>
        <w:t xml:space="preserve">из трех </w:t>
      </w:r>
      <w:r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39825" cy="3441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C13">
        <w:rPr>
          <w:rFonts w:ascii="Times New Roman" w:hAnsi="Times New Roman" w:cs="Times New Roman"/>
          <w:sz w:val="28"/>
          <w:szCs w:val="28"/>
        </w:rPr>
        <w:t xml:space="preserve"> то на сходимость итерационного</w:t>
      </w:r>
    </w:p>
    <w:p w:rsidR="00A66C13" w:rsidRPr="00A66C13" w:rsidRDefault="00A66C13" w:rsidP="00A66C13">
      <w:pPr>
        <w:rPr>
          <w:rFonts w:ascii="Times New Roman" w:hAnsi="Times New Roman" w:cs="Times New Roman"/>
          <w:sz w:val="28"/>
          <w:szCs w:val="28"/>
        </w:rPr>
      </w:pPr>
      <w:r w:rsidRPr="00A66C13">
        <w:rPr>
          <w:rFonts w:ascii="Times New Roman" w:hAnsi="Times New Roman" w:cs="Times New Roman"/>
          <w:sz w:val="28"/>
          <w:szCs w:val="28"/>
        </w:rPr>
        <w:t>процесса рассчитывать не приходится. Таким образом, на рас- сматриваемом интервале должен быть наложен ряд ограничений на функцию, в частности требование знакопостоянства первой и второй производной, означающих монотонность и выпуклость графика функции.</w:t>
      </w:r>
    </w:p>
    <w:p w:rsidR="00FB5CC1" w:rsidRPr="00A66C13" w:rsidRDefault="00FB5CC1">
      <w:pPr>
        <w:rPr>
          <w:rFonts w:ascii="Times New Roman" w:hAnsi="Times New Roman" w:cs="Times New Roman"/>
          <w:sz w:val="28"/>
          <w:szCs w:val="28"/>
        </w:rPr>
      </w:pPr>
    </w:p>
    <w:sectPr w:rsidR="00FB5CC1" w:rsidRPr="00A66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FB5CC1"/>
    <w:rsid w:val="00A66C13"/>
    <w:rsid w:val="00A74552"/>
    <w:rsid w:val="00FB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6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2025-05-27T19:17:00Z</dcterms:created>
  <dcterms:modified xsi:type="dcterms:W3CDTF">2025-05-27T19:21:00Z</dcterms:modified>
</cp:coreProperties>
</file>