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30"/>
          <w:szCs w:val="30"/>
        </w:rPr>
        <w:t xml:space="preserve">2026년 1~7월 수출 심층 분석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0"/>
          <w:szCs w:val="20"/>
        </w:rPr>
        <w:t xml:space="preserve">무엇이 늘었나 · 왜 늘었나 · 무엇이 위험한가</w:t>
      </w:r>
    </w:p>
    <w:p>
      <w:pPr>
        <w:pBdr>
          <w:bottom w:val="single" w:color="1F3864" w:sz="12" w:space="4"/>
        </w:pBd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분석 대상 : 관세청 수출입무역통계 5종(총괄·품목별·성질별·신성질별·국가별), 2025.01~2026.07, 수리일 기준 · 비교 단위 : 2026.1~7 vs 2025.1~7 · 금액 단위 : 억 달러(원자료 천달러를 환산)</w:t>
      </w:r>
    </w:p>
    <w:tbl>
      <w:tblPr>
        <w:tblW w:type="dxa" w:w="10440"/>
        <w:tblBorders>
          <w:top w:val="single" w:color="1F3864" w:sz="12"/>
          <w:left w:val="single" w:color="1F3864" w:sz="12"/>
          <w:bottom w:val="single" w:color="1F3864" w:sz="12"/>
          <w:right w:val="single" w:color="1F3864" w:sz="12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F2F5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핵심 결론</w:t>
            </w:r>
          </w:p>
          <w:p>
            <w:pPr>
              <w:spacing w:after="20" w:before="20" w:line="250"/>
              <w:ind w:left="220" w:hanging="1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·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수출은 +50.5% 늘었지만 중량은 −4.2% 줄었다. 금액 증가분 1,996.7억 달러의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113%가 가격효과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이고 물량효과는 −8.4%다. 더 많이 판 것이 아니라 같은 물량을 비싸게 판 결과다.</w:t>
            </w:r>
          </w:p>
          <w:p>
            <w:pPr>
              <w:spacing w:after="20" w:before="20" w:line="250"/>
              <w:ind w:left="220" w:hanging="1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·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구성 변화(비싼 품목으로 이동)는 +3.8%p뿐이고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순수 가격 상승이 +51.4%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(피셔 가격지수 1.514, 물량지수 0.994). 수출 고도화가 아니라 가격 사이클이다.</w:t>
            </w:r>
          </w:p>
          <w:p>
            <w:pPr>
              <w:spacing w:after="20" w:before="20" w:line="250"/>
              <w:ind w:left="220" w:hanging="1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·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HS85(전기기기·반도체)는 물량 −0.7%에 단가 +110.0%로 증가분의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67.0%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를 만들었다. HS84까지 더하면 85%. 반면 HS87(차량)은 −1.0%로 역성장했다.</w:t>
            </w:r>
          </w:p>
          <w:p>
            <w:pPr>
              <w:spacing w:after="20" w:before="20" w:line="250"/>
              <w:ind w:left="220" w:hanging="1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·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상위 20개국 중 13개국이 HS85와 상관계수 0.8 이상이며 이들이 상위 20개국 수출의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90%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를 차지한다.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지역 분산이 품목 리스크를 상쇄하지 못한다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.</w:t>
            </w:r>
          </w:p>
          <w:p>
            <w:pPr>
              <w:spacing w:after="20" w:before="20" w:line="250"/>
              <w:ind w:left="220" w:hanging="1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·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IT 수출금액이 20% 줄면 수출 −9.8%, 무역수지 −34.7%. 흑자가 0이 되는 임계점은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IT −57.7%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. 지금의 흑자 1,677.6억 달러는 반도체 가격의 함수다.</w:t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20"/>
          <w:szCs w:val="120"/>
        </w:rPr>
        <w:t xml:space="preserve"/>
      </w:r>
    </w:p>
    <w:p>
      <w:pPr>
        <w:pBdr>
          <w:bottom w:val="single" w:color="1F3864" w:sz="8" w:space="2"/>
        </w:pBdr>
        <w:spacing w:after="80" w:before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2"/>
          <w:szCs w:val="22"/>
        </w:rPr>
        <w:t xml:space="preserve">1. 핵심 지표</w:t>
      </w:r>
    </w:p>
    <w:tbl>
      <w:tblPr>
        <w:tblW w:type="dxa" w:w="10440"/>
        <w:tblBorders>
          <w:top w:val="single" w:color="AAB7CF" w:sz="4"/>
          <w:left w:val="single" w:color="AAB7CF" w:sz="4"/>
          <w:bottom w:val="single" w:color="AAB7CF" w:sz="4"/>
          <w:right w:val="single" w:color="AAB7CF" w:sz="4"/>
          <w:insideH w:val="single" w:color="D0D8E8" w:sz="2"/>
          <w:insideV w:val="single" w:color="D0D8E8" w:sz="2"/>
        </w:tblBorders>
      </w:tblPr>
      <w:tblGrid>
        <w:gridCol w:w="2100"/>
        <w:gridCol w:w="1500"/>
        <w:gridCol w:w="1500"/>
        <w:gridCol w:w="1500"/>
        <w:gridCol w:w="1140"/>
        <w:gridCol w:w="270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지표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2025.1~7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2026.1~7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증감</w:t>
            </w:r>
          </w:p>
        </w:tc>
        <w:tc>
          <w:tcPr>
            <w:tcW w:type="dxa" w:w="114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증감률</w:t>
            </w:r>
          </w:p>
        </w:tc>
        <w:tc>
          <w:tcPr>
            <w:tcW w:type="dxa" w:w="27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메모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수출 금액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3,953.9억$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5,950.6억$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+1,996.7억$</w:t>
            </w:r>
          </w:p>
        </w:tc>
        <w:tc>
          <w:tcPr>
            <w:tcW w:type="dxa" w:w="11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+50.5%</w:t>
            </w:r>
          </w:p>
        </w:tc>
        <w:tc>
          <w:tcPr>
            <w:tcW w:type="dxa" w:w="2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2025년 연간의 83.9%를 7개월에 달성</w:t>
            </w:r>
          </w:p>
        </w:tc>
      </w:tr>
      <w:tr>
        <w:tc>
          <w:tcPr>
            <w:tcW w:type="dxa" w:w="21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수출 중량</w:t>
            </w:r>
          </w:p>
        </w:tc>
        <w:tc>
          <w:tcPr>
            <w:tcW w:type="dxa" w:w="15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1억1,474만t</w:t>
            </w:r>
          </w:p>
        </w:tc>
        <w:tc>
          <w:tcPr>
            <w:tcW w:type="dxa" w:w="15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1억987만t</w:t>
            </w:r>
          </w:p>
        </w:tc>
        <w:tc>
          <w:tcPr>
            <w:tcW w:type="dxa" w:w="15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−487만t</w:t>
            </w:r>
          </w:p>
        </w:tc>
        <w:tc>
          <w:tcPr>
            <w:tcW w:type="dxa" w:w="114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−4.2%</w:t>
            </w:r>
          </w:p>
        </w:tc>
        <w:tc>
          <w:tcPr>
            <w:tcW w:type="dxa" w:w="27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물량은 오히려 감소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수출 단가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3.446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5.416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+1.970</w:t>
            </w:r>
          </w:p>
        </w:tc>
        <w:tc>
          <w:tcPr>
            <w:tcW w:type="dxa" w:w="11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+57.2%</w:t>
            </w:r>
          </w:p>
        </w:tc>
        <w:tc>
          <w:tcPr>
            <w:tcW w:type="dxa" w:w="2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천달러/톤</w:t>
            </w:r>
          </w:p>
        </w:tc>
      </w:tr>
      <w:tr>
        <w:tc>
          <w:tcPr>
            <w:tcW w:type="dxa" w:w="21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일평균 수출</w:t>
            </w:r>
          </w:p>
        </w:tc>
        <w:tc>
          <w:tcPr>
            <w:tcW w:type="dxa" w:w="15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25.4억$</w:t>
            </w:r>
          </w:p>
        </w:tc>
        <w:tc>
          <w:tcPr>
            <w:tcW w:type="dxa" w:w="15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38.0억$</w:t>
            </w:r>
          </w:p>
        </w:tc>
        <w:tc>
          <w:tcPr>
            <w:tcW w:type="dxa" w:w="15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+12.6억$</w:t>
            </w:r>
          </w:p>
        </w:tc>
        <w:tc>
          <w:tcPr>
            <w:tcW w:type="dxa" w:w="114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+49.5%</w:t>
            </w:r>
          </w:p>
        </w:tc>
        <w:tc>
          <w:tcPr>
            <w:tcW w:type="dxa" w:w="27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조업일수는 +0.6%(155.5→156.5일)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건당 수출금액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50.7천$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75.1천$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+24.4천$</w:t>
            </w:r>
          </w:p>
        </w:tc>
        <w:tc>
          <w:tcPr>
            <w:tcW w:type="dxa" w:w="11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+48.3%</w:t>
            </w:r>
          </w:p>
        </w:tc>
        <w:tc>
          <w:tcPr>
            <w:tcW w:type="dxa" w:w="2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건수는 +1.5%에 그침</w:t>
            </w:r>
          </w:p>
        </w:tc>
      </w:tr>
      <w:tr>
        <w:tc>
          <w:tcPr>
            <w:tcW w:type="dxa" w:w="21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수입 금액</w:t>
            </w:r>
          </w:p>
        </w:tc>
        <w:tc>
          <w:tcPr>
            <w:tcW w:type="dxa" w:w="15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3,614.6억$</w:t>
            </w:r>
          </w:p>
        </w:tc>
        <w:tc>
          <w:tcPr>
            <w:tcW w:type="dxa" w:w="15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4,273.0억$</w:t>
            </w:r>
          </w:p>
        </w:tc>
        <w:tc>
          <w:tcPr>
            <w:tcW w:type="dxa" w:w="15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+658.5억$</w:t>
            </w:r>
          </w:p>
        </w:tc>
        <w:tc>
          <w:tcPr>
            <w:tcW w:type="dxa" w:w="114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+18.2%</w:t>
            </w:r>
          </w:p>
        </w:tc>
        <w:tc>
          <w:tcPr>
            <w:tcW w:type="dxa" w:w="27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수입 단가 +16.8%</w:t>
            </w:r>
          </w:p>
        </w:tc>
      </w:tr>
      <w:tr>
        <w:tc>
          <w:tcPr>
            <w:tcW w:type="dxa" w:w="2100"/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무역수지</w:t>
            </w:r>
          </w:p>
        </w:tc>
        <w:tc>
          <w:tcPr>
            <w:tcW w:type="dxa" w:w="1500"/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339.3억$</w:t>
            </w:r>
          </w:p>
        </w:tc>
        <w:tc>
          <w:tcPr>
            <w:tcW w:type="dxa" w:w="1500"/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1,677.6억$</w:t>
            </w:r>
          </w:p>
        </w:tc>
        <w:tc>
          <w:tcPr>
            <w:tcW w:type="dxa" w:w="1500"/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+1,338.3억$</w:t>
            </w:r>
          </w:p>
        </w:tc>
        <w:tc>
          <w:tcPr>
            <w:tcW w:type="dxa" w:w="1140"/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+394.4%</w:t>
            </w:r>
          </w:p>
        </w:tc>
        <w:tc>
          <w:tcPr>
            <w:tcW w:type="dxa" w:w="2700"/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증가폭의 대부분이 수출 단가에서 발생</w:t>
            </w:r>
          </w:p>
        </w:tc>
      </w:tr>
    </w:tbl>
    <w:p>
      <w:pPr>
        <w:spacing w:after="110" w:before="3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95959"/>
          <w:sz w:val="14"/>
          <w:szCs w:val="14"/>
        </w:rPr>
        <w:t xml:space="preserve">출처 : 분석2_월별추이, 분석8_물량·가격분해. 원자료 천달러를 억 달러로 환산(1억 달러 = 100,000천달러).</w:t>
      </w:r>
    </w:p>
    <w:p>
      <w:pPr>
        <w:pBdr>
          <w:bottom w:val="single" w:color="1F3864" w:sz="8" w:space="2"/>
        </w:pBdr>
        <w:spacing w:after="80" w:before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2"/>
          <w:szCs w:val="22"/>
        </w:rPr>
        <w:t xml:space="preserve">2. 수출 증가의 분해 — 물량인가 가격인가</w:t>
      </w:r>
    </w:p>
    <w:p>
      <w:pPr>
        <w:spacing w:after="40" w:before="40" w:line="25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금액은 물량 × 단가이므로 금액 증감은 물량효과·가격효과·교차효과로 정확히 분해된다. 세 값의 합은 실제 증감액과 일치하며(검증 완료), 결과는 한쪽으로 크게 기운다.</w:t>
      </w:r>
    </w:p>
    <w:tbl>
      <w:tblPr>
        <w:tblW w:type="dxa" w:w="10440"/>
        <w:tblBorders>
          <w:top w:val="single" w:color="AAB7CF" w:sz="4"/>
          <w:left w:val="single" w:color="AAB7CF" w:sz="4"/>
          <w:bottom w:val="single" w:color="AAB7CF" w:sz="4"/>
          <w:right w:val="single" w:color="AAB7CF" w:sz="4"/>
          <w:insideH w:val="single" w:color="D0D8E8" w:sz="2"/>
          <w:insideV w:val="single" w:color="D0D8E8" w:sz="2"/>
        </w:tblBorders>
      </w:tblPr>
      <w:tblGrid>
        <w:gridCol w:w="2600"/>
        <w:gridCol w:w="1700"/>
        <w:gridCol w:w="1400"/>
        <w:gridCol w:w="474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효과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금액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증가분 대비</w:t>
            </w:r>
          </w:p>
        </w:tc>
        <w:tc>
          <w:tcPr>
            <w:tcW w:type="dxa" w:w="474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해석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물량효과 (Q₁−Q₀)×P₀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−167.8억$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−8.4%</w:t>
            </w:r>
          </w:p>
        </w:tc>
        <w:tc>
          <w:tcPr>
            <w:tcW w:type="dxa" w:w="47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물량은 오히려 줄어 증가를 깎아먹었다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가격효과 (P₁−P₀)×Q₀</w:t>
            </w:r>
          </w:p>
        </w:tc>
        <w:tc>
          <w:tcPr>
            <w:tcW w:type="dxa" w:w="17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+2,260.5억$</w:t>
            </w:r>
          </w:p>
        </w:tc>
        <w:tc>
          <w:tcPr>
            <w:tcW w:type="dxa" w:w="14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+113.2%</w:t>
            </w:r>
          </w:p>
        </w:tc>
        <w:tc>
          <w:tcPr>
            <w:tcW w:type="dxa" w:w="474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증가의 전부가 여기서 나왔다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교차효과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−95.9억$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−4.8%</w:t>
            </w:r>
          </w:p>
        </w:tc>
        <w:tc>
          <w:tcPr>
            <w:tcW w:type="dxa" w:w="47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물량 감소 × 단가 상승의 상쇄분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합계 = 실제 증감</w:t>
            </w:r>
          </w:p>
        </w:tc>
        <w:tc>
          <w:tcPr>
            <w:tcW w:type="dxa" w:w="1700"/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+1,996.7억$</w:t>
            </w:r>
          </w:p>
        </w:tc>
        <w:tc>
          <w:tcPr>
            <w:tcW w:type="dxa" w:w="1400"/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100.0%</w:t>
            </w:r>
          </w:p>
        </w:tc>
        <w:tc>
          <w:tcPr>
            <w:tcW w:type="dxa" w:w="4740"/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분해 항등식 검증 OK</w:t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60"/>
          <w:szCs w:val="60"/>
        </w:rPr>
        <w:t xml:space="preserve"/>
      </w:r>
    </w:p>
    <w:p>
      <w:pPr>
        <w:spacing w:after="40" w:before="40" w:line="25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구성효과 검증.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단가 상승분이 "비싼 품목으로 갈아탄 결과"인지 확인하기 위해 신성질별 중분류 14개로 지수를 계산했다. 피셔 물량지수 0.994(−0.6%), 피셔 가격지수 1.514(+51.4%), 금액지수 1.505로 항등식이 성립한다. 중량 단순합 기준 단가 상승(+57.2%)에서 순수 가격효과(+51.4%)를 제외한 구성(믹스)효과는 +3.8%p에 불과하다. 즉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품목 구성 변화가 아니라 팔던 품목의 값이 오른 것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이다. 참고로 톤 단위 중량 단순합은 저가·중량물(광산물 등)에 지배되어 −4.2%로 나오지만, 금액 가중 물량지수로 보면 −0.6%로 사실상 보합이다. 물량이 급감했다는 해석은 과장이다.</w:t>
      </w:r>
    </w:p>
    <w:p>
      <w:pPr>
        <w:pBdr>
          <w:bottom w:val="single" w:color="1F3864" w:sz="8" w:space="2"/>
        </w:pBdr>
        <w:spacing w:after="80" w:before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2"/>
          <w:szCs w:val="22"/>
        </w:rPr>
        <w:t xml:space="preserve">3. 품목 — 어디가 값으로 올랐고 어디가 물량으로 늘었나</w:t>
      </w:r>
    </w:p>
    <w:tbl>
      <w:tblPr>
        <w:tblW w:type="dxa" w:w="10440"/>
        <w:tblBorders>
          <w:top w:val="single" w:color="AAB7CF" w:sz="4"/>
          <w:left w:val="single" w:color="AAB7CF" w:sz="4"/>
          <w:bottom w:val="single" w:color="AAB7CF" w:sz="4"/>
          <w:right w:val="single" w:color="AAB7CF" w:sz="4"/>
          <w:insideH w:val="single" w:color="D0D8E8" w:sz="2"/>
          <w:insideV w:val="single" w:color="D0D8E8" w:sz="2"/>
        </w:tblBorders>
      </w:tblPr>
      <w:tblGrid>
        <w:gridCol w:w="600"/>
        <w:gridCol w:w="2000"/>
        <w:gridCol w:w="1300"/>
        <w:gridCol w:w="900"/>
        <w:gridCol w:w="900"/>
        <w:gridCol w:w="900"/>
        <w:gridCol w:w="900"/>
        <w:gridCol w:w="294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HS</w:t>
            </w:r>
          </w:p>
        </w:tc>
        <w:tc>
          <w:tcPr>
            <w:tcW w:type="dxa" w:w="20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품목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Δ금액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금액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물량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단가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기여도</w:t>
            </w:r>
          </w:p>
        </w:tc>
        <w:tc>
          <w:tcPr>
            <w:tcW w:type="dxa" w:w="294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유형</w:t>
            </w:r>
          </w:p>
        </w:tc>
      </w:tr>
      <w:tr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85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전기기기·반도체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+1,337.4억$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+108.6%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−0.7%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+110.0%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67.0%</w:t>
            </w:r>
          </w:p>
        </w:tc>
        <w:tc>
          <w:tcPr>
            <w:tcW w:type="dxa" w:w="2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가격 주도 — 메모리 가격</w:t>
            </w:r>
          </w:p>
        </w:tc>
      </w:tr>
      <w:tr>
        <w:tc>
          <w:tcPr>
            <w:tcW w:type="dxa" w:w="6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84</w:t>
            </w:r>
          </w:p>
        </w:tc>
        <w:tc>
          <w:tcPr>
            <w:tcW w:type="dxa" w:w="20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기계류(컴퓨터·SSD 포함)</w:t>
            </w:r>
          </w:p>
        </w:tc>
        <w:tc>
          <w:tcPr>
            <w:tcW w:type="dxa" w:w="13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+362.0억$</w:t>
            </w:r>
          </w:p>
        </w:tc>
        <w:tc>
          <w:tcPr>
            <w:tcW w:type="dxa" w:w="9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+75.5%</w:t>
            </w:r>
          </w:p>
        </w:tc>
        <w:tc>
          <w:tcPr>
            <w:tcW w:type="dxa" w:w="9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+0.9%</w:t>
            </w:r>
          </w:p>
        </w:tc>
        <w:tc>
          <w:tcPr>
            <w:tcW w:type="dxa" w:w="9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+74.0%</w:t>
            </w:r>
          </w:p>
        </w:tc>
        <w:tc>
          <w:tcPr>
            <w:tcW w:type="dxa" w:w="9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18.1%</w:t>
            </w:r>
          </w:p>
        </w:tc>
        <w:tc>
          <w:tcPr>
            <w:tcW w:type="dxa" w:w="294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가격 주도 — 저장장치 파급 추정</w:t>
            </w:r>
          </w:p>
        </w:tc>
      </w:tr>
      <w:tr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27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광물성 연료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+92.8억$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+34.3%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−8.5%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+46.7%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4.6%</w:t>
            </w:r>
          </w:p>
        </w:tc>
        <w:tc>
          <w:tcPr>
            <w:tcW w:type="dxa" w:w="2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가격 주도 — 유가·정제마진</w:t>
            </w:r>
          </w:p>
        </w:tc>
      </w:tr>
      <w:tr>
        <w:tc>
          <w:tcPr>
            <w:tcW w:type="dxa" w:w="6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71</w:t>
            </w:r>
          </w:p>
        </w:tc>
        <w:tc>
          <w:tcPr>
            <w:tcW w:type="dxa" w:w="20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귀금속·보석</w:t>
            </w:r>
          </w:p>
        </w:tc>
        <w:tc>
          <w:tcPr>
            <w:tcW w:type="dxa" w:w="13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+60.5억$</w:t>
            </w:r>
          </w:p>
        </w:tc>
        <w:tc>
          <w:tcPr>
            <w:tcW w:type="dxa" w:w="9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+154.9%</w:t>
            </w:r>
          </w:p>
        </w:tc>
        <w:tc>
          <w:tcPr>
            <w:tcW w:type="dxa" w:w="9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−19.2%</w:t>
            </w:r>
          </w:p>
        </w:tc>
        <w:tc>
          <w:tcPr>
            <w:tcW w:type="dxa" w:w="9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+215.6%</w:t>
            </w:r>
          </w:p>
        </w:tc>
        <w:tc>
          <w:tcPr>
            <w:tcW w:type="dxa" w:w="9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3.0%</w:t>
            </w:r>
          </w:p>
        </w:tc>
        <w:tc>
          <w:tcPr>
            <w:tcW w:type="dxa" w:w="294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가격 주도 — 금 가격</w:t>
            </w:r>
          </w:p>
        </w:tc>
      </w:tr>
      <w:tr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89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선박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+35.9억$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+23.7%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−0.8%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+24.8%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1.8%</w:t>
            </w:r>
          </w:p>
        </w:tc>
        <w:tc>
          <w:tcPr>
            <w:tcW w:type="dxa" w:w="2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고선가 수주분 인도</w:t>
            </w:r>
          </w:p>
        </w:tc>
      </w:tr>
      <w:tr>
        <w:tc>
          <w:tcPr>
            <w:tcW w:type="dxa" w:w="6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33</w:t>
            </w:r>
          </w:p>
        </w:tc>
        <w:tc>
          <w:tcPr>
            <w:tcW w:type="dxa" w:w="20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화장품·정유</w:t>
            </w:r>
          </w:p>
        </w:tc>
        <w:tc>
          <w:tcPr>
            <w:tcW w:type="dxa" w:w="13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+17.8억$</w:t>
            </w:r>
          </w:p>
        </w:tc>
        <w:tc>
          <w:tcPr>
            <w:tcW w:type="dxa" w:w="9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+28.3%</w:t>
            </w:r>
          </w:p>
        </w:tc>
        <w:tc>
          <w:tcPr>
            <w:tcW w:type="dxa" w:w="9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+20.4%</w:t>
            </w:r>
          </w:p>
        </w:tc>
        <w:tc>
          <w:tcPr>
            <w:tcW w:type="dxa" w:w="9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+6.6%</w:t>
            </w:r>
          </w:p>
        </w:tc>
        <w:tc>
          <w:tcPr>
            <w:tcW w:type="dxa" w:w="9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0.9%</w:t>
            </w:r>
          </w:p>
        </w:tc>
        <w:tc>
          <w:tcPr>
            <w:tcW w:type="dxa" w:w="294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물량 주도 — 실수요 확대</w:t>
            </w:r>
          </w:p>
        </w:tc>
      </w:tr>
      <w:tr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87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차량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−5.5억$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−1.0%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−2.2%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+1.2%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−0.3%</w:t>
            </w:r>
          </w:p>
        </w:tc>
        <w:tc>
          <w:tcPr>
            <w:tcW w:type="dxa" w:w="2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감소 — 상위 10대 중 유일</w:t>
            </w:r>
          </w:p>
        </w:tc>
      </w:tr>
    </w:tbl>
    <w:p>
      <w:pPr>
        <w:spacing w:after="110" w:before="3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95959"/>
          <w:sz w:val="14"/>
          <w:szCs w:val="14"/>
        </w:rPr>
        <w:t xml:space="preserve">출처 : 분석9_품목단가분해(HS). HS 2단위 97개를 유형 분류하면 가격 주도 32개, 물량 주도 11개, 혼합 12개, 감소 33개, 단가 불안정 9개다.</w:t>
      </w:r>
    </w:p>
    <w:p>
      <w:pPr>
        <w:spacing w:after="40" w:before="40" w:line="25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두 가지 반론 검증.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첫째, "반도체만 좋다"는 통념은 절반만 맞다. 금액가중 확산지수는 2026.06 99.0%, 07월 98.7%로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금액이 큰 품목은 사실상 전부 증가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했다. 다만 개수 기준으로는 97개 중 33개가 감소해 온기가 고르지는 않다. 둘째, IT를 제외한 수출도 2,738억 → 3,043억 달러로 +11.1% 늘었고, 2026년 6·7월 전년동월비는 +17.7%, +17.8%로 오히려 가속 중이다. 반도체 외 수요도 살아 있다는 신호이므로, IT 사이클 반전 시 완충 여지를 판단할 때 이 지표를 함께 봐야 한다.</w:t>
      </w:r>
    </w:p>
    <w:p>
      <w:pPr>
        <w:pBdr>
          <w:bottom w:val="single" w:color="1F3864" w:sz="8" w:space="2"/>
        </w:pBdr>
        <w:spacing w:after="80" w:before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2"/>
          <w:szCs w:val="22"/>
        </w:rPr>
        <w:t xml:space="preserve">4. 국가 — 지역 분산이 품목 리스크를 대신하지 못한다</w:t>
      </w:r>
    </w:p>
    <w:p>
      <w:pPr>
        <w:spacing w:after="40" w:before="40" w:line="25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각국 월별 수출과 HS85류 월별 수출의 19개월 상관계수를 계산했다. 값이 1에 가까울수록 그 나라 수출이 반도체 사이클과 함께 움직였다는 뜻이다.</w:t>
      </w:r>
    </w:p>
    <w:tbl>
      <w:tblPr>
        <w:tblW w:type="dxa" w:w="10440"/>
        <w:tblBorders>
          <w:top w:val="single" w:color="AAB7CF" w:sz="4"/>
          <w:left w:val="single" w:color="AAB7CF" w:sz="4"/>
          <w:bottom w:val="single" w:color="AAB7CF" w:sz="4"/>
          <w:right w:val="single" w:color="AAB7CF" w:sz="4"/>
          <w:insideH w:val="single" w:color="D0D8E8" w:sz="2"/>
          <w:insideV w:val="single" w:color="D0D8E8" w:sz="2"/>
        </w:tblBorders>
      </w:tblPr>
      <w:tblGrid>
        <w:gridCol w:w="1150"/>
        <w:gridCol w:w="1200"/>
        <w:gridCol w:w="900"/>
        <w:gridCol w:w="900"/>
        <w:gridCol w:w="1150"/>
        <w:gridCol w:w="1250"/>
        <w:gridCol w:w="900"/>
        <w:gridCol w:w="2990"/>
      </w:tblGrid>
      <w:tr>
        <w:trPr>
          <w:tblHeader/>
        </w:trPr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국가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Δ금액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증가율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기여도</w:t>
            </w:r>
          </w:p>
        </w:tc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HS85 동조성</w:t>
            </w:r>
          </w:p>
        </w:tc>
        <w:tc>
          <w:tcPr>
            <w:tcW w:type="dxa" w:w="12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건당금액 변화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건수</w:t>
            </w:r>
          </w:p>
        </w:tc>
        <w:tc>
          <w:tcPr>
            <w:tcW w:type="dxa" w:w="299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중국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+496.7억$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+69.4%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24.9%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0.988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+58.8%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+6.7%</w:t>
            </w:r>
          </w:p>
        </w:tc>
        <w:tc>
          <w:tcPr>
            <w:tcW w:type="dxa" w:w="299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2위→1위, 수지 −82.8억→+188.5억$ 흑자 전환</w:t>
            </w:r>
          </w:p>
        </w:tc>
      </w:tr>
      <w:tr>
        <w:tc>
          <w:tcPr>
            <w:tcW w:type="dxa" w:w="115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미국</w:t>
            </w:r>
          </w:p>
        </w:tc>
        <w:tc>
          <w:tcPr>
            <w:tcW w:type="dxa" w:w="12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+384.8억$</w:t>
            </w:r>
          </w:p>
        </w:tc>
        <w:tc>
          <w:tcPr>
            <w:tcW w:type="dxa" w:w="9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+53.1%</w:t>
            </w:r>
          </w:p>
        </w:tc>
        <w:tc>
          <w:tcPr>
            <w:tcW w:type="dxa" w:w="9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19.3%</w:t>
            </w:r>
          </w:p>
        </w:tc>
        <w:tc>
          <w:tcPr>
            <w:tcW w:type="dxa" w:w="115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0.951</w:t>
            </w:r>
          </w:p>
        </w:tc>
        <w:tc>
          <w:tcPr>
            <w:tcW w:type="dxa" w:w="125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+72.0%</w:t>
            </w:r>
          </w:p>
        </w:tc>
        <w:tc>
          <w:tcPr>
            <w:tcW w:type="dxa" w:w="9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−11.0%</w:t>
            </w:r>
          </w:p>
        </w:tc>
        <w:tc>
          <w:tcPr>
            <w:tcW w:type="dxa" w:w="299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건수 감소·고가화, 흑자 301.8→584.6억$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홍콩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+277.8억$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+161.9%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13.9%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0.949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+126.6%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+15.6%</w:t>
            </w:r>
          </w:p>
        </w:tc>
        <w:tc>
          <w:tcPr>
            <w:tcW w:type="dxa" w:w="299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중계·환적 성격, 월변동성 49.7%로 최대</w:t>
            </w:r>
          </w:p>
        </w:tc>
      </w:tr>
      <w:tr>
        <w:tc>
          <w:tcPr>
            <w:tcW w:type="dxa" w:w="115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베트남</w:t>
            </w:r>
          </w:p>
        </w:tc>
        <w:tc>
          <w:tcPr>
            <w:tcW w:type="dxa" w:w="12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+197.0억$</w:t>
            </w:r>
          </w:p>
        </w:tc>
        <w:tc>
          <w:tcPr>
            <w:tcW w:type="dxa" w:w="9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+56.8%</w:t>
            </w:r>
          </w:p>
        </w:tc>
        <w:tc>
          <w:tcPr>
            <w:tcW w:type="dxa" w:w="9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9.9%</w:t>
            </w:r>
          </w:p>
        </w:tc>
        <w:tc>
          <w:tcPr>
            <w:tcW w:type="dxa" w:w="115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0.972</w:t>
            </w:r>
          </w:p>
        </w:tc>
        <w:tc>
          <w:tcPr>
            <w:tcW w:type="dxa" w:w="125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+55.1%</w:t>
            </w:r>
          </w:p>
        </w:tc>
        <w:tc>
          <w:tcPr>
            <w:tcW w:type="dxa" w:w="9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+1.1%</w:t>
            </w:r>
          </w:p>
        </w:tc>
        <w:tc>
          <w:tcPr>
            <w:tcW w:type="dxa" w:w="299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후공정 기지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대만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+159.7억$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+63.6%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8.0%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0.873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+20.4%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+35.9%</w:t>
            </w:r>
          </w:p>
        </w:tc>
        <w:tc>
          <w:tcPr>
            <w:tcW w:type="dxa" w:w="299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건수 급증형</w:t>
            </w:r>
          </w:p>
        </w:tc>
      </w:tr>
      <w:tr>
        <w:tc>
          <w:tcPr>
            <w:tcW w:type="dxa" w:w="115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독일</w:t>
            </w:r>
          </w:p>
        </w:tc>
        <w:tc>
          <w:tcPr>
            <w:tcW w:type="dxa" w:w="12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+11.0억$</w:t>
            </w:r>
          </w:p>
        </w:tc>
        <w:tc>
          <w:tcPr>
            <w:tcW w:type="dxa" w:w="9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+9.2%</w:t>
            </w:r>
          </w:p>
        </w:tc>
        <w:tc>
          <w:tcPr>
            <w:tcW w:type="dxa" w:w="9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0.6%</w:t>
            </w:r>
          </w:p>
        </w:tc>
        <w:tc>
          <w:tcPr>
            <w:tcW w:type="dxa" w:w="115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0.446</w:t>
            </w:r>
          </w:p>
        </w:tc>
        <w:tc>
          <w:tcPr>
            <w:tcW w:type="dxa" w:w="125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−11.8%</w:t>
            </w:r>
          </w:p>
        </w:tc>
        <w:tc>
          <w:tcPr>
            <w:tcW w:type="dxa" w:w="9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+23.8%</w:t>
            </w:r>
          </w:p>
        </w:tc>
        <w:tc>
          <w:tcPr>
            <w:tcW w:type="dxa" w:w="299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비동조 — 반도체와 무관하게 완만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폴란드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−0.7억$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−0.6%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−0.0%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0.229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−3.5%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+3.0%</w:t>
            </w:r>
          </w:p>
        </w:tc>
        <w:tc>
          <w:tcPr>
            <w:tcW w:type="dxa" w:w="299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비동조 — 감소</w:t>
            </w:r>
          </w:p>
        </w:tc>
      </w:tr>
    </w:tbl>
    <w:p>
      <w:pPr>
        <w:spacing w:after="110" w:before="3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95959"/>
          <w:sz w:val="14"/>
          <w:szCs w:val="14"/>
        </w:rPr>
        <w:t xml:space="preserve">출처 : 분석5_국가별, 분석12_국가심층. 기여도는 전체 수출 증가분 대비 비중.</w:t>
      </w:r>
    </w:p>
    <w:p>
      <w:pPr>
        <w:spacing w:after="40" w:before="40" w:line="25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구조적 함의.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상위 20개국을 동조성 구간으로 묶으면 0.90 이상 6개국이 이들 수출의 67.1%, 0.80 이상 13개국이 90.1%를 차지한다. 반대로 동조성이 낮은 국가(독일 0.446, 튀르키예 0.395, 폴란드 0.229)는 규모도 작고 증가율도 한 자릿수다.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결과적으로 수출처를 늘려도 대부분이 같은 반도체 사이클 위에 있어, 지역 다변화로는 품목 집중 리스크가 거의 줄지 않는다.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실질적인 분산은 "다른 나라"가 아니라 "다른 품목"에서만 나온다.</w:t>
      </w:r>
    </w:p>
    <w:p>
      <w:pPr>
        <w:pBdr>
          <w:bottom w:val="single" w:color="1F3864" w:sz="8" w:space="2"/>
        </w:pBdr>
        <w:spacing w:after="80" w:before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2"/>
          <w:szCs w:val="22"/>
        </w:rPr>
        <w:t xml:space="preserve">5. 집중도 · 모멘텀 — 좁아졌고, 아직 빠르다</w:t>
      </w:r>
    </w:p>
    <w:tbl>
      <w:tblPr>
        <w:tblW w:type="dxa" w:w="10440"/>
        <w:tblBorders>
          <w:top w:val="single" w:color="AAB7CF" w:sz="4"/>
          <w:left w:val="single" w:color="AAB7CF" w:sz="4"/>
          <w:bottom w:val="single" w:color="AAB7CF" w:sz="4"/>
          <w:right w:val="single" w:color="AAB7CF" w:sz="4"/>
          <w:insideH w:val="single" w:color="D0D8E8" w:sz="2"/>
          <w:insideV w:val="single" w:color="D0D8E8" w:sz="2"/>
        </w:tblBorders>
      </w:tblPr>
      <w:tblGrid>
        <w:gridCol w:w="2400"/>
        <w:gridCol w:w="1300"/>
        <w:gridCol w:w="1300"/>
        <w:gridCol w:w="1500"/>
        <w:gridCol w:w="394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지표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2025.01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2026.07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최고치</w:t>
            </w:r>
          </w:p>
        </w:tc>
        <w:tc>
          <w:tcPr>
            <w:tcW w:type="dxa" w:w="394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해석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품목 HHI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1,334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2,444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2,458(26.06)</w:t>
            </w:r>
          </w:p>
        </w:tc>
        <w:tc>
          <w:tcPr>
            <w:tcW w:type="dxa" w:w="3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집중도 83% 상승</w:t>
            </w:r>
          </w:p>
        </w:tc>
      </w:tr>
      <w:tr>
        <w:tc>
          <w:tcPr>
            <w:tcW w:type="dxa" w:w="24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유효 품목수</w:t>
            </w:r>
          </w:p>
        </w:tc>
        <w:tc>
          <w:tcPr>
            <w:tcW w:type="dxa" w:w="13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7.5개</w:t>
            </w:r>
          </w:p>
        </w:tc>
        <w:tc>
          <w:tcPr>
            <w:tcW w:type="dxa" w:w="13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4.1개</w:t>
            </w:r>
          </w:p>
        </w:tc>
        <w:tc>
          <w:tcPr>
            <w:tcW w:type="dxa" w:w="15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394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실질적으로 4개 품목이 수출을 지탱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국가 HHI / 유효 국가수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896 / 11.2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1,028 / 9.7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3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국가도 좁아졌으나 품목만큼은 아님</w:t>
            </w:r>
          </w:p>
        </w:tc>
      </w:tr>
      <w:tr>
        <w:tc>
          <w:tcPr>
            <w:tcW w:type="dxa" w:w="24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IT 비중</w:t>
            </w:r>
          </w:p>
        </w:tc>
        <w:tc>
          <w:tcPr>
            <w:tcW w:type="dxa" w:w="13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29.2%</w:t>
            </w:r>
          </w:p>
        </w:tc>
        <w:tc>
          <w:tcPr>
            <w:tcW w:type="dxa" w:w="13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51.3%</w:t>
            </w:r>
          </w:p>
        </w:tc>
        <w:tc>
          <w:tcPr>
            <w:tcW w:type="dxa" w:w="15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53.7%(26.06)</w:t>
            </w:r>
          </w:p>
        </w:tc>
        <w:tc>
          <w:tcPr>
            <w:tcW w:type="dxa" w:w="394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수출의 절반이 IT부품·IT제품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중화권(중·홍·대) 비중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27.1%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34.4%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36.7%(26.06)</w:t>
            </w:r>
          </w:p>
        </w:tc>
        <w:tc>
          <w:tcPr>
            <w:tcW w:type="dxa" w:w="3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+7.3%p</w:t>
            </w:r>
          </w:p>
        </w:tc>
      </w:tr>
      <w:tr>
        <w:tc>
          <w:tcPr>
            <w:tcW w:type="dxa" w:w="24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전년동월비</w:t>
            </w:r>
          </w:p>
        </w:tc>
        <w:tc>
          <w:tcPr>
            <w:tcW w:type="dxa" w:w="13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+63.0%</w:t>
            </w:r>
          </w:p>
        </w:tc>
        <w:tc>
          <w:tcPr>
            <w:tcW w:type="dxa" w:w="15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+70.4%(26.06)</w:t>
            </w:r>
          </w:p>
        </w:tc>
        <w:tc>
          <w:tcPr>
            <w:tcW w:type="dxa" w:w="394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3개월 이동평균 +62.2%로 추세 유지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일평균 전월비(26.07)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−9.0%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3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월합 −2.9%보다 실제 둔화가 크다</w:t>
            </w:r>
          </w:p>
        </w:tc>
      </w:tr>
    </w:tbl>
    <w:p>
      <w:pPr>
        <w:spacing w:after="110" w:before="3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95959"/>
          <w:sz w:val="14"/>
          <w:szCs w:val="14"/>
        </w:rPr>
        <w:t xml:space="preserve">출처 : 분석10_집중도·확산도, 분석11_모멘텀·계절성. HHI = Σ(점유율²)×10,000, 유효 품목수 = 10,000÷HHI.</w:t>
      </w:r>
    </w:p>
    <w:p>
      <w:pPr>
        <w:spacing w:after="40" w:before="40" w:line="25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캐리오버(이월) 효과.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2026년 1~7월 누계만으로 이미 2025년 연간 수출의 83.9%에 도달했다. 8~12월이 최근 3개월 평균 대비 25% 급락해도 연간으로는 +34.7%, 40% 급락해도 +24.6% 증가가 유지된다.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연간 증가율이 높게 나오는 것과 지금 모멘텀이 살아 있는 것은 별개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이므로, 하반기 판단은 연간 증가율이 아니라 3개월 이동평균 전년동월비와 조업일수 보정 일평균으로 해야 한다.</w:t>
      </w:r>
    </w:p>
    <w:p>
      <w:pPr>
        <w:pBdr>
          <w:bottom w:val="single" w:color="1F3864" w:sz="8" w:space="2"/>
        </w:pBdr>
        <w:spacing w:after="80" w:before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2"/>
          <w:szCs w:val="22"/>
        </w:rPr>
        <w:t xml:space="preserve">6. 원인 분석 — 왜 이런 숫자가 나왔는가</w:t>
      </w:r>
    </w:p>
    <w:p>
      <w:pPr>
        <w:spacing w:after="40" w:before="40" w:line="25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아래 「관측 사실」은 데이터로 확인된 것이고, 「유력 원인」은 데이터 밖 환경에 대한 해석이다. 확정 전 검증 경로를 함께 적었다.</w:t>
      </w:r>
    </w:p>
    <w:tbl>
      <w:tblPr>
        <w:tblW w:type="dxa" w:w="10440"/>
        <w:tblBorders>
          <w:top w:val="single" w:color="AAB7CF" w:sz="4"/>
          <w:left w:val="single" w:color="AAB7CF" w:sz="4"/>
          <w:bottom w:val="single" w:color="AAB7CF" w:sz="4"/>
          <w:right w:val="single" w:color="AAB7CF" w:sz="4"/>
          <w:insideH w:val="single" w:color="D0D8E8" w:sz="2"/>
          <w:insideV w:val="single" w:color="D0D8E8" w:sz="2"/>
        </w:tblBorders>
      </w:tblPr>
      <w:tblGrid>
        <w:gridCol w:w="2500"/>
        <w:gridCol w:w="4300"/>
        <w:gridCol w:w="3000"/>
        <w:gridCol w:w="64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관측 사실(데이터)</w:t>
            </w:r>
          </w:p>
        </w:tc>
        <w:tc>
          <w:tcPr>
            <w:tcW w:type="dxa" w:w="43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유력 원인(해석)</w:t>
            </w:r>
          </w:p>
        </w:tc>
        <w:tc>
          <w:tcPr>
            <w:tcW w:type="dxa" w:w="30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검증 방법</w:t>
            </w:r>
          </w:p>
        </w:tc>
        <w:tc>
          <w:tcPr>
            <w:tcW w:type="dxa" w:w="64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신뢰도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HS85 물량 −0.7%, 단가 +110.0%
IT부품 단가 +141.3%</w:t>
            </w:r>
          </w:p>
        </w:tc>
        <w:tc>
          <w:tcPr>
            <w:tcW w:type="dxa" w:w="4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AI 데이터센터 투자 확대에 따른 HBM·서버 DRAM 수요 급증과, 범용 DRAM 캐파의 HBM 전환에 따른 공급 부족이 가격을 끌어올린 것으로 판단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DRAM·NAND 고정거래가격, 반도체 수출 물량·단가 지수, 메모리 업체 분기 ASP</w:t>
            </w:r>
          </w:p>
        </w:tc>
        <w:tc>
          <w:tcPr>
            <w:tcW w:type="dxa" w:w="6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높음</w:t>
            </w:r>
          </w:p>
        </w:tc>
      </w:tr>
      <w:tr>
        <w:tc>
          <w:tcPr>
            <w:tcW w:type="dxa" w:w="25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HS84 단가 +74.0%인데 성질별 「기계류·정밀기기」 단가는 −0.7%</w:t>
            </w:r>
          </w:p>
        </w:tc>
        <w:tc>
          <w:tcPr>
            <w:tcW w:type="dxa" w:w="43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HS84에 포함된 컴퓨터·SSD(8471)로 메모리 가격이 파급된 것으로 추정. 순수 일반기계는 정체</w:t>
            </w:r>
          </w:p>
        </w:tc>
        <w:tc>
          <w:tcPr>
            <w:tcW w:type="dxa" w:w="30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HS 4단위(8471·8473·8486) 재조회로 84류 내부 분리</w:t>
            </w:r>
          </w:p>
        </w:tc>
        <w:tc>
          <w:tcPr>
            <w:tcW w:type="dxa" w:w="64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중간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HS71 단가 +215.6%, 물량 −19.2%</w:t>
            </w:r>
          </w:p>
        </w:tc>
        <w:tc>
          <w:tcPr>
            <w:tcW w:type="dxa" w:w="4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국제 금 가격 급등. 물량이 20% 줄었는데 금액이 155% 늘어난 패턴은 가격 외 설명이 어려움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금 현물가격, HS 7108 세부 실적</w:t>
            </w:r>
          </w:p>
        </w:tc>
        <w:tc>
          <w:tcPr>
            <w:tcW w:type="dxa" w:w="6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중간</w:t>
            </w:r>
          </w:p>
        </w:tc>
      </w:tr>
      <w:tr>
        <w:tc>
          <w:tcPr>
            <w:tcW w:type="dxa" w:w="25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미국 금액 +53.1%, 건수 −11.0%, 건당금액 +72.0%</w:t>
            </w:r>
          </w:p>
        </w:tc>
        <w:tc>
          <w:tcPr>
            <w:tcW w:type="dxa" w:w="43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소액·다건 화물이 줄고 고가품 중심으로 재편. 관세 환경 변화와 소액 화물 취급 축소가 배경일 가능성</w:t>
            </w:r>
          </w:p>
        </w:tc>
        <w:tc>
          <w:tcPr>
            <w:tcW w:type="dxa" w:w="30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대미 수출의 HS별·금액구간별 분해, 관세 대상/예외 품목 구분</w:t>
            </w:r>
          </w:p>
        </w:tc>
        <w:tc>
          <w:tcPr>
            <w:tcW w:type="dxa" w:w="64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중간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HS87 −1.0%, 내구소비재 −7.2%</w:t>
            </w:r>
          </w:p>
        </w:tc>
        <w:tc>
          <w:tcPr>
            <w:tcW w:type="dxa" w:w="4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주요 시장 관세 부담과 현지생산 확대. 반도체 호황이 자동차로 전이되지 않음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대미·대EU 자동차 단가/물량, 현지공장 생산 실적</w:t>
            </w:r>
          </w:p>
        </w:tc>
        <w:tc>
          <w:tcPr>
            <w:tcW w:type="dxa" w:w="6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중간</w:t>
            </w:r>
          </w:p>
        </w:tc>
      </w:tr>
      <w:tr>
        <w:tc>
          <w:tcPr>
            <w:tcW w:type="dxa" w:w="25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홍콩 +161.9%, 변동성 49.7%</w:t>
            </w:r>
          </w:p>
        </w:tc>
        <w:tc>
          <w:tcPr>
            <w:tcW w:type="dxa" w:w="43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최종 소비지가 아닌 반도체 중계·환적 경로. 실수요와 재고 이동이 섞여 있음</w:t>
            </w:r>
          </w:p>
        </w:tc>
        <w:tc>
          <w:tcPr>
            <w:tcW w:type="dxa" w:w="30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홍콩 경유 물량의 최종 목적지, 중국 직수출과 합산 추이</w:t>
            </w:r>
          </w:p>
        </w:tc>
        <w:tc>
          <w:tcPr>
            <w:tcW w:type="dxa" w:w="64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중간</w:t>
            </w:r>
          </w:p>
        </w:tc>
      </w:tr>
    </w:tbl>
    <w:p>
      <w:pPr>
        <w:spacing w:after="110" w:before="3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95959"/>
          <w:sz w:val="14"/>
          <w:szCs w:val="14"/>
        </w:rPr>
        <w:t xml:space="preserve">출처 : 분석14_원인분석. 2026년 6~7월의 개별 사건(가격 협상·관세 조치·대형 인도 건 등)은 확인하지 않았으므로 최근 2개월 해석은 잠정이다.</w:t>
      </w:r>
    </w:p>
    <w:p>
      <w:pPr>
        <w:pBdr>
          <w:bottom w:val="single" w:color="1F3864" w:sz="8" w:space="2"/>
        </w:pBdr>
        <w:spacing w:after="80" w:before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2"/>
          <w:szCs w:val="22"/>
        </w:rPr>
        <w:t xml:space="preserve">7. 리스크 — 흑자의 57.7%가 반도체 가격에 걸려 있다</w:t>
      </w:r>
    </w:p>
    <w:tbl>
      <w:tblPr>
        <w:tblW w:type="dxa" w:w="10440"/>
        <w:tblBorders>
          <w:top w:val="single" w:color="AAB7CF" w:sz="4"/>
          <w:left w:val="single" w:color="AAB7CF" w:sz="4"/>
          <w:bottom w:val="single" w:color="AAB7CF" w:sz="4"/>
          <w:right w:val="single" w:color="AAB7CF" w:sz="4"/>
          <w:insideH w:val="single" w:color="D0D8E8" w:sz="2"/>
          <w:insideV w:val="single" w:color="D0D8E8" w:sz="2"/>
        </w:tblBorders>
      </w:tblPr>
      <w:tblGrid>
        <w:gridCol w:w="3400"/>
        <w:gridCol w:w="1400"/>
        <w:gridCol w:w="1200"/>
        <w:gridCol w:w="1400"/>
        <w:gridCol w:w="1200"/>
        <w:gridCol w:w="184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시나리오 / 임계점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수출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수출 증감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무역수지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수지 증감</w:t>
            </w:r>
          </w:p>
        </w:tc>
        <w:tc>
          <w:tcPr>
            <w:tcW w:type="dxa" w:w="184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전년동기비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현재(2026.1~7 실적)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5,950.6억$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1,677.6억$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+50.5%</w:t>
            </w:r>
          </w:p>
        </w:tc>
      </w:tr>
      <w:tr>
        <w:tc>
          <w:tcPr>
            <w:tcW w:type="dxa" w:w="34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IT 수출금액 −10%</w:t>
            </w:r>
          </w:p>
        </w:tc>
        <w:tc>
          <w:tcPr>
            <w:tcW w:type="dxa" w:w="14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5,659.8억$</w:t>
            </w:r>
          </w:p>
        </w:tc>
        <w:tc>
          <w:tcPr>
            <w:tcW w:type="dxa" w:w="12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−4.9%</w:t>
            </w:r>
          </w:p>
        </w:tc>
        <w:tc>
          <w:tcPr>
            <w:tcW w:type="dxa" w:w="14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1,386.8억$</w:t>
            </w:r>
          </w:p>
        </w:tc>
        <w:tc>
          <w:tcPr>
            <w:tcW w:type="dxa" w:w="12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−17.3%</w:t>
            </w:r>
          </w:p>
        </w:tc>
        <w:tc>
          <w:tcPr>
            <w:tcW w:type="dxa" w:w="184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+43.1%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IT 수출금액 −20%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5,369.0억$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−9.8%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1,096.0억$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−34.7%</w:t>
            </w:r>
          </w:p>
        </w:tc>
        <w:tc>
          <w:tcPr>
            <w:tcW w:type="dxa" w:w="18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+35.8%</w:t>
            </w:r>
          </w:p>
        </w:tc>
      </w:tr>
      <w:tr>
        <w:tc>
          <w:tcPr>
            <w:tcW w:type="dxa" w:w="34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IT 수출금액 −30%</w:t>
            </w:r>
          </w:p>
        </w:tc>
        <w:tc>
          <w:tcPr>
            <w:tcW w:type="dxa" w:w="14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5,078.2억$</w:t>
            </w:r>
          </w:p>
        </w:tc>
        <w:tc>
          <w:tcPr>
            <w:tcW w:type="dxa" w:w="12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−14.7%</w:t>
            </w:r>
          </w:p>
        </w:tc>
        <w:tc>
          <w:tcPr>
            <w:tcW w:type="dxa" w:w="14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805.2억$</w:t>
            </w:r>
          </w:p>
        </w:tc>
        <w:tc>
          <w:tcPr>
            <w:tcW w:type="dxa" w:w="120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−52.0%</w:t>
            </w:r>
          </w:p>
        </w:tc>
        <w:tc>
          <w:tcPr>
            <w:tcW w:type="dxa" w:w="1840"/>
            <w:shd w:fill="F7F9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+28.4%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중화권 수요 −20%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5,536.2억$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−7.0%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1,263.2억$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−24.7%</w:t>
            </w:r>
          </w:p>
        </w:tc>
        <w:tc>
          <w:tcPr>
            <w:tcW w:type="dxa" w:w="18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+40.0%</w:t>
            </w:r>
          </w:p>
        </w:tc>
      </w:tr>
      <w:tr>
        <w:tc>
          <w:tcPr>
            <w:tcW w:type="dxa" w:w="3400"/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임계점 : 흑자 소멸</w:t>
            </w:r>
          </w:p>
        </w:tc>
        <w:tc>
          <w:tcPr>
            <w:tcW w:type="dxa" w:w="1400"/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IT −57.7%</w:t>
            </w:r>
          </w:p>
        </w:tc>
        <w:tc>
          <w:tcPr>
            <w:tcW w:type="dxa" w:w="1400"/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0억$</w:t>
            </w:r>
          </w:p>
        </w:tc>
        <w:tc>
          <w:tcPr>
            <w:tcW w:type="dxa" w:w="1200"/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−100%</w:t>
            </w:r>
          </w:p>
        </w:tc>
        <w:tc>
          <w:tcPr>
            <w:tcW w:type="dxa" w:w="1840"/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+21.3%</w:t>
            </w:r>
          </w:p>
        </w:tc>
      </w:tr>
      <w:tr>
        <w:tc>
          <w:tcPr>
            <w:tcW w:type="dxa" w:w="3400"/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임계점 : 수출 증가율 0%</w:t>
            </w:r>
          </w:p>
        </w:tc>
        <w:tc>
          <w:tcPr>
            <w:tcW w:type="dxa" w:w="1400"/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3,953.9억$</w:t>
            </w:r>
          </w:p>
        </w:tc>
        <w:tc>
          <w:tcPr>
            <w:tcW w:type="dxa" w:w="1200"/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IT −68.7%</w:t>
            </w:r>
          </w:p>
        </w:tc>
        <w:tc>
          <w:tcPr>
            <w:tcW w:type="dxa" w:w="1400"/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0.0%</w:t>
            </w:r>
          </w:p>
        </w:tc>
      </w:tr>
    </w:tbl>
    <w:p>
      <w:pPr>
        <w:spacing w:after="110" w:before="3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95959"/>
          <w:sz w:val="14"/>
          <w:szCs w:val="14"/>
        </w:rPr>
        <w:t xml:space="preserve">출처 : 분석13_민감도. 단가 충격은 물량 불변 가정의 단순 시뮬레이션이며 수요·환율의 2차 효과는 미반영. 엑셀의 노란색 셀에 자체 전망치를 넣으면 즉시 재계산된다.</w:t>
      </w:r>
    </w:p>
    <w:p>
      <w:pPr>
        <w:pBdr>
          <w:bottom w:val="single" w:color="1F3864" w:sz="8" w:space="2"/>
        </w:pBdr>
        <w:spacing w:after="80" w:before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2"/>
          <w:szCs w:val="22"/>
        </w:rPr>
        <w:t xml:space="preserve">8. 실무 권고</w:t>
      </w:r>
    </w:p>
    <w:p>
      <w:pPr>
        <w:spacing w:after="20" w:before="20" w:line="250"/>
        <w:ind w:left="220" w:hanging="15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매월 볼 지표 5개를 고정하라.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① HS85 전년동월비(방향) ② 수출 단가(흑자의 지속성) ③ 조업일수 보정 일평균(달력 착시 제거) ④ IT 제외 3개월이평 전년동월비(확산 여부) ⑤ 상위 5개국 비중(집중도). 다섯 개 모두 엑셀에서 값만 갱신하면 자동 계산된다.</w:t>
      </w:r>
    </w:p>
    <w:p>
      <w:pPr>
        <w:spacing w:after="20" w:before="20" w:line="250"/>
        <w:ind w:left="220" w:hanging="15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예산·전망은 물량 기준으로 이중 작성하라.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금액 기준 +50.5%는 단가가 만든 숫자다. 물량 기준(피셔 물량지수 −0.6%)으로 한 벌 더 만들어 두면, 가격이 되돌아설 때 계획을 처음부터 다시 짜지 않아도 된다.</w:t>
      </w:r>
    </w:p>
    <w:p>
      <w:pPr>
        <w:spacing w:after="20" w:before="20" w:line="250"/>
        <w:ind w:left="220" w:hanging="15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흑자를 항상 소득으로 보지 마라.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IT 수출금액 −20%만으로 흑자가 34.7% 줄어든다. 환율·재정·투자 판단에서 1,677억 달러를 기준선으로 삼으면 위험하다. 보수 기준선은 IT −20~30% 시나리오다.</w:t>
      </w:r>
    </w:p>
    <w:p>
      <w:pPr>
        <w:spacing w:after="20" w:before="20" w:line="250"/>
        <w:ind w:left="220" w:hanging="15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분산은 국가가 아니라 품목에서 찾아라.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상위 20개국 중 13개국이 반도체와 동조하고 이들이 90%를 차지한다. 신규 시장 개척은 동조성이 낮은 품목(화장품·정유 HS33은 물량 주도 +20.4%)과 묶어야 실제 분산 효과가 난다.</w:t>
      </w:r>
    </w:p>
    <w:p>
      <w:pPr>
        <w:spacing w:after="20" w:before="20" w:line="250"/>
        <w:ind w:left="220" w:hanging="15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계약 조건에 단가 연동을 점검하라.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단가가 1년 새 두 배가 된 품목(HS85 +110%, HS71 +216%)은 장기계약이 고정가면 상승분을 놓치고, 반대로 하락 국면에서는 손실을 떠안는다. 지금이 조건 재설계 시점이다.</w:t>
      </w:r>
    </w:p>
    <w:p>
      <w:pPr>
        <w:spacing w:after="20" w:before="20" w:line="250"/>
        <w:ind w:left="220" w:hanging="15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품목별 시트를 총액 용도로 쓰지 마라.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원본 품목별 조회에는 HS 98류(특수분류)가 빠져 있어 총괄 대비 수출 −0.038%, 수입 −0.036% 과소집계된다. 품목 간 비교에는 문제없지만 총액 인용 시 반드시 총괄 시트를 쓸 것.</w:t>
      </w:r>
    </w:p>
    <w:p>
      <w:pPr>
        <w:pBdr>
          <w:bottom w:val="single" w:color="1F3864" w:sz="8" w:space="2"/>
        </w:pBdr>
        <w:spacing w:after="80" w:before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2"/>
          <w:szCs w:val="22"/>
        </w:rPr>
        <w:t xml:space="preserve">9. 분석의 한계</w:t>
      </w:r>
    </w:p>
    <w:p>
      <w:pPr>
        <w:spacing w:after="40" w:before="40" w:line="25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① 2026년은 7개월치뿐이라 연간 비교는 성립하지 않는다(2025년은 12월이 연중 최고였다). ② 계절지수는 2025년 1년치로만 산출한 근사치다. ③ 단가는 톤당 금액이므로 같은 품목의 시점 비교에만 유효하다. ④ 국가별 자료에 중량이 없어 건당 금액을 대리지표로 사용했다. ⑤ 명목 달러 기준으로 환율·물가 조정이 되어 있지 않다. ⑥ 6장의 원인은 데이터 밖 해석이며 검증 경로를 거쳐 확정해야 한다.</w:t>
      </w:r>
    </w:p>
    <w:p>
      <w:pPr>
        <w:spacing w:after="10" w:before="7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16"/>
          <w:szCs w:val="16"/>
        </w:rPr>
        <w:t xml:space="preserve">[참고 그림] 국가별 반도체 동조성과 수출 증가율 — 오른쪽 위로 몰릴수록 지역 분산 효과가 없다</w:t>
      </w:r>
    </w:p>
    <w:p>
      <w:pPr>
        <w:spacing w:after="30"/>
        <w:jc w:val="center"/>
      </w:pPr>
      <w:r>
        <w:drawing>
          <wp:inline distT="0" distB="0" distL="0" distR="0">
            <wp:extent cx="409575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95959"/>
          <w:sz w:val="14"/>
          <w:szCs w:val="14"/>
        </w:rPr>
        <w:t xml:space="preserve">가로축 = 각국 월별 수출과 HS85류 월별 수출의 19개월 상관계수, 세로축 = 2026.1~7 수출 증가율. 상위 20개국. 출처 : 분석12·분석15.</w:t>
      </w:r>
    </w:p>
    <w:p>
      <w:pPr>
        <w:pBdr>
          <w:top w:val="single" w:color="1F3864" w:sz="8" w:space="3"/>
        </w:pBdr>
        <w:spacing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근거 파일 : 수출입실적_통합분석_2025-2026.xlsx (원본 5개 시트 무수정 · 정제 5개 · 분석 15개 · 그래프 23종 · 수식 71,296개, 오류 0). 본 보고서의 모든 수치는 해당 파일에서 재현·검증할 수 있다.</w:t>
      </w:r>
    </w:p>
    <w:sectPr>
      <w:pgSz w:w="11906" w:h="16838" w:orient="portrait"/>
      <w:pgMar w:top="700" w:right="640" w:bottom="62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3e5227c0b2e002612d62018f285796fe02188d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2026-08-23T15:37:24.460Z</dcterms:created>
  <dcterms:modified xsi:type="dcterms:W3CDTF">2026-08-23T15:37:24.460Z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