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맑은 고딕" w:cs="맑은 고딕" w:eastAsia="맑은 고딕" w:hAnsi="맑은 고딕"/>
          <w:b/>
          <w:bCs/>
          <w:i w:val="false"/>
          <w:iCs w:val="false"/>
          <w:color w:val="1F3864"/>
          <w:sz w:val="32"/>
          <w:szCs w:val="32"/>
        </w:rPr>
        <w:t xml:space="preserve">2026년 1~7월 수출 심층 분석</w:t>
      </w:r>
    </w:p>
    <w:p>
      <w:pPr>
        <w:spacing w:after="60"/>
      </w:pPr>
      <w:r>
        <w:rPr>
          <w:rFonts w:ascii="맑은 고딕" w:cs="맑은 고딕" w:eastAsia="맑은 고딕" w:hAnsi="맑은 고딕"/>
          <w:b w:val="false"/>
          <w:bCs w:val="false"/>
          <w:i w:val="false"/>
          <w:iCs w:val="false"/>
          <w:color w:val="595959"/>
          <w:sz w:val="21"/>
          <w:szCs w:val="21"/>
        </w:rPr>
        <w:t xml:space="preserve">무엇이 늘었나 · 왜 늘었나 · 무엇이 위험한가</w:t>
      </w:r>
    </w:p>
    <w:p>
      <w:pPr>
        <w:pBdr>
          <w:bottom w:val="single" w:color="1F3864" w:sz="12" w:space="4"/>
        </w:pBdr>
        <w:spacing w:after="130"/>
      </w:pPr>
      <w:r>
        <w:rPr>
          <w:rFonts w:ascii="맑은 고딕" w:cs="맑은 고딕" w:eastAsia="맑은 고딕" w:hAnsi="맑은 고딕"/>
          <w:b w:val="false"/>
          <w:bCs w:val="false"/>
          <w:i w:val="false"/>
          <w:iCs w:val="false"/>
          <w:color w:val="595959"/>
          <w:sz w:val="14"/>
          <w:szCs w:val="14"/>
        </w:rPr>
        <w:t xml:space="preserve">분석 대상 : 관세청 수출입무역통계 5종(총괄·품목별·성질별·신성질별·국가별), 2025.01~2026.07, 수리일 기준 · 비교 단위 : 2026.1~7 vs 2025.1~7(전년 동기) · 금액 단위 : 억 달러(원자료 천달러 환산) · 근거 파일 : 수출입실적_통합분석_2025-2026.xlsx</w:t>
      </w:r>
    </w:p>
    <w:tbl>
      <w:tblPr>
        <w:tblW w:type="dxa" w:w="10440"/>
        <w:tblBorders>
          <w:top w:val="single" w:color="1F3864" w:sz="12"/>
          <w:left w:val="single" w:color="1F3864" w:sz="12"/>
          <w:bottom w:val="single" w:color="1F3864" w:sz="12"/>
          <w:right w:val="single" w:color="1F3864" w:sz="12"/>
          <w:insideH w:val="single" w:color="auto" w:sz="4"/>
          <w:insideV w:val="single" w:color="auto" w:sz="4"/>
        </w:tblBorders>
      </w:tblPr>
      <w:tblGrid>
        <w:gridCol w:w="10440"/>
      </w:tblGrid>
      <w:tr>
        <w:tc>
          <w:tcPr>
            <w:tcW w:type="dxa" w:w="10440"/>
            <w:shd w:fill="F2F5FA" w:color="auto" w:val="clear"/>
            <w:tcMar>
              <w:top w:type="dxa" w:w="110"/>
              <w:left w:type="dxa" w:w="150"/>
              <w:bottom w:type="dxa" w:w="110"/>
              <w:right w:type="dxa" w:w="150"/>
            </w:tcMar>
          </w:tcPr>
          <w:p>
            <w:pPr>
              <w:spacing w:after="55"/>
            </w:pPr>
            <w:r>
              <w:rPr>
                <w:rFonts w:ascii="맑은 고딕" w:cs="맑은 고딕" w:eastAsia="맑은 고딕" w:hAnsi="맑은 고딕"/>
                <w:b/>
                <w:bCs/>
                <w:i w:val="false"/>
                <w:iCs w:val="false"/>
                <w:color w:val="1F3864"/>
                <w:sz w:val="20"/>
                <w:szCs w:val="20"/>
              </w:rPr>
              <w:t xml:space="preserve">핵심 결론</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val="false"/>
                <w:bCs w:val="false"/>
                <w:i w:val="false"/>
                <w:iCs w:val="false"/>
                <w:color w:val="000000"/>
                <w:sz w:val="17"/>
                <w:szCs w:val="17"/>
              </w:rPr>
              <w:t xml:space="preserve">수출은 +50.5% 늘었지만 중량은 −4.2% 줄었다. 증가분 1,996.7억 달러의 </w:t>
            </w:r>
            <w:r>
              <w:rPr>
                <w:rFonts w:ascii="맑은 고딕" w:cs="맑은 고딕" w:eastAsia="맑은 고딕" w:hAnsi="맑은 고딕"/>
                <w:b/>
                <w:bCs/>
                <w:i w:val="false"/>
                <w:iCs w:val="false"/>
                <w:color w:val="000000"/>
                <w:sz w:val="17"/>
                <w:szCs w:val="17"/>
              </w:rPr>
              <w:t xml:space="preserve">113%가 가격효과</w:t>
            </w:r>
            <w:r>
              <w:rPr>
                <w:rFonts w:ascii="맑은 고딕" w:cs="맑은 고딕" w:eastAsia="맑은 고딕" w:hAnsi="맑은 고딕"/>
                <w:b w:val="false"/>
                <w:bCs w:val="false"/>
                <w:i w:val="false"/>
                <w:iCs w:val="false"/>
                <w:color w:val="000000"/>
                <w:sz w:val="17"/>
                <w:szCs w:val="17"/>
              </w:rPr>
              <w:t xml:space="preserve">이고 물량효과는 −8.4%다. 더 많이 판 것이 아니라 같은 물량을 훨씬 비싸게 판 결과다.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val="false"/>
                <w:bCs w:val="false"/>
                <w:i w:val="false"/>
                <w:iCs w:val="false"/>
                <w:color w:val="000000"/>
                <w:sz w:val="17"/>
                <w:szCs w:val="17"/>
              </w:rPr>
              <w:t xml:space="preserve">"비싼 품목으로 갈아탄 결과"라는 설명은 성립하지 않는다. 피셔 가격지수 1.514, 물량지수 0.994이고 </w:t>
            </w:r>
            <w:r>
              <w:rPr>
                <w:rFonts w:ascii="맑은 고딕" w:cs="맑은 고딕" w:eastAsia="맑은 고딕" w:hAnsi="맑은 고딕"/>
                <w:b/>
                <w:bCs/>
                <w:i w:val="false"/>
                <w:iCs w:val="false"/>
                <w:color w:val="000000"/>
                <w:sz w:val="17"/>
                <w:szCs w:val="17"/>
              </w:rPr>
              <w:t xml:space="preserve">구성(믹스)효과는 +3.8%p에 불과</w:t>
            </w:r>
            <w:r>
              <w:rPr>
                <w:rFonts w:ascii="맑은 고딕" w:cs="맑은 고딕" w:eastAsia="맑은 고딕" w:hAnsi="맑은 고딕"/>
                <w:b w:val="false"/>
                <w:bCs w:val="false"/>
                <w:i w:val="false"/>
                <w:iCs w:val="false"/>
                <w:color w:val="000000"/>
                <w:sz w:val="17"/>
                <w:szCs w:val="17"/>
              </w:rPr>
              <w:t xml:space="preserve">하다. 구조 고도화가 아니라 가격 사이클이다.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val="false"/>
                <w:bCs w:val="false"/>
                <w:i w:val="false"/>
                <w:iCs w:val="false"/>
                <w:color w:val="000000"/>
                <w:sz w:val="17"/>
                <w:szCs w:val="17"/>
              </w:rPr>
              <w:t xml:space="preserve">HS85(전기기기·반도체)는 물량 −0.7%에 단가 +110.0%로 증가분의 </w:t>
            </w:r>
            <w:r>
              <w:rPr>
                <w:rFonts w:ascii="맑은 고딕" w:cs="맑은 고딕" w:eastAsia="맑은 고딕" w:hAnsi="맑은 고딕"/>
                <w:b/>
                <w:bCs/>
                <w:i w:val="false"/>
                <w:iCs w:val="false"/>
                <w:color w:val="000000"/>
                <w:sz w:val="17"/>
                <w:szCs w:val="17"/>
              </w:rPr>
              <w:t xml:space="preserve">67.0%</w:t>
            </w:r>
            <w:r>
              <w:rPr>
                <w:rFonts w:ascii="맑은 고딕" w:cs="맑은 고딕" w:eastAsia="맑은 고딕" w:hAnsi="맑은 고딕"/>
                <w:b w:val="false"/>
                <w:bCs w:val="false"/>
                <w:i w:val="false"/>
                <w:iCs w:val="false"/>
                <w:color w:val="000000"/>
                <w:sz w:val="17"/>
                <w:szCs w:val="17"/>
              </w:rPr>
              <w:t xml:space="preserve">를 혼자 만들었다. HS84까지 더하면 85%. 반면 HS87(차량)은 −1.0%로 역성장해 낙수효과가 확인되지 않는다.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val="false"/>
                <w:bCs w:val="false"/>
                <w:i w:val="false"/>
                <w:iCs w:val="false"/>
                <w:color w:val="000000"/>
                <w:sz w:val="17"/>
                <w:szCs w:val="17"/>
              </w:rPr>
              <w:t xml:space="preserve">상위 20개국 중 13개국이 HS85와 상관계수 0.8 이상이고 이들이 상위 20개국 수출의 90%를 차지한다. </w:t>
            </w:r>
            <w:r>
              <w:rPr>
                <w:rFonts w:ascii="맑은 고딕" w:cs="맑은 고딕" w:eastAsia="맑은 고딕" w:hAnsi="맑은 고딕"/>
                <w:b/>
                <w:bCs/>
                <w:i w:val="false"/>
                <w:iCs w:val="false"/>
                <w:color w:val="000000"/>
                <w:sz w:val="17"/>
                <w:szCs w:val="17"/>
              </w:rPr>
              <w:t xml:space="preserve">지역을 늘려도 같은 반도체 사이클 위에 있어 분산 효과가 없다</w:t>
            </w:r>
            <w:r>
              <w:rPr>
                <w:rFonts w:ascii="맑은 고딕" w:cs="맑은 고딕" w:eastAsia="맑은 고딕" w:hAnsi="맑은 고딕"/>
                <w:b w:val="false"/>
                <w:bCs w:val="false"/>
                <w:i w:val="false"/>
                <w:iCs w:val="false"/>
                <w:color w:val="000000"/>
                <w:sz w:val="17"/>
                <w:szCs w:val="17"/>
              </w:rPr>
              <w:t xml:space="preserve">.</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val="false"/>
                <w:bCs w:val="false"/>
                <w:i w:val="false"/>
                <w:iCs w:val="false"/>
                <w:color w:val="000000"/>
                <w:sz w:val="17"/>
                <w:szCs w:val="17"/>
              </w:rPr>
              <w:t xml:space="preserve">IT 수출금액이 20% 줄면 수출은 −9.8%인데 무역수지는 −34.7%로 3.5배 증폭된다. 흑자가 사라지는 임계점은 </w:t>
            </w:r>
            <w:r>
              <w:rPr>
                <w:rFonts w:ascii="맑은 고딕" w:cs="맑은 고딕" w:eastAsia="맑은 고딕" w:hAnsi="맑은 고딕"/>
                <w:b/>
                <w:bCs/>
                <w:i w:val="false"/>
                <w:iCs w:val="false"/>
                <w:color w:val="000000"/>
                <w:sz w:val="17"/>
                <w:szCs w:val="17"/>
              </w:rPr>
              <w:t xml:space="preserve">IT −57.7%</w:t>
            </w:r>
            <w:r>
              <w:rPr>
                <w:rFonts w:ascii="맑은 고딕" w:cs="맑은 고딕" w:eastAsia="맑은 고딕" w:hAnsi="맑은 고딕"/>
                <w:b w:val="false"/>
                <w:bCs w:val="false"/>
                <w:i w:val="false"/>
                <w:iCs w:val="false"/>
                <w:color w:val="000000"/>
                <w:sz w:val="17"/>
                <w:szCs w:val="17"/>
              </w:rPr>
              <w:t xml:space="preserve">. 흑자 1,677.6억 달러는 체력이 아니라 반도체 가격의 함수다.</w:t>
            </w:r>
          </w:p>
        </w:tc>
      </w:tr>
    </w:tbl>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1. 핵심 지표 — 금액과 물량이 반대로 움직였다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아래 표는 이 보고서 전체의 출발점이다. 수출 금액은 7개월 만에 1,996.7억 달러(+50.5%) 늘었는데, 같은 기간 수출 중량은 487만 톤(−4.2%) 줄었다. 금액과 물량이 서로 반대 방향으로 움직였다는 사실 하나만으로도 이번 증가가 "많이 팔아서" 생긴 것이 아님이 드러난다.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000"/>
        <w:gridCol w:w="1420"/>
        <w:gridCol w:w="1420"/>
        <w:gridCol w:w="1420"/>
        <w:gridCol w:w="1080"/>
        <w:gridCol w:w="3100"/>
      </w:tblGrid>
      <w:tr>
        <w:trPr>
          <w:cantSplit/>
          <w:tblHeader/>
        </w:trPr>
        <w:tc>
          <w:tcPr>
            <w:tcW w:type="dxa" w:w="20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지표</w:t>
            </w:r>
          </w:p>
        </w:tc>
        <w:tc>
          <w:tcPr>
            <w:tcW w:type="dxa" w:w="142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2025.1~7</w:t>
            </w:r>
          </w:p>
        </w:tc>
        <w:tc>
          <w:tcPr>
            <w:tcW w:type="dxa" w:w="142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2026.1~7</w:t>
            </w:r>
          </w:p>
        </w:tc>
        <w:tc>
          <w:tcPr>
            <w:tcW w:type="dxa" w:w="142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증감</w:t>
            </w:r>
          </w:p>
        </w:tc>
        <w:tc>
          <w:tcPr>
            <w:tcW w:type="dxa" w:w="10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증감률</w:t>
            </w:r>
          </w:p>
        </w:tc>
        <w:tc>
          <w:tcPr>
            <w:tcW w:type="dxa" w:w="31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무엇을 뜻하는가</w:t>
            </w:r>
          </w:p>
        </w:tc>
      </w:tr>
      <w:tr>
        <w:trPr>
          <w:cantSplit/>
        </w:trPr>
        <w:tc>
          <w:tcPr>
            <w:tcW w:type="dxa" w:w="20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수출 금액</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3,953.9억$</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5,950.6억$</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+1,996.7억$</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+50.5%</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2025년 연간 수출의 83.9%를 7개월에 달성</w:t>
            </w:r>
          </w:p>
        </w:tc>
      </w:tr>
      <w:tr>
        <w:trPr>
          <w:cantSplit/>
        </w:trPr>
        <w:tc>
          <w:tcPr>
            <w:tcW w:type="dxa" w:w="20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수출 중량</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1억1,474만t</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1억987만t</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−487만t</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−4.2%</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실어 보낸 양은 오히려 감소</w:t>
            </w:r>
          </w:p>
        </w:tc>
      </w:tr>
      <w:tr>
        <w:trPr>
          <w:cantSplit/>
        </w:trPr>
        <w:tc>
          <w:tcPr>
            <w:tcW w:type="dxa" w:w="20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수출 단가</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3.446</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5.416</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+1.970</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+57.2%</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천달러/톤 · 금액 증가율보다 높다</w:t>
            </w:r>
          </w:p>
        </w:tc>
      </w:tr>
      <w:tr>
        <w:trPr>
          <w:cantSplit/>
        </w:trPr>
        <w:tc>
          <w:tcPr>
            <w:tcW w:type="dxa" w:w="20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수출 건수</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780.4만건</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792.0만건</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+11.7만건</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+1.5%</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통관 건수는 사실상 제자리</w:t>
            </w:r>
          </w:p>
        </w:tc>
      </w:tr>
      <w:tr>
        <w:trPr>
          <w:cantSplit/>
        </w:trPr>
        <w:tc>
          <w:tcPr>
            <w:tcW w:type="dxa" w:w="20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건당 수출금액</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50.7천$</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75.1천$</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+24.4천$</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+48.3%</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건수는 그대로인데 건당 가치만 커졌다</w:t>
            </w:r>
          </w:p>
        </w:tc>
      </w:tr>
      <w:tr>
        <w:trPr>
          <w:cantSplit/>
        </w:trPr>
        <w:tc>
          <w:tcPr>
            <w:tcW w:type="dxa" w:w="20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일평균 수출</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25.4억$</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38.0억$</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+12.6억$</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+49.5%</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조업일수는 155.5→156.5일(+0.6%)</w:t>
            </w:r>
          </w:p>
        </w:tc>
      </w:tr>
      <w:tr>
        <w:trPr>
          <w:cantSplit/>
        </w:trPr>
        <w:tc>
          <w:tcPr>
            <w:tcW w:type="dxa" w:w="20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수입 금액</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3,614.6억$</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4,273.0억$</w:t>
            </w:r>
          </w:p>
        </w:tc>
        <w:tc>
          <w:tcPr>
            <w:tcW w:type="dxa" w:w="14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+658.5억$</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+18.2%</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수출 증가액의 33%만 따라 늘었다</w:t>
            </w:r>
          </w:p>
        </w:tc>
      </w:tr>
      <w:tr>
        <w:trPr>
          <w:cantSplit/>
        </w:trPr>
        <w:tc>
          <w:tcPr>
            <w:tcW w:type="dxa" w:w="20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수입 중량</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3억99만t</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3억1,384만t</w:t>
            </w:r>
          </w:p>
        </w:tc>
        <w:tc>
          <w:tcPr>
            <w:tcW w:type="dxa" w:w="14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+386만t</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+1.2%</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투입 물량은 거의 그대로</w:t>
            </w:r>
          </w:p>
        </w:tc>
      </w:tr>
      <w:tr>
        <w:trPr>
          <w:cantSplit/>
        </w:trPr>
        <w:tc>
          <w:tcPr>
            <w:tcW w:type="dxa" w:w="20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000000"/>
                <w:sz w:val="16"/>
                <w:szCs w:val="16"/>
              </w:rPr>
              <w:t xml:space="preserve">무역수지</w:t>
            </w:r>
          </w:p>
        </w:tc>
        <w:tc>
          <w:tcPr>
            <w:tcW w:type="dxa" w:w="142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339.3억$</w:t>
            </w:r>
          </w:p>
        </w:tc>
        <w:tc>
          <w:tcPr>
            <w:tcW w:type="dxa" w:w="142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1,677.6억$</w:t>
            </w:r>
          </w:p>
        </w:tc>
        <w:tc>
          <w:tcPr>
            <w:tcW w:type="dxa" w:w="142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+1,338.3억$</w:t>
            </w:r>
          </w:p>
        </w:tc>
        <w:tc>
          <w:tcPr>
            <w:tcW w:type="dxa" w:w="108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+394.4%</w:t>
            </w:r>
          </w:p>
        </w:tc>
        <w:tc>
          <w:tcPr>
            <w:tcW w:type="dxa" w:w="31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증가폭 대부분이 수출 단가에서 발생</w:t>
            </w:r>
          </w:p>
        </w:tc>
      </w:tr>
    </w:tbl>
    <w:p>
      <w:pPr>
        <w:spacing w:after="120" w:before="35"/>
      </w:pPr>
      <w:r>
        <w:rPr>
          <w:rFonts w:ascii="맑은 고딕" w:cs="맑은 고딕" w:eastAsia="맑은 고딕" w:hAnsi="맑은 고딕"/>
          <w:b w:val="false"/>
          <w:bCs w:val="false"/>
          <w:i/>
          <w:iCs/>
          <w:color w:val="595959"/>
          <w:sz w:val="14"/>
          <w:szCs w:val="14"/>
        </w:rPr>
        <w:t xml:space="preserve">표 1. 핵심 지표 요약. 출처 : 분석2_월별추이, 분석8_물량·가격분해. 원자료 천달러를 억 달러로 환산(1억 달러 = 100,000천달러).</w:t>
      </w:r>
    </w:p>
    <w:p>
      <w:pPr>
        <w:keepNext/>
        <w:spacing w:after="30" w:before="110"/>
      </w:pPr>
      <w:r>
        <w:rPr>
          <w:rFonts w:ascii="맑은 고딕" w:cs="맑은 고딕" w:eastAsia="맑은 고딕" w:hAnsi="맑은 고딕"/>
          <w:b/>
          <w:bCs/>
          <w:i w:val="false"/>
          <w:iCs w:val="false"/>
          <w:color w:val="1F3864"/>
          <w:sz w:val="16"/>
          <w:szCs w:val="16"/>
        </w:rPr>
        <w:t xml:space="preserve">그림 1. 월별 수출·수입 금액과 무역수지 (2025.01~2026.07)</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막대 = 좌축(수출·수입 금액), 회색 선 = 우축(무역수지). 출처 : 분석6_그래프.</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2025년 내내 파란 막대(수출)는 492~695억 달러 사이 박스권이었고 주황 막대(수입)와 높이가 비슷했다. 2026년 1월부터 파란 막대만 계단식으로 올라가 6월 1,019.6억 달러로 정점을 찍고 7월 989.6억 달러로 한 계단 내려온다. 반면 주황 막대는 19개월 내내 483~686억 달러 대역에서 완만하게만 오른다. 그래서 두 막대의 높이 차이, 즉 회색 선(무역수지)이 2025년 1월 −20.0억 달러 적자에서 2026년 6월 +359.0억 달러까지 벌어진다. </w:t>
      </w:r>
      <w:r>
        <w:rPr>
          <w:rFonts w:ascii="맑은 고딕" w:cs="맑은 고딕" w:eastAsia="맑은 고딕" w:hAnsi="맑은 고딕"/>
          <w:b/>
          <w:bCs/>
          <w:i w:val="false"/>
          <w:iCs w:val="false"/>
          <w:color w:val="000000"/>
          <w:sz w:val="19"/>
          <w:szCs w:val="19"/>
        </w:rPr>
        <w:t xml:space="preserve">수출만 뛰고 수입은 따라 뛰지 않은 이 비대칭이 흑자 확대의 전부</w:t>
      </w:r>
      <w:r>
        <w:rPr>
          <w:rFonts w:ascii="맑은 고딕" w:cs="맑은 고딕" w:eastAsia="맑은 고딕" w:hAnsi="맑은 고딕"/>
          <w:b w:val="false"/>
          <w:bCs w:val="false"/>
          <w:i w:val="false"/>
          <w:iCs w:val="false"/>
          <w:color w:val="000000"/>
          <w:sz w:val="19"/>
          <w:szCs w:val="19"/>
        </w:rPr>
        <w:t xml:space="preserve">다.</w:t>
      </w:r>
    </w:p>
    <w:p>
      <w:pPr>
        <w:keepNext/>
        <w:spacing w:after="40" w:before="130"/>
      </w:pPr>
      <w:r>
        <w:rPr>
          <w:rFonts w:ascii="맑은 고딕" w:cs="맑은 고딕" w:eastAsia="맑은 고딕" w:hAnsi="맑은 고딕"/>
          <w:b/>
          <w:bCs/>
          <w:i w:val="false"/>
          <w:iCs w:val="false"/>
          <w:color w:val="2E5395"/>
          <w:sz w:val="19"/>
          <w:szCs w:val="19"/>
        </w:rPr>
        <w:t xml:space="preserve">숫자 이면 — 수출과 수입이 갈라진 것이 왜 중요한가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생산이 늘어서 수출이 증가한 것이라면 원자재·중간재 수입이 비슷한 속도로 따라 늘어야 한다. 한국처럼 소재를 들여와 가공해 내보내는 구조에서는 특히 그렇다. 그런데 수입 금액은 +18.2%, </w:t>
      </w:r>
      <w:r>
        <w:rPr>
          <w:rFonts w:ascii="맑은 고딕" w:cs="맑은 고딕" w:eastAsia="맑은 고딕" w:hAnsi="맑은 고딕"/>
          <w:b/>
          <w:bCs/>
          <w:i w:val="false"/>
          <w:iCs w:val="false"/>
          <w:color w:val="000000"/>
          <w:sz w:val="19"/>
          <w:szCs w:val="19"/>
        </w:rPr>
        <w:t xml:space="preserve">수입 중량은 +1.2%에 그쳤다</w:t>
      </w:r>
      <w:r>
        <w:rPr>
          <w:rFonts w:ascii="맑은 고딕" w:cs="맑은 고딕" w:eastAsia="맑은 고딕" w:hAnsi="맑은 고딕"/>
          <w:b w:val="false"/>
          <w:bCs w:val="false"/>
          <w:i w:val="false"/>
          <w:iCs w:val="false"/>
          <w:color w:val="000000"/>
          <w:sz w:val="19"/>
          <w:szCs w:val="19"/>
        </w:rPr>
        <w:t xml:space="preserve">. 공장에 들어간 물리적 투입량이 거의 그대로였다는 뜻이고, 그렇다면 수출 금액 +50.5%는 생산량 확대에서 나온 것일 수 없다. 남는 설명은 하나, 같은 물건을 더 비싸게 팔았다는 것이다.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통관 건수가 이를 다시 확인해 준다. 수출 건수는 +1.5%로 사실상 제자리인데 건당 금액은 50.7 → 75.1천 달러로 +48.3% 뛰었다. </w:t>
      </w:r>
      <w:r>
        <w:rPr>
          <w:rFonts w:ascii="맑은 고딕" w:cs="맑은 고딕" w:eastAsia="맑은 고딕" w:hAnsi="맑은 고딕"/>
          <w:b/>
          <w:bCs/>
          <w:i w:val="false"/>
          <w:iCs w:val="false"/>
          <w:color w:val="000000"/>
          <w:sz w:val="19"/>
          <w:szCs w:val="19"/>
        </w:rPr>
        <w:t xml:space="preserve">컨테이너 수와 통관 서류 수는 그대로인데 인보이스에 적힌 금액만 커진 그림</w:t>
      </w:r>
      <w:r>
        <w:rPr>
          <w:rFonts w:ascii="맑은 고딕" w:cs="맑은 고딕" w:eastAsia="맑은 고딕" w:hAnsi="맑은 고딕"/>
          <w:b w:val="false"/>
          <w:bCs w:val="false"/>
          <w:i w:val="false"/>
          <w:iCs w:val="false"/>
          <w:color w:val="000000"/>
          <w:sz w:val="19"/>
          <w:szCs w:val="19"/>
        </w:rPr>
        <w:t xml:space="preserve">이다. 이는 물류·항만·창고·포장 등 수출 확대에 따라오던 파생 수요가 이번에는 거의 발생하지 않았음을 시사한다. 수출액 증가가 곧 국내 경기 전반의 온기로 번지지 않는 구조적 이유가 여기에 있다.</w:t>
      </w:r>
    </w:p>
    <w:p>
      <w:pPr>
        <w:spacing w:after="60" w:before="60" w:line="255"/>
        <w:jc w:val="both"/>
      </w:pPr>
      <w:r>
        <w:rPr>
          <w:rFonts w:ascii="맑은 고딕" w:cs="맑은 고딕" w:eastAsia="맑은 고딕" w:hAnsi="맑은 고딕"/>
          <w:b/>
          <w:bCs/>
          <w:i w:val="false"/>
          <w:iCs w:val="false"/>
          <w:color w:val="000000"/>
          <w:sz w:val="19"/>
          <w:szCs w:val="19"/>
        </w:rPr>
        <w:t xml:space="preserve">조업일수 효과도 배제된다. </w:t>
      </w:r>
      <w:r>
        <w:rPr>
          <w:rFonts w:ascii="맑은 고딕" w:cs="맑은 고딕" w:eastAsia="맑은 고딕" w:hAnsi="맑은 고딕"/>
          <w:b w:val="false"/>
          <w:bCs w:val="false"/>
          <w:i w:val="false"/>
          <w:iCs w:val="false"/>
          <w:color w:val="000000"/>
          <w:sz w:val="19"/>
          <w:szCs w:val="19"/>
        </w:rPr>
        <w:t xml:space="preserve">2025년 1~7월 155.5일, 2026년 같은 기간 156.5일로 +0.6%뿐이다. 일평균 수출이 25.4 → 38.0억 달러(+49.5%)로 월 합계 증가율(+50.5%)과 거의 같다는 것은, 이번 증가가 "영업일이 많아서 생긴 착시"가 전혀 아니라는 뜻이다. 다만 개별 월을 볼 때는 여전히 주의가 필요하다. 2026년 7월은 조업일수가 24일로 6월(22.5일)보다 많아, 월 합계로는 −2.9%인 감소가 일평균 기준으로는 −9.0%가 된다.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2. 수출 증가의 분해 — 물량인가 가격인가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금액은 물량 × 단가이므로, 금액 증감은 세 조각으로 정확히 나뉜다. 물량효과 (Q₁−Q₀)×P₀는 "단가가 작년 그대로였는데 물량만 변했다면"에 해당하는 몫이고, 가격효과 (P₁−P₀)×Q₀는 "물량이 작년 그대로였는데 단가만 변했다면"에 해당하는 몫이며, 교차효과는 둘이 동시에 변해 생긴 나머지다. 세 값의 합은 실제 증감액과 반드시 일치해야 하고, 실제로 일치한다(엑셀에서 항등식 검증 완료).</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600"/>
        <w:gridCol w:w="1600"/>
        <w:gridCol w:w="1400"/>
        <w:gridCol w:w="4840"/>
      </w:tblGrid>
      <w:tr>
        <w:trPr>
          <w:cantSplit/>
          <w:tblHeader/>
        </w:trPr>
        <w:tc>
          <w:tcPr>
            <w:tcW w:type="dxa" w:w="26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효과</w:t>
            </w:r>
          </w:p>
        </w:tc>
        <w:tc>
          <w:tcPr>
            <w:tcW w:type="dxa" w:w="16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금액</w:t>
            </w:r>
          </w:p>
        </w:tc>
        <w:tc>
          <w:tcPr>
            <w:tcW w:type="dxa" w:w="14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증가분 대비</w:t>
            </w:r>
          </w:p>
        </w:tc>
        <w:tc>
          <w:tcPr>
            <w:tcW w:type="dxa" w:w="48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해석</w:t>
            </w:r>
          </w:p>
        </w:tc>
      </w:tr>
      <w:tr>
        <w:trPr>
          <w:cantSplit/>
        </w:trPr>
        <w:tc>
          <w:tcPr>
            <w:tcW w:type="dxa" w:w="2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물량효과 (Q₁−Q₀)×P₀</w:t>
            </w:r>
          </w:p>
        </w:tc>
        <w:tc>
          <w:tcPr>
            <w:tcW w:type="dxa" w:w="16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−167.8억$</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−8.4%</w:t>
            </w:r>
          </w:p>
        </w:tc>
        <w:tc>
          <w:tcPr>
            <w:tcW w:type="dxa" w:w="4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물량이 줄어 증가분을 깎아먹었다</w:t>
            </w:r>
          </w:p>
        </w:tc>
      </w:tr>
      <w:tr>
        <w:trPr>
          <w:cantSplit/>
        </w:trPr>
        <w:tc>
          <w:tcPr>
            <w:tcW w:type="dxa" w:w="26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가격효과 (P₁−P₀)×Q₀</w:t>
            </w:r>
          </w:p>
        </w:tc>
        <w:tc>
          <w:tcPr>
            <w:tcW w:type="dxa" w:w="16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+2,260.5억$</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+113.2%</w:t>
            </w:r>
          </w:p>
        </w:tc>
        <w:tc>
          <w:tcPr>
            <w:tcW w:type="dxa" w:w="4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증가의 전부이자 그 이상이 여기서 나왔다</w:t>
            </w:r>
          </w:p>
        </w:tc>
      </w:tr>
      <w:tr>
        <w:trPr>
          <w:cantSplit/>
        </w:trPr>
        <w:tc>
          <w:tcPr>
            <w:tcW w:type="dxa" w:w="2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교차효과 (Q₁−Q₀)×(P₁−P₀)</w:t>
            </w:r>
          </w:p>
        </w:tc>
        <w:tc>
          <w:tcPr>
            <w:tcW w:type="dxa" w:w="16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−95.9억$</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−4.8%</w:t>
            </w:r>
          </w:p>
        </w:tc>
        <w:tc>
          <w:tcPr>
            <w:tcW w:type="dxa" w:w="4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줄어든 물량을 비싼 값에 못 판 기회손실</w:t>
            </w:r>
          </w:p>
        </w:tc>
      </w:tr>
      <w:tr>
        <w:trPr>
          <w:cantSplit/>
        </w:trPr>
        <w:tc>
          <w:tcPr>
            <w:tcW w:type="dxa" w:w="26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000000"/>
                <w:sz w:val="16"/>
                <w:szCs w:val="16"/>
              </w:rPr>
              <w:t xml:space="preserve">합계 = 실제 증감</w:t>
            </w:r>
          </w:p>
        </w:tc>
        <w:tc>
          <w:tcPr>
            <w:tcW w:type="dxa" w:w="16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+1,996.7억$</w:t>
            </w:r>
          </w:p>
        </w:tc>
        <w:tc>
          <w:tcPr>
            <w:tcW w:type="dxa" w:w="14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100.0%</w:t>
            </w:r>
          </w:p>
        </w:tc>
        <w:tc>
          <w:tcPr>
            <w:tcW w:type="dxa" w:w="484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분해 항등식 검증 OK</w:t>
            </w:r>
          </w:p>
        </w:tc>
      </w:tr>
    </w:tbl>
    <w:p>
      <w:pPr>
        <w:spacing w:after="120" w:before="35"/>
      </w:pPr>
      <w:r>
        <w:rPr>
          <w:rFonts w:ascii="맑은 고딕" w:cs="맑은 고딕" w:eastAsia="맑은 고딕" w:hAnsi="맑은 고딕"/>
          <w:b w:val="false"/>
          <w:bCs w:val="false"/>
          <w:i/>
          <w:iCs/>
          <w:color w:val="595959"/>
          <w:sz w:val="14"/>
          <w:szCs w:val="14"/>
        </w:rPr>
        <w:t xml:space="preserve">표 2. 수출 증감의 3효과 분해. 출처 : 분석8_물량·가격분해 [A].</w:t>
      </w:r>
    </w:p>
    <w:p>
      <w:pPr>
        <w:keepNext/>
        <w:spacing w:after="30" w:before="110"/>
      </w:pPr>
      <w:r>
        <w:rPr>
          <w:rFonts w:ascii="맑은 고딕" w:cs="맑은 고딕" w:eastAsia="맑은 고딕" w:hAnsi="맑은 고딕"/>
          <w:b/>
          <w:bCs/>
          <w:i w:val="false"/>
          <w:iCs w:val="false"/>
          <w:color w:val="1F3864"/>
          <w:sz w:val="16"/>
          <w:szCs w:val="16"/>
        </w:rPr>
        <w:t xml:space="preserve">그림 2. 수출 증가의 분해 — 물량효과 vs 가격효과</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가운데 막대만 양(+)이고 좌우 두 막대는 음(−)이다.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세 막대의 크기 차이가 압도적이다. 가격효과 막대는 2,260억 달러 높이로 홀로 솟아 있고, 물량효과와 교차효과는 0선 아래에 작게 걸려 있다. 가격효과가 100%를 넘는 113.2%인 이유도 여기에 있다. 물량이 줄어 만들어낸 마이너스(−8.4%)와 교차효과의 마이너스(−4.8%)를 가격효과가 메우고도 남았기 때문이다. </w:t>
      </w:r>
      <w:r>
        <w:rPr>
          <w:rFonts w:ascii="맑은 고딕" w:cs="맑은 고딕" w:eastAsia="맑은 고딕" w:hAnsi="맑은 고딕"/>
          <w:b/>
          <w:bCs/>
          <w:i w:val="false"/>
          <w:iCs w:val="false"/>
          <w:color w:val="000000"/>
          <w:sz w:val="19"/>
          <w:szCs w:val="19"/>
        </w:rPr>
        <w:t xml:space="preserve">즉 가격이 오르지 않았다면 2026년 1~7월 수출은 전년 동기보다 오히려 줄었을 것</w:t>
      </w:r>
      <w:r>
        <w:rPr>
          <w:rFonts w:ascii="맑은 고딕" w:cs="맑은 고딕" w:eastAsia="맑은 고딕" w:hAnsi="맑은 고딕"/>
          <w:b w:val="false"/>
          <w:bCs w:val="false"/>
          <w:i w:val="false"/>
          <w:iCs w:val="false"/>
          <w:color w:val="000000"/>
          <w:sz w:val="19"/>
          <w:szCs w:val="19"/>
        </w:rPr>
        <w:t xml:space="preserve">이다.</w:t>
      </w:r>
    </w:p>
    <w:p>
      <w:pPr>
        <w:keepNext/>
        <w:spacing w:after="40" w:before="130"/>
      </w:pPr>
      <w:r>
        <w:rPr>
          <w:rFonts w:ascii="맑은 고딕" w:cs="맑은 고딕" w:eastAsia="맑은 고딕" w:hAnsi="맑은 고딕"/>
          <w:b/>
          <w:bCs/>
          <w:i w:val="false"/>
          <w:iCs w:val="false"/>
          <w:color w:val="2E5395"/>
          <w:sz w:val="19"/>
          <w:szCs w:val="19"/>
        </w:rPr>
        <w:t xml:space="preserve">반론 검증 — "비싼 품목으로 갈아탄 것 아닌가"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단가 상승에는 두 가지 원인이 섞일 수 있다. 하나는 팔던 품목의 값 자체가 오른 것(순수 가격효과)이고, 다른 하나는 원래 비싼 품목의 비중이 커져 평균 단가가 올라 보이는 것(구성·믹스효과)이다. 후자라면 이는 수출 구조의 고도화이므로 성격이 전혀 다르다. 이를 가르기 위해 중량 자료가 있는 신성질별 중분류 14개로 표준 지수를 계산했다.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600"/>
        <w:gridCol w:w="1300"/>
        <w:gridCol w:w="1300"/>
        <w:gridCol w:w="5240"/>
      </w:tblGrid>
      <w:tr>
        <w:trPr>
          <w:cantSplit/>
          <w:tblHeader/>
        </w:trPr>
        <w:tc>
          <w:tcPr>
            <w:tcW w:type="dxa" w:w="26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지수</w:t>
            </w:r>
          </w:p>
        </w:tc>
        <w:tc>
          <w:tcPr>
            <w:tcW w:type="dxa" w:w="13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값</w:t>
            </w:r>
          </w:p>
        </w:tc>
        <w:tc>
          <w:tcPr>
            <w:tcW w:type="dxa" w:w="13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증감률</w:t>
            </w:r>
          </w:p>
        </w:tc>
        <w:tc>
          <w:tcPr>
            <w:tcW w:type="dxa" w:w="52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읽는 법</w:t>
            </w:r>
          </w:p>
        </w:tc>
      </w:tr>
      <w:tr>
        <w:trPr>
          <w:cantSplit/>
        </w:trPr>
        <w:tc>
          <w:tcPr>
            <w:tcW w:type="dxa" w:w="2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라스파이레스 물량지수</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0.9895</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−1.05%</w:t>
            </w:r>
          </w:p>
        </w:tc>
        <w:tc>
          <w:tcPr>
            <w:tcW w:type="dxa" w:w="52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작년 가격으로 고정하고 물량만 비교</w:t>
            </w:r>
          </w:p>
        </w:tc>
      </w:tr>
      <w:tr>
        <w:trPr>
          <w:cantSplit/>
        </w:trPr>
        <w:tc>
          <w:tcPr>
            <w:tcW w:type="dxa" w:w="26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파셰 물량지수</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0.9983</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−0.17%</w:t>
            </w:r>
          </w:p>
        </w:tc>
        <w:tc>
          <w:tcPr>
            <w:tcW w:type="dxa" w:w="52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올해 가격으로 고정하고 물량만 비교</w:t>
            </w:r>
          </w:p>
        </w:tc>
      </w:tr>
      <w:tr>
        <w:trPr>
          <w:cantSplit/>
        </w:trPr>
        <w:tc>
          <w:tcPr>
            <w:tcW w:type="dxa" w:w="2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피셔 물량지수</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0.9939</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6"/>
                <w:szCs w:val="16"/>
              </w:rPr>
              <w:t xml:space="preserve">−0.61%</w:t>
            </w:r>
          </w:p>
        </w:tc>
        <w:tc>
          <w:tcPr>
            <w:tcW w:type="dxa" w:w="52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두 지수의 기하평균 — 물량은 사실상 보합</w:t>
            </w:r>
          </w:p>
        </w:tc>
      </w:tr>
      <w:tr>
        <w:trPr>
          <w:cantSplit/>
        </w:trPr>
        <w:tc>
          <w:tcPr>
            <w:tcW w:type="dxa" w:w="26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피셔 가격지수</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1.5142</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+51.42%</w:t>
            </w:r>
          </w:p>
        </w:tc>
        <w:tc>
          <w:tcPr>
            <w:tcW w:type="dxa" w:w="52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순수한 값 상승분</w:t>
            </w:r>
          </w:p>
        </w:tc>
      </w:tr>
      <w:tr>
        <w:trPr>
          <w:cantSplit/>
        </w:trPr>
        <w:tc>
          <w:tcPr>
            <w:tcW w:type="dxa" w:w="2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6"/>
                <w:szCs w:val="16"/>
              </w:rPr>
              <w:t xml:space="preserve">금액지수</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1.5050</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+50.50%</w:t>
            </w:r>
          </w:p>
        </w:tc>
        <w:tc>
          <w:tcPr>
            <w:tcW w:type="dxa" w:w="52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6"/>
                <w:szCs w:val="16"/>
              </w:rPr>
              <w:t xml:space="preserve">피셔 물량 × 피셔 가격과 일치(항등식 검증)</w:t>
            </w:r>
          </w:p>
        </w:tc>
      </w:tr>
      <w:tr>
        <w:trPr>
          <w:cantSplit/>
        </w:trPr>
        <w:tc>
          <w:tcPr>
            <w:tcW w:type="dxa" w:w="26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000000"/>
                <w:sz w:val="16"/>
                <w:szCs w:val="16"/>
              </w:rPr>
              <w:t xml:space="preserve">구성(믹스)효과</w:t>
            </w:r>
          </w:p>
        </w:tc>
        <w:tc>
          <w:tcPr>
            <w:tcW w:type="dxa" w:w="13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1.0380</w:t>
            </w:r>
          </w:p>
        </w:tc>
        <w:tc>
          <w:tcPr>
            <w:tcW w:type="dxa" w:w="13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+3.80%p</w:t>
            </w:r>
          </w:p>
        </w:tc>
        <w:tc>
          <w:tcPr>
            <w:tcW w:type="dxa" w:w="524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6"/>
                <w:szCs w:val="16"/>
              </w:rPr>
              <w:t xml:space="preserve">단순 단가 상승(+57.2%) 중 품목 구성 변화 몫</w:t>
            </w:r>
          </w:p>
        </w:tc>
      </w:tr>
    </w:tbl>
    <w:p>
      <w:pPr>
        <w:spacing w:after="120" w:before="35"/>
      </w:pPr>
      <w:r>
        <w:rPr>
          <w:rFonts w:ascii="맑은 고딕" w:cs="맑은 고딕" w:eastAsia="맑은 고딕" w:hAnsi="맑은 고딕"/>
          <w:b w:val="false"/>
          <w:bCs w:val="false"/>
          <w:i/>
          <w:iCs/>
          <w:color w:val="595959"/>
          <w:sz w:val="14"/>
          <w:szCs w:val="14"/>
        </w:rPr>
        <w:t xml:space="preserve">표 3. 물량·가격지수 분해. 출처 : 분석8_물량·가격분해 [C].</w:t>
      </w:r>
    </w:p>
    <w:p>
      <w:pPr>
        <w:spacing w:after="60" w:before="60" w:line="255"/>
        <w:jc w:val="both"/>
      </w:pPr>
      <w:r>
        <w:rPr>
          <w:rFonts w:ascii="맑은 고딕" w:cs="맑은 고딕" w:eastAsia="맑은 고딕" w:hAnsi="맑은 고딕"/>
          <w:b/>
          <w:bCs/>
          <w:i w:val="false"/>
          <w:iCs w:val="false"/>
          <w:color w:val="000000"/>
          <w:sz w:val="19"/>
          <w:szCs w:val="19"/>
        </w:rPr>
        <w:t xml:space="preserve">결론은 분명하다. </w:t>
      </w:r>
      <w:r>
        <w:rPr>
          <w:rFonts w:ascii="맑은 고딕" w:cs="맑은 고딕" w:eastAsia="맑은 고딕" w:hAnsi="맑은 고딕"/>
          <w:b w:val="false"/>
          <w:bCs w:val="false"/>
          <w:i w:val="false"/>
          <w:iCs w:val="false"/>
          <w:color w:val="000000"/>
          <w:sz w:val="19"/>
          <w:szCs w:val="19"/>
        </w:rPr>
        <w:t xml:space="preserve">단순 단가 상승 +57.2% 가운데 순수 가격 상승이 +51.4%이고 구성 변화가 만든 몫은 +3.8%p뿐이다. 수출 구조가 고부가가치로 재편되어 평균 단가가 올랐다는 설명은 데이터가 지지하지 않는다. 라스파이레스와 파셰 물량지수가 0.9895와 0.9983으로 서로 가깝다는 점도 중요하다. 두 지수가 크게 벌어지면 가중치 선택에 따라 결론이 달라지지만, 이 경우는 어느 쪽으로 계산해도 </w:t>
      </w:r>
      <w:r>
        <w:rPr>
          <w:rFonts w:ascii="맑은 고딕" w:cs="맑은 고딕" w:eastAsia="맑은 고딕" w:hAnsi="맑은 고딕"/>
          <w:b/>
          <w:bCs/>
          <w:i w:val="false"/>
          <w:iCs w:val="false"/>
          <w:color w:val="000000"/>
          <w:sz w:val="19"/>
          <w:szCs w:val="19"/>
        </w:rPr>
        <w:t xml:space="preserve">물량은 보합, 가격은 +51%</w:t>
      </w:r>
      <w:r>
        <w:rPr>
          <w:rFonts w:ascii="맑은 고딕" w:cs="맑은 고딕" w:eastAsia="맑은 고딕" w:hAnsi="맑은 고딕"/>
          <w:b w:val="false"/>
          <w:bCs w:val="false"/>
          <w:i w:val="false"/>
          <w:iCs w:val="false"/>
          <w:color w:val="000000"/>
          <w:sz w:val="19"/>
          <w:szCs w:val="19"/>
        </w:rPr>
        <w:t xml:space="preserve">라는 결론이 흔들리지 않는다.</w:t>
      </w:r>
    </w:p>
    <w:p>
      <w:pPr>
        <w:keepNext/>
        <w:spacing w:after="40" w:before="130"/>
      </w:pPr>
      <w:r>
        <w:rPr>
          <w:rFonts w:ascii="맑은 고딕" w:cs="맑은 고딕" w:eastAsia="맑은 고딕" w:hAnsi="맑은 고딕"/>
          <w:b/>
          <w:bCs/>
          <w:i w:val="false"/>
          <w:iCs w:val="false"/>
          <w:color w:val="2E5395"/>
          <w:sz w:val="19"/>
          <w:szCs w:val="19"/>
        </w:rPr>
        <w:t xml:space="preserve">덤으로 드러난 것 — 톤 단순합의 함정</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총괄 기준 수출 중량은 −4.2%인데, 금액 가중 물량지수는 −0.6%다. 왜 다른가. 톤 단순합은 무게가 무거운 품목이 지배하기 때문이다. 실제로 광산물(석유제품 등)은 전체 수출 중량의 약 38%를 차지하는데 이 품목이 −7.9% 줄면서 톤 합계를 끌어내렸다. 반면 IT부품은 금액으로 전체의 41%를 차지하면서도 중량은 21만 톤, 전체의 0.2%에 불과하다. 따라서 </w:t>
      </w:r>
      <w:r>
        <w:rPr>
          <w:rFonts w:ascii="맑은 고딕" w:cs="맑은 고딕" w:eastAsia="맑은 고딕" w:hAnsi="맑은 고딕"/>
          <w:b/>
          <w:bCs/>
          <w:i w:val="false"/>
          <w:iCs w:val="false"/>
          <w:color w:val="000000"/>
          <w:sz w:val="19"/>
          <w:szCs w:val="19"/>
        </w:rPr>
        <w:t xml:space="preserve">"물량이 4% 급감했다"는 서술은 과장이고, 부가가치 관점에서 물량은 사실상 보합(−0.6%)</w:t>
      </w:r>
      <w:r>
        <w:rPr>
          <w:rFonts w:ascii="맑은 고딕" w:cs="맑은 고딕" w:eastAsia="맑은 고딕" w:hAnsi="맑은 고딕"/>
          <w:b w:val="false"/>
          <w:bCs w:val="false"/>
          <w:i w:val="false"/>
          <w:iCs w:val="false"/>
          <w:color w:val="000000"/>
          <w:sz w:val="19"/>
          <w:szCs w:val="19"/>
        </w:rPr>
        <w:t xml:space="preserve">으로 보는 편이 정확하다. 이 구분은 실무에서 중요하다. 생산·설비 계획은 톤이 아니라 금액 가중 물량으로 세워야 현실과 맞는다.</w:t>
      </w:r>
    </w:p>
    <w:p>
      <w:pPr>
        <w:keepNext/>
        <w:spacing w:after="40" w:before="130"/>
      </w:pPr>
      <w:r>
        <w:rPr>
          <w:rFonts w:ascii="맑은 고딕" w:cs="맑은 고딕" w:eastAsia="맑은 고딕" w:hAnsi="맑은 고딕"/>
          <w:b/>
          <w:bCs/>
          <w:i w:val="false"/>
          <w:iCs w:val="false"/>
          <w:color w:val="2E5395"/>
          <w:sz w:val="19"/>
          <w:szCs w:val="19"/>
        </w:rPr>
        <w:t xml:space="preserve">성장의 질 — 가격 주도 성장이 남기는 것과 남기지 않는 것</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물량이 늘어난 성장과 가격이 오른 성장은 경제에 남기는 흔적이 다르다. 물량 성장은 설비 증설, 고용, 물류 확충, 협력업체 발주를 동반한다. 가격 성장은 그 대부분을 건너뛰고 곧바로 기업 마진과 무역수지에만 반영된다. 이번 사례에서 수출 건수 +1.5%, 수출 중량 −4.2%, 수입 중량 +1.2%는 모두 </w:t>
      </w:r>
      <w:r>
        <w:rPr>
          <w:rFonts w:ascii="맑은 고딕" w:cs="맑은 고딕" w:eastAsia="맑은 고딕" w:hAnsi="맑은 고딕"/>
          <w:b/>
          <w:bCs/>
          <w:i w:val="false"/>
          <w:iCs w:val="false"/>
          <w:color w:val="000000"/>
          <w:sz w:val="19"/>
          <w:szCs w:val="19"/>
        </w:rPr>
        <w:t xml:space="preserve">생산·물류의 실물 활동이 거의 늘지 않았음</w:t>
      </w:r>
      <w:r>
        <w:rPr>
          <w:rFonts w:ascii="맑은 고딕" w:cs="맑은 고딕" w:eastAsia="맑은 고딕" w:hAnsi="맑은 고딕"/>
          <w:b w:val="false"/>
          <w:bCs w:val="false"/>
          <w:i w:val="false"/>
          <w:iCs w:val="false"/>
          <w:color w:val="000000"/>
          <w:sz w:val="19"/>
          <w:szCs w:val="19"/>
        </w:rPr>
        <w:t xml:space="preserve">을 가리킨다. 수출 지표만 보고 산업 전반의 확장을 전제하는 판단은 위험하다. 동시에 이 성장은 되돌림도 빠르다. 설비와 고용은 한 번 늘면 쉽게 줄지 않지만 가격은 대칭적으로 하락한다. 뒤에 나올 7장의 민감도 분석이 필요한 이유가 여기에 있다.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3. 품목 — 어디가 값으로 올랐고 어디가 물량으로 늘었나</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같은 분해를 HS 2단위 97개 품목에 각각 적용했다. 품목마다 물량효과와 가격효과의 비중이 다르므로, 어느 쪽이 2배 이상 크면 "가격 주도" 또는 "물량 주도"로 자동 분류했다. 상위 품목의 결과는 한쪽으로 크게 기운다.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560"/>
        <w:gridCol w:w="1900"/>
        <w:gridCol w:w="1250"/>
        <w:gridCol w:w="860"/>
        <w:gridCol w:w="860"/>
        <w:gridCol w:w="860"/>
        <w:gridCol w:w="860"/>
        <w:gridCol w:w="3290"/>
      </w:tblGrid>
      <w:tr>
        <w:trPr>
          <w:cantSplit/>
          <w:tblHeader/>
        </w:trPr>
        <w:tc>
          <w:tcPr>
            <w:tcW w:type="dxa" w:w="56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HS</w:t>
            </w:r>
          </w:p>
        </w:tc>
        <w:tc>
          <w:tcPr>
            <w:tcW w:type="dxa" w:w="19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품목</w:t>
            </w:r>
          </w:p>
        </w:tc>
        <w:tc>
          <w:tcPr>
            <w:tcW w:type="dxa" w:w="125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Δ금액</w:t>
            </w:r>
          </w:p>
        </w:tc>
        <w:tc>
          <w:tcPr>
            <w:tcW w:type="dxa" w:w="86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금액</w:t>
            </w:r>
          </w:p>
        </w:tc>
        <w:tc>
          <w:tcPr>
            <w:tcW w:type="dxa" w:w="86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물량</w:t>
            </w:r>
          </w:p>
        </w:tc>
        <w:tc>
          <w:tcPr>
            <w:tcW w:type="dxa" w:w="86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단가</w:t>
            </w:r>
          </w:p>
        </w:tc>
        <w:tc>
          <w:tcPr>
            <w:tcW w:type="dxa" w:w="86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기여도</w:t>
            </w:r>
          </w:p>
        </w:tc>
        <w:tc>
          <w:tcPr>
            <w:tcW w:type="dxa" w:w="329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유형과 배경</w:t>
            </w:r>
          </w:p>
        </w:tc>
      </w:tr>
      <w:tr>
        <w:trPr>
          <w:cantSplit/>
        </w:trPr>
        <w:tc>
          <w:tcPr>
            <w:tcW w:type="dxa" w:w="56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85</w:t>
            </w:r>
          </w:p>
        </w:tc>
        <w:tc>
          <w:tcPr>
            <w:tcW w:type="dxa" w:w="1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전기기기·반도체</w:t>
            </w:r>
          </w:p>
        </w:tc>
        <w:tc>
          <w:tcPr>
            <w:tcW w:type="dxa" w:w="12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+1,337.4억$</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+108.6%</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−0.7%</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+110.0%</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67.0%</w:t>
            </w:r>
          </w:p>
        </w:tc>
        <w:tc>
          <w:tcPr>
            <w:tcW w:type="dxa" w:w="32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가격 주도 — 메모리 가격 급등</w:t>
            </w:r>
          </w:p>
        </w:tc>
      </w:tr>
      <w:tr>
        <w:trPr>
          <w:cantSplit/>
        </w:trPr>
        <w:tc>
          <w:tcPr>
            <w:tcW w:type="dxa" w:w="56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84</w:t>
            </w:r>
          </w:p>
        </w:tc>
        <w:tc>
          <w:tcPr>
            <w:tcW w:type="dxa" w:w="19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기계류(컴퓨터·SSD 포함)</w:t>
            </w:r>
          </w:p>
        </w:tc>
        <w:tc>
          <w:tcPr>
            <w:tcW w:type="dxa" w:w="12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+362.0억$</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+75.5%</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+74.0%</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18.1%</w:t>
            </w:r>
          </w:p>
        </w:tc>
        <w:tc>
          <w:tcPr>
            <w:tcW w:type="dxa" w:w="329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가격 주도 — 저장장치 파급 추정</w:t>
            </w:r>
          </w:p>
        </w:tc>
      </w:tr>
      <w:tr>
        <w:trPr>
          <w:cantSplit/>
        </w:trPr>
        <w:tc>
          <w:tcPr>
            <w:tcW w:type="dxa" w:w="56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27</w:t>
            </w:r>
          </w:p>
        </w:tc>
        <w:tc>
          <w:tcPr>
            <w:tcW w:type="dxa" w:w="1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광물성 연료</w:t>
            </w:r>
          </w:p>
        </w:tc>
        <w:tc>
          <w:tcPr>
            <w:tcW w:type="dxa" w:w="12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+92.8억$</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+34.3%</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−8.5%</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+46.7%</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4.6%</w:t>
            </w:r>
          </w:p>
        </w:tc>
        <w:tc>
          <w:tcPr>
            <w:tcW w:type="dxa" w:w="32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가격 주도 — 유가·정제마진</w:t>
            </w:r>
          </w:p>
        </w:tc>
      </w:tr>
      <w:tr>
        <w:trPr>
          <w:cantSplit/>
        </w:trPr>
        <w:tc>
          <w:tcPr>
            <w:tcW w:type="dxa" w:w="56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71</w:t>
            </w:r>
          </w:p>
        </w:tc>
        <w:tc>
          <w:tcPr>
            <w:tcW w:type="dxa" w:w="19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귀금속·보석</w:t>
            </w:r>
          </w:p>
        </w:tc>
        <w:tc>
          <w:tcPr>
            <w:tcW w:type="dxa" w:w="12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+60.5억$</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+154.9%</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−19.2%</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+215.6%</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3.0%</w:t>
            </w:r>
          </w:p>
        </w:tc>
        <w:tc>
          <w:tcPr>
            <w:tcW w:type="dxa" w:w="329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가격 주도 — 금 가격</w:t>
            </w:r>
          </w:p>
        </w:tc>
      </w:tr>
      <w:tr>
        <w:trPr>
          <w:cantSplit/>
        </w:trPr>
        <w:tc>
          <w:tcPr>
            <w:tcW w:type="dxa" w:w="56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89</w:t>
            </w:r>
          </w:p>
        </w:tc>
        <w:tc>
          <w:tcPr>
            <w:tcW w:type="dxa" w:w="1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선박</w:t>
            </w:r>
          </w:p>
        </w:tc>
        <w:tc>
          <w:tcPr>
            <w:tcW w:type="dxa" w:w="12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+35.9억$</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+23.7%</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−0.8%</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+24.8%</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1.8%</w:t>
            </w:r>
          </w:p>
        </w:tc>
        <w:tc>
          <w:tcPr>
            <w:tcW w:type="dxa" w:w="32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고선가 수주분 인도</w:t>
            </w:r>
          </w:p>
        </w:tc>
      </w:tr>
      <w:tr>
        <w:trPr>
          <w:cantSplit/>
        </w:trPr>
        <w:tc>
          <w:tcPr>
            <w:tcW w:type="dxa" w:w="56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33</w:t>
            </w:r>
          </w:p>
        </w:tc>
        <w:tc>
          <w:tcPr>
            <w:tcW w:type="dxa" w:w="19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화장품·정유</w:t>
            </w:r>
          </w:p>
        </w:tc>
        <w:tc>
          <w:tcPr>
            <w:tcW w:type="dxa" w:w="12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+17.8억$</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+28.3%</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+20.4%</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+6.6%</w:t>
            </w:r>
          </w:p>
        </w:tc>
        <w:tc>
          <w:tcPr>
            <w:tcW w:type="dxa" w:w="86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w:t>
            </w:r>
          </w:p>
        </w:tc>
        <w:tc>
          <w:tcPr>
            <w:tcW w:type="dxa" w:w="329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물량 주도 — 실수요 확대</w:t>
            </w:r>
          </w:p>
        </w:tc>
      </w:tr>
      <w:tr>
        <w:trPr>
          <w:cantSplit/>
        </w:trPr>
        <w:tc>
          <w:tcPr>
            <w:tcW w:type="dxa" w:w="56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87</w:t>
            </w:r>
          </w:p>
        </w:tc>
        <w:tc>
          <w:tcPr>
            <w:tcW w:type="dxa" w:w="1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차량</w:t>
            </w:r>
          </w:p>
        </w:tc>
        <w:tc>
          <w:tcPr>
            <w:tcW w:type="dxa" w:w="12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−5.5억$</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−1.0%</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−2.2%</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+1.2%</w:t>
            </w:r>
          </w:p>
        </w:tc>
        <w:tc>
          <w:tcPr>
            <w:tcW w:type="dxa" w:w="86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−0.3%</w:t>
            </w:r>
          </w:p>
        </w:tc>
        <w:tc>
          <w:tcPr>
            <w:tcW w:type="dxa" w:w="32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감소 — 상위 10대 중 유일</w:t>
            </w:r>
          </w:p>
        </w:tc>
      </w:tr>
    </w:tbl>
    <w:p>
      <w:pPr>
        <w:spacing w:after="120" w:before="35"/>
      </w:pPr>
      <w:r>
        <w:rPr>
          <w:rFonts w:ascii="맑은 고딕" w:cs="맑은 고딕" w:eastAsia="맑은 고딕" w:hAnsi="맑은 고딕"/>
          <w:b w:val="false"/>
          <w:bCs w:val="false"/>
          <w:i/>
          <w:iCs/>
          <w:color w:val="595959"/>
          <w:sz w:val="14"/>
          <w:szCs w:val="14"/>
        </w:rPr>
        <w:t xml:space="preserve">표 4. 주요 품목의 물량·단가 분해. 기여도 = 해당 품목 증감액 ÷ 전체 수출 증감액. 출처 : 분석9_품목단가분해(HS).</w:t>
      </w:r>
    </w:p>
    <w:p>
      <w:pPr>
        <w:keepNext/>
        <w:spacing w:after="30" w:before="110"/>
      </w:pPr>
      <w:r>
        <w:rPr>
          <w:rFonts w:ascii="맑은 고딕" w:cs="맑은 고딕" w:eastAsia="맑은 고딕" w:hAnsi="맑은 고딕"/>
          <w:b/>
          <w:bCs/>
          <w:i w:val="false"/>
          <w:iCs w:val="false"/>
          <w:color w:val="1F3864"/>
          <w:sz w:val="16"/>
          <w:szCs w:val="16"/>
        </w:rPr>
        <w:t xml:space="preserve">그림 3. 주요 품목의 물량효과·가격효과 (신성질별 중분류)</w:t>
      </w:r>
    </w:p>
    <w:p>
      <w:pPr>
        <w:keepNext/>
        <w:spacing w:after="20" w:before="0"/>
        <w:jc w:val="center"/>
      </w:pPr>
      <w:r>
        <w:drawing>
          <wp:inline distT="0" distB="0" distL="0" distR="0">
            <wp:extent cx="45529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52950" cy="21240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주황 = 가격효과, 파랑 = 물량효과.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여덟 개 품목 모두에서 주황 막대(가격효과)가 파란 막대(물량효과)를 압도한다. IT부품은 가격효과 1,386억 달러에 물량효과가 32억 달러로 43배 차이다. 더 눈여겨볼 것은 광산물과 화학공업제품이다. 이 둘은 </w:t>
      </w:r>
      <w:r>
        <w:rPr>
          <w:rFonts w:ascii="맑은 고딕" w:cs="맑은 고딕" w:eastAsia="맑은 고딕" w:hAnsi="맑은 고딕"/>
          <w:b/>
          <w:bCs/>
          <w:i w:val="false"/>
          <w:iCs w:val="false"/>
          <w:color w:val="000000"/>
          <w:sz w:val="19"/>
          <w:szCs w:val="19"/>
        </w:rPr>
        <w:t xml:space="preserve">파란 막대가 아예 0선 왼쪽</w:t>
      </w:r>
      <w:r>
        <w:rPr>
          <w:rFonts w:ascii="맑은 고딕" w:cs="맑은 고딕" w:eastAsia="맑은 고딕" w:hAnsi="맑은 고딕"/>
          <w:b w:val="false"/>
          <w:bCs w:val="false"/>
          <w:i w:val="false"/>
          <w:iCs w:val="false"/>
          <w:color w:val="000000"/>
          <w:sz w:val="19"/>
          <w:szCs w:val="19"/>
        </w:rPr>
        <w:t xml:space="preserve">에 있다. 물량이 각각 −7.9%, −6.5% 줄었는데도 가격이 올라 금액은 늘었다는 뜻이다. 물량이 실제로 늘어 기여한 품목은 수송장비·철강·비내구소비재 정도이고 그 크기도 미미하다.</w:t>
      </w:r>
    </w:p>
    <w:p>
      <w:pPr>
        <w:keepNext/>
        <w:spacing w:after="40" w:before="130"/>
      </w:pPr>
      <w:r>
        <w:rPr>
          <w:rFonts w:ascii="맑은 고딕" w:cs="맑은 고딕" w:eastAsia="맑은 고딕" w:hAnsi="맑은 고딕"/>
          <w:b/>
          <w:bCs/>
          <w:i w:val="false"/>
          <w:iCs w:val="false"/>
          <w:color w:val="2E5395"/>
          <w:sz w:val="19"/>
          <w:szCs w:val="19"/>
        </w:rPr>
        <w:t xml:space="preserve">HS85 — 같은 무게를 두 배 값에 팔았다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HS85의 단가는 78.0 → 163.9천 달러/톤으로 +110.0% 올랐고 물량은 −0.7%였다. 분해하면 가격효과 +1,355.0억 달러, 물량효과 −8.4억 달러다. </w:t>
      </w:r>
      <w:r>
        <w:rPr>
          <w:rFonts w:ascii="맑은 고딕" w:cs="맑은 고딕" w:eastAsia="맑은 고딕" w:hAnsi="맑은 고딕"/>
          <w:b/>
          <w:bCs/>
          <w:i w:val="false"/>
          <w:iCs w:val="false"/>
          <w:color w:val="000000"/>
          <w:sz w:val="19"/>
          <w:szCs w:val="19"/>
        </w:rPr>
        <w:t xml:space="preserve">이 한 품목이 전체 수출 증가분의 67.0%를 만들었고, 그 증가는 100% 가격에서 나왔다</w:t>
      </w:r>
      <w:r>
        <w:rPr>
          <w:rFonts w:ascii="맑은 고딕" w:cs="맑은 고딕" w:eastAsia="맑은 고딕" w:hAnsi="맑은 고딕"/>
          <w:b w:val="false"/>
          <w:bCs w:val="false"/>
          <w:i w:val="false"/>
          <w:iCs w:val="false"/>
          <w:color w:val="000000"/>
          <w:sz w:val="19"/>
          <w:szCs w:val="19"/>
        </w:rPr>
        <w:t xml:space="preserve">. 신성질별로 교차 확인해도 같다. IT부품 단가는 482.8 → 1,164.9천 달러/톤(+141.3%)인데 물량은 +3.2%다. 두 분류 체계가 서로 다른 기준으로 같은 현상을 가리키고 있으므로, 이 결론은 분류 오류로 보기 어렵다.</w:t>
      </w:r>
    </w:p>
    <w:p>
      <w:pPr>
        <w:keepNext/>
        <w:spacing w:after="40" w:before="130"/>
      </w:pPr>
      <w:r>
        <w:rPr>
          <w:rFonts w:ascii="맑은 고딕" w:cs="맑은 고딕" w:eastAsia="맑은 고딕" w:hAnsi="맑은 고딕"/>
          <w:b/>
          <w:bCs/>
          <w:i w:val="false"/>
          <w:iCs w:val="false"/>
          <w:color w:val="2E5395"/>
          <w:sz w:val="19"/>
          <w:szCs w:val="19"/>
        </w:rPr>
        <w:t xml:space="preserve">HS84의 모순 — 같은 "기계"인데 정반대 신호</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HS84(원자로·보일러·기계류)의 단가는 +74.0% 올랐다. 그런데 성질별 분류의 「기계류와 정밀기기」 단가는 같은 기간 −0.7%로 사실상 제자리다. 같은 기계인데 왜 정반대인가. </w:t>
      </w:r>
      <w:r>
        <w:rPr>
          <w:rFonts w:ascii="맑은 고딕" w:cs="맑은 고딕" w:eastAsia="맑은 고딕" w:hAnsi="맑은 고딕"/>
          <w:b/>
          <w:bCs/>
          <w:i w:val="false"/>
          <w:iCs w:val="false"/>
          <w:color w:val="000000"/>
          <w:sz w:val="19"/>
          <w:szCs w:val="19"/>
        </w:rPr>
        <w:t xml:space="preserve">HS84 안에는 컴퓨터·SSD(8471호)와 반도체 제조장비(8486호)가 들어 있다</w:t>
      </w:r>
      <w:r>
        <w:rPr>
          <w:rFonts w:ascii="맑은 고딕" w:cs="맑은 고딕" w:eastAsia="맑은 고딕" w:hAnsi="맑은 고딕"/>
          <w:b w:val="false"/>
          <w:bCs w:val="false"/>
          <w:i w:val="false"/>
          <w:iCs w:val="false"/>
          <w:color w:val="000000"/>
          <w:sz w:val="19"/>
          <w:szCs w:val="19"/>
        </w:rPr>
        <w:t xml:space="preserve">. 메모리 가격 상승이 SSD·모듈 형태로 84류에 반영되었다면 두 지표의 어긋남이 설명된다. 즉 84류의 +75.5% 증가는 "일반기계 수출 호조"가 아니라 반도체 사이클의 2차 반영일 가능성이 높다. 이 파일은 HS 2단위까지만 있어 확정할 수 없으므로, HS 4단위(8471·8473·8486)로 재조회해 84류 내부를 분리해 볼 것을 권한다. 만약 가설이 맞다면 </w:t>
      </w:r>
      <w:r>
        <w:rPr>
          <w:rFonts w:ascii="맑은 고딕" w:cs="맑은 고딕" w:eastAsia="맑은 고딕" w:hAnsi="맑은 고딕"/>
          <w:b/>
          <w:bCs/>
          <w:i w:val="false"/>
          <w:iCs w:val="false"/>
          <w:color w:val="000000"/>
          <w:sz w:val="19"/>
          <w:szCs w:val="19"/>
        </w:rPr>
        <w:t xml:space="preserve">실질적인 반도체 의존도는 85류 기준 43.2%가 아니라 50%를 넘는다</w:t>
      </w:r>
      <w:r>
        <w:rPr>
          <w:rFonts w:ascii="맑은 고딕" w:cs="맑은 고딕" w:eastAsia="맑은 고딕" w:hAnsi="맑은 고딕"/>
          <w:b w:val="false"/>
          <w:bCs w:val="false"/>
          <w:i w:val="false"/>
          <w:iCs w:val="false"/>
          <w:color w:val="000000"/>
          <w:sz w:val="19"/>
          <w:szCs w:val="19"/>
        </w:rPr>
        <w:t xml:space="preserve">.</w:t>
      </w:r>
    </w:p>
    <w:p>
      <w:pPr>
        <w:keepNext/>
        <w:spacing w:after="40" w:before="130"/>
      </w:pPr>
      <w:r>
        <w:rPr>
          <w:rFonts w:ascii="맑은 고딕" w:cs="맑은 고딕" w:eastAsia="맑은 고딕" w:hAnsi="맑은 고딕"/>
          <w:b/>
          <w:bCs/>
          <w:i w:val="false"/>
          <w:iCs w:val="false"/>
          <w:color w:val="2E5395"/>
          <w:sz w:val="19"/>
          <w:szCs w:val="19"/>
        </w:rPr>
        <w:t xml:space="preserve">작지만 시사점이 큰 품목들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HS71(귀금속) — 단가 +215.6%, 물량 −19.2%. </w:t>
      </w:r>
      <w:r>
        <w:rPr>
          <w:rFonts w:ascii="맑은 고딕" w:cs="맑은 고딕" w:eastAsia="맑은 고딕" w:hAnsi="맑은 고딕"/>
          <w:b w:val="false"/>
          <w:bCs w:val="false"/>
          <w:i w:val="false"/>
          <w:iCs w:val="false"/>
          <w:color w:val="000000"/>
          <w:sz w:val="19"/>
          <w:szCs w:val="19"/>
        </w:rPr>
        <w:t xml:space="preserve">물량이 5분의 1 줄었는데 금액은 2.5배가 됐다. 순위도 16위에서 10위로 뛰었다. 다만 비중은 1.7%에 불과하고 월별 증감률 표준편차가 26.6%로 커, 추세 지표로 삼기에는 부적합하다. 금 가격에 연동된 파생 지표로 읽는 편이 안전하다.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HS89(선박) — 변동성 43.4%로 전 품목 최고. </w:t>
      </w:r>
      <w:r>
        <w:rPr>
          <w:rFonts w:ascii="맑은 고딕" w:cs="맑은 고딕" w:eastAsia="맑은 고딕" w:hAnsi="맑은 고딕"/>
          <w:b w:val="false"/>
          <w:bCs w:val="false"/>
          <w:i w:val="false"/>
          <w:iCs w:val="false"/>
          <w:color w:val="000000"/>
          <w:sz w:val="19"/>
          <w:szCs w:val="19"/>
        </w:rPr>
        <w:t xml:space="preserve">선박은 인도 시점에 금액이 한꺼번에 잡히므로 월별 등락이 극단적이다. 단가 +24.8%는 최근의 가격 상승이라기보다 몇 해 전 고선가로 수주한 물량이 지금 인도되고 있다는 신호에 가깝다. 월 단위 해석은 무의미하고 분기·연 단위로 봐야 한다.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HS87(차량) — 상위 10대 품목 중 유일한 감소. </w:t>
      </w:r>
      <w:r>
        <w:rPr>
          <w:rFonts w:ascii="맑은 고딕" w:cs="맑은 고딕" w:eastAsia="맑은 고딕" w:hAnsi="맑은 고딕"/>
          <w:b w:val="false"/>
          <w:bCs w:val="false"/>
          <w:i w:val="false"/>
          <w:iCs w:val="false"/>
          <w:color w:val="000000"/>
          <w:sz w:val="19"/>
          <w:szCs w:val="19"/>
        </w:rPr>
        <w:t xml:space="preserve">물량 −2.2%, 단가 +1.2%로 금액 −1.0%다. 신성질별 내구소비재도 −7.2%로 같은 방향이다. 반도체 호황의 온기가 자동차로 번지지 않았다는 뜻이며, 주요 시장의 관세 부담과 현지생산 확대가 겹친 결과로 해석된다. 수출 전체가 50% 늘어난 국면에서 대표 소비재가 역성장했다는 사실은 이번 호황의 성격을 압축해 보여준다.</w:t>
      </w:r>
    </w:p>
    <w:p>
      <w:pPr>
        <w:keepNext/>
        <w:spacing w:after="40" w:before="130"/>
      </w:pPr>
      <w:r>
        <w:rPr>
          <w:rFonts w:ascii="맑은 고딕" w:cs="맑은 고딕" w:eastAsia="맑은 고딕" w:hAnsi="맑은 고딕"/>
          <w:b/>
          <w:bCs/>
          <w:i w:val="false"/>
          <w:iCs w:val="false"/>
          <w:color w:val="2E5395"/>
          <w:sz w:val="19"/>
          <w:szCs w:val="19"/>
        </w:rPr>
        <w:t xml:space="preserve">"반도체만 좋다"는 통념의 절반은 틀렸다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97개 품목을 유형별로 세면 가격 주도 32개, 물량 주도 11개, 혼합 12개, 감소 33개, 단가 불안정 9개다. 감소 품목이 3분의 1이나 된다는 점만 보면 온기가 매우 좁아 보인다. 그런데 </w:t>
      </w:r>
      <w:r>
        <w:rPr>
          <w:rFonts w:ascii="맑은 고딕" w:cs="맑은 고딕" w:eastAsia="맑은 고딕" w:hAnsi="맑은 고딕"/>
          <w:b/>
          <w:bCs/>
          <w:i w:val="false"/>
          <w:iCs w:val="false"/>
          <w:color w:val="000000"/>
          <w:sz w:val="19"/>
          <w:szCs w:val="19"/>
        </w:rPr>
        <w:t xml:space="preserve">금액가중 확산지수는 2026년 6월 99.0%, 7월 98.7%</w:t>
      </w:r>
      <w:r>
        <w:rPr>
          <w:rFonts w:ascii="맑은 고딕" w:cs="맑은 고딕" w:eastAsia="맑은 고딕" w:hAnsi="맑은 고딕"/>
          <w:b w:val="false"/>
          <w:bCs w:val="false"/>
          <w:i w:val="false"/>
          <w:iCs w:val="false"/>
          <w:color w:val="000000"/>
          <w:sz w:val="19"/>
          <w:szCs w:val="19"/>
        </w:rPr>
        <w:t xml:space="preserve">다. 금액 기준으로는 사실상 모든 품목이 전년 동월보다 늘었다는 뜻이다. 두 지표를 함께 읽으면 "큰 품목은 거의 다 늘었고, 줄어든 33개는 대부분 규모가 작은 품목"이라는 그림이 나온다.</w:t>
      </w:r>
    </w:p>
    <w:p>
      <w:pPr>
        <w:spacing w:after="60" w:before="60" w:line="255"/>
        <w:jc w:val="both"/>
      </w:pPr>
      <w:r>
        <w:rPr>
          <w:rFonts w:ascii="맑은 고딕" w:cs="맑은 고딕" w:eastAsia="맑은 고딕" w:hAnsi="맑은 고딕"/>
          <w:b/>
          <w:bCs/>
          <w:i w:val="false"/>
          <w:iCs w:val="false"/>
          <w:color w:val="000000"/>
          <w:sz w:val="19"/>
          <w:szCs w:val="19"/>
        </w:rPr>
        <w:t xml:space="preserve">더 중요한 반증이 있다. </w:t>
      </w:r>
      <w:r>
        <w:rPr>
          <w:rFonts w:ascii="맑은 고딕" w:cs="맑은 고딕" w:eastAsia="맑은 고딕" w:hAnsi="맑은 고딕"/>
          <w:b w:val="false"/>
          <w:bCs w:val="false"/>
          <w:i w:val="false"/>
          <w:iCs w:val="false"/>
          <w:color w:val="000000"/>
          <w:sz w:val="19"/>
          <w:szCs w:val="19"/>
        </w:rPr>
        <w:t xml:space="preserve">IT(IT부품+IT제품)를 제외한 수출도 2,738억 → 3,043억 달러로 +11.1% 늘었고, 2026년 6·7월 전년동월비는 각각 +17.7%, +17.8%로 오히려 가속하고 있다. 반도체를 빼고도 두 자릿수 성장이 유지된다는 것은 IT 사이클이 꺾여도 완충할 여지가 있다는 뜻이다. 다만 절대 기여도는 여전히 IT가 압도적이므로(증가분의 85%), 이 지표는 "괜찮다"는 근거가 아니라 </w:t>
      </w:r>
      <w:r>
        <w:rPr>
          <w:rFonts w:ascii="맑은 고딕" w:cs="맑은 고딕" w:eastAsia="맑은 고딕" w:hAnsi="맑은 고딕"/>
          <w:b/>
          <w:bCs/>
          <w:i w:val="false"/>
          <w:iCs w:val="false"/>
          <w:color w:val="000000"/>
          <w:sz w:val="19"/>
          <w:szCs w:val="19"/>
        </w:rPr>
        <w:t xml:space="preserve">"완충 여지가 유지되는지 매월 확인해야 할 지표"</w:t>
      </w:r>
      <w:r>
        <w:rPr>
          <w:rFonts w:ascii="맑은 고딕" w:cs="맑은 고딕" w:eastAsia="맑은 고딕" w:hAnsi="맑은 고딕"/>
          <w:b w:val="false"/>
          <w:bCs w:val="false"/>
          <w:i w:val="false"/>
          <w:iCs w:val="false"/>
          <w:color w:val="000000"/>
          <w:sz w:val="19"/>
          <w:szCs w:val="19"/>
        </w:rPr>
        <w:t xml:space="preserve">로 다루는 것이 맞다.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4. 국가 — 지역 분산이 품목 리스크를 대신하지 못한다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수출처를 넓히면 리스크가 줄어든다는 것이 통상적인 전제다. 이를 검증하기 위해 각국의 월별 수출과 HS85류의 월별 수출 사이의 19개월 상관계수를 계산했다. 값이 1에 가까울수록 그 나라 수출이 반도체 사이클과 같이 움직였다는 뜻이며, 이 값이 높은 나라들로만 분산해서는 품목 리스크가 줄지 않는다.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1100"/>
        <w:gridCol w:w="1180"/>
        <w:gridCol w:w="880"/>
        <w:gridCol w:w="880"/>
        <w:gridCol w:w="1120"/>
        <w:gridCol w:w="1080"/>
        <w:gridCol w:w="880"/>
        <w:gridCol w:w="3320"/>
      </w:tblGrid>
      <w:tr>
        <w:trPr>
          <w:cantSplit/>
          <w:tblHeader/>
        </w:trPr>
        <w:tc>
          <w:tcPr>
            <w:tcW w:type="dxa" w:w="11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국가</w:t>
            </w:r>
          </w:p>
        </w:tc>
        <w:tc>
          <w:tcPr>
            <w:tcW w:type="dxa" w:w="11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Δ금액</w:t>
            </w:r>
          </w:p>
        </w:tc>
        <w:tc>
          <w:tcPr>
            <w:tcW w:type="dxa" w:w="8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증가율</w:t>
            </w:r>
          </w:p>
        </w:tc>
        <w:tc>
          <w:tcPr>
            <w:tcW w:type="dxa" w:w="8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기여도</w:t>
            </w:r>
          </w:p>
        </w:tc>
        <w:tc>
          <w:tcPr>
            <w:tcW w:type="dxa" w:w="112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HS85 동조성</w:t>
            </w:r>
          </w:p>
        </w:tc>
        <w:tc>
          <w:tcPr>
            <w:tcW w:type="dxa" w:w="10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건당금액</w:t>
            </w:r>
          </w:p>
        </w:tc>
        <w:tc>
          <w:tcPr>
            <w:tcW w:type="dxa" w:w="88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건수</w:t>
            </w:r>
          </w:p>
        </w:tc>
        <w:tc>
          <w:tcPr>
            <w:tcW w:type="dxa" w:w="332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특징</w:t>
            </w:r>
          </w:p>
        </w:tc>
      </w:tr>
      <w:tr>
        <w:trPr>
          <w:cantSplit/>
        </w:trPr>
        <w:tc>
          <w:tcPr>
            <w:tcW w:type="dxa" w:w="11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중국</w:t>
            </w:r>
          </w:p>
        </w:tc>
        <w:tc>
          <w:tcPr>
            <w:tcW w:type="dxa" w:w="11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+496.7억$</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+69.4%</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24.9%</w:t>
            </w:r>
          </w:p>
        </w:tc>
        <w:tc>
          <w:tcPr>
            <w:tcW w:type="dxa" w:w="11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0.988</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+58.8%</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+6.7%</w:t>
            </w:r>
          </w:p>
        </w:tc>
        <w:tc>
          <w:tcPr>
            <w:tcW w:type="dxa" w:w="33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2위→1위, 수지 −82.8억→+188.5억$ 흑자 전환</w:t>
            </w:r>
          </w:p>
        </w:tc>
      </w:tr>
      <w:tr>
        <w:trPr>
          <w:cantSplit/>
        </w:trPr>
        <w:tc>
          <w:tcPr>
            <w:tcW w:type="dxa" w:w="11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미국</w:t>
            </w:r>
          </w:p>
        </w:tc>
        <w:tc>
          <w:tcPr>
            <w:tcW w:type="dxa" w:w="11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+384.8억$</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+53.1%</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19.3%</w:t>
            </w:r>
          </w:p>
        </w:tc>
        <w:tc>
          <w:tcPr>
            <w:tcW w:type="dxa" w:w="11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0.951</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+72.0%</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−11.0%</w:t>
            </w:r>
          </w:p>
        </w:tc>
        <w:tc>
          <w:tcPr>
            <w:tcW w:type="dxa" w:w="33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건수 줄고 고가화, 흑자 301.8→584.6억$</w:t>
            </w:r>
          </w:p>
        </w:tc>
      </w:tr>
      <w:tr>
        <w:trPr>
          <w:cantSplit/>
        </w:trPr>
        <w:tc>
          <w:tcPr>
            <w:tcW w:type="dxa" w:w="11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홍콩</w:t>
            </w:r>
          </w:p>
        </w:tc>
        <w:tc>
          <w:tcPr>
            <w:tcW w:type="dxa" w:w="11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+277.8억$</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+161.9%</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13.9%</w:t>
            </w:r>
          </w:p>
        </w:tc>
        <w:tc>
          <w:tcPr>
            <w:tcW w:type="dxa" w:w="11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0.949</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+126.6%</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+15.6%</w:t>
            </w:r>
          </w:p>
        </w:tc>
        <w:tc>
          <w:tcPr>
            <w:tcW w:type="dxa" w:w="33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중계·환적 성격, 월변동성 49.7%로 최대</w:t>
            </w:r>
          </w:p>
        </w:tc>
      </w:tr>
      <w:tr>
        <w:trPr>
          <w:cantSplit/>
        </w:trPr>
        <w:tc>
          <w:tcPr>
            <w:tcW w:type="dxa" w:w="11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베트남</w:t>
            </w:r>
          </w:p>
        </w:tc>
        <w:tc>
          <w:tcPr>
            <w:tcW w:type="dxa" w:w="11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+197.0억$</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+56.8%</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9.9%</w:t>
            </w:r>
          </w:p>
        </w:tc>
        <w:tc>
          <w:tcPr>
            <w:tcW w:type="dxa" w:w="11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0.972</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+55.1%</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+1.1%</w:t>
            </w:r>
          </w:p>
        </w:tc>
        <w:tc>
          <w:tcPr>
            <w:tcW w:type="dxa" w:w="33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후공정 기지, 변동성은 낮은 편(25.1%)</w:t>
            </w:r>
          </w:p>
        </w:tc>
      </w:tr>
      <w:tr>
        <w:trPr>
          <w:cantSplit/>
        </w:trPr>
        <w:tc>
          <w:tcPr>
            <w:tcW w:type="dxa" w:w="11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대만</w:t>
            </w:r>
          </w:p>
        </w:tc>
        <w:tc>
          <w:tcPr>
            <w:tcW w:type="dxa" w:w="11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+159.7억$</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+63.6%</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8.0%</w:t>
            </w:r>
          </w:p>
        </w:tc>
        <w:tc>
          <w:tcPr>
            <w:tcW w:type="dxa" w:w="11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0.873</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+20.4%</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+35.9%</w:t>
            </w:r>
          </w:p>
        </w:tc>
        <w:tc>
          <w:tcPr>
            <w:tcW w:type="dxa" w:w="33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건수 급증형 — 성격이 다른 증가</w:t>
            </w:r>
          </w:p>
        </w:tc>
      </w:tr>
      <w:tr>
        <w:trPr>
          <w:cantSplit/>
        </w:trPr>
        <w:tc>
          <w:tcPr>
            <w:tcW w:type="dxa" w:w="11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호주</w:t>
            </w:r>
          </w:p>
        </w:tc>
        <w:tc>
          <w:tcPr>
            <w:tcW w:type="dxa" w:w="11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+57.1억$</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+74.5%</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2.9%</w:t>
            </w:r>
          </w:p>
        </w:tc>
        <w:tc>
          <w:tcPr>
            <w:tcW w:type="dxa" w:w="11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0.793</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+19.7%</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+45.8%</w:t>
            </w:r>
          </w:p>
        </w:tc>
        <w:tc>
          <w:tcPr>
            <w:tcW w:type="dxa" w:w="33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부분 동조 — 반도체 외 요인 존재</w:t>
            </w:r>
          </w:p>
        </w:tc>
      </w:tr>
      <w:tr>
        <w:trPr>
          <w:cantSplit/>
        </w:trPr>
        <w:tc>
          <w:tcPr>
            <w:tcW w:type="dxa" w:w="11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독일</w:t>
            </w:r>
          </w:p>
        </w:tc>
        <w:tc>
          <w:tcPr>
            <w:tcW w:type="dxa" w:w="11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+11.0억$</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+9.2%</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0.6%</w:t>
            </w:r>
          </w:p>
        </w:tc>
        <w:tc>
          <w:tcPr>
            <w:tcW w:type="dxa" w:w="11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0.446</w:t>
            </w:r>
          </w:p>
        </w:tc>
        <w:tc>
          <w:tcPr>
            <w:tcW w:type="dxa" w:w="10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−11.8%</w:t>
            </w:r>
          </w:p>
        </w:tc>
        <w:tc>
          <w:tcPr>
            <w:tcW w:type="dxa" w:w="88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+23.8%</w:t>
            </w:r>
          </w:p>
        </w:tc>
        <w:tc>
          <w:tcPr>
            <w:tcW w:type="dxa" w:w="332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비동조 — 반도체와 무관하게 완만</w:t>
            </w:r>
          </w:p>
        </w:tc>
      </w:tr>
      <w:tr>
        <w:trPr>
          <w:cantSplit/>
        </w:trPr>
        <w:tc>
          <w:tcPr>
            <w:tcW w:type="dxa" w:w="11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폴란드</w:t>
            </w:r>
          </w:p>
        </w:tc>
        <w:tc>
          <w:tcPr>
            <w:tcW w:type="dxa" w:w="11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−0.7억$</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−0.6%</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−0.0%</w:t>
            </w:r>
          </w:p>
        </w:tc>
        <w:tc>
          <w:tcPr>
            <w:tcW w:type="dxa" w:w="11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0.229</w:t>
            </w:r>
          </w:p>
        </w:tc>
        <w:tc>
          <w:tcPr>
            <w:tcW w:type="dxa" w:w="10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−3.5%</w:t>
            </w:r>
          </w:p>
        </w:tc>
        <w:tc>
          <w:tcPr>
            <w:tcW w:type="dxa" w:w="88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+3.0%</w:t>
            </w:r>
          </w:p>
        </w:tc>
        <w:tc>
          <w:tcPr>
            <w:tcW w:type="dxa" w:w="332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비동조 — 감소</w:t>
            </w:r>
          </w:p>
        </w:tc>
      </w:tr>
    </w:tbl>
    <w:p>
      <w:pPr>
        <w:spacing w:after="120" w:before="35"/>
      </w:pPr>
      <w:r>
        <w:rPr>
          <w:rFonts w:ascii="맑은 고딕" w:cs="맑은 고딕" w:eastAsia="맑은 고딕" w:hAnsi="맑은 고딕"/>
          <w:b w:val="false"/>
          <w:bCs w:val="false"/>
          <w:i/>
          <w:iCs/>
          <w:color w:val="595959"/>
          <w:sz w:val="14"/>
          <w:szCs w:val="14"/>
        </w:rPr>
        <w:t xml:space="preserve">표 5. 상위 국가의 증가 기여도와 반도체 동조성. 출처 : 분석5_국가별, 분석12_국가심층.</w:t>
      </w:r>
    </w:p>
    <w:p>
      <w:pPr>
        <w:keepNext/>
        <w:spacing w:after="30" w:before="110"/>
      </w:pPr>
      <w:r>
        <w:rPr>
          <w:rFonts w:ascii="맑은 고딕" w:cs="맑은 고딕" w:eastAsia="맑은 고딕" w:hAnsi="맑은 고딕"/>
          <w:b/>
          <w:bCs/>
          <w:i w:val="false"/>
          <w:iCs w:val="false"/>
          <w:color w:val="1F3864"/>
          <w:sz w:val="16"/>
          <w:szCs w:val="16"/>
        </w:rPr>
        <w:t xml:space="preserve">그림 4. 국가별 반도체 동조성과 수출 증가율 (상위 20개국)</w:t>
      </w:r>
    </w:p>
    <w:p>
      <w:pPr>
        <w:keepNext/>
        <w:spacing w:after="20" w:before="0"/>
        <w:jc w:val="center"/>
      </w:pPr>
      <w:r>
        <w:drawing>
          <wp:inline distT="0" distB="0" distL="0" distR="0">
            <wp:extent cx="45529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52950" cy="21240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가로축 = HS85류와의 19개월 상관계수, 세로축 = 2026.1~7 수출 증가율(전년 동기 대비).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점들이 오른쪽 위로 뚜렷하게 몰려 있다. 상관계수 0.75 이상 구간에 20개국 중 16개국이 들어가 있고, 이들 대부분이 증가율 25~160% 구간에 분포한다. 반대로 왼쪽(상관계수 0.2~0.45)에 있는 폴란드·튀르키예·독일은 증가율이 −0.6%~+9.2%로 바닥에 붙어 있다. </w:t>
      </w:r>
      <w:r>
        <w:rPr>
          <w:rFonts w:ascii="맑은 고딕" w:cs="맑은 고딕" w:eastAsia="맑은 고딕" w:hAnsi="맑은 고딕"/>
          <w:b/>
          <w:bCs/>
          <w:i w:val="false"/>
          <w:iCs w:val="false"/>
          <w:color w:val="000000"/>
          <w:sz w:val="19"/>
          <w:szCs w:val="19"/>
        </w:rPr>
        <w:t xml:space="preserve">반도체와 함께 움직인 나라만 크게 늘었고, 그렇지 않은 나라는 사실상 정체했다</w:t>
      </w:r>
      <w:r>
        <w:rPr>
          <w:rFonts w:ascii="맑은 고딕" w:cs="맑은 고딕" w:eastAsia="맑은 고딕" w:hAnsi="맑은 고딕"/>
          <w:b w:val="false"/>
          <w:bCs w:val="false"/>
          <w:i w:val="false"/>
          <w:iCs w:val="false"/>
          <w:color w:val="000000"/>
          <w:sz w:val="19"/>
          <w:szCs w:val="19"/>
        </w:rPr>
        <w:t xml:space="preserve">. 이 산점도가 이번 호황의 성격을 한 장으로 요약한다.</w:t>
      </w:r>
    </w:p>
    <w:p>
      <w:pPr>
        <w:keepNext/>
        <w:spacing w:after="40" w:before="130"/>
      </w:pPr>
      <w:r>
        <w:rPr>
          <w:rFonts w:ascii="맑은 고딕" w:cs="맑은 고딕" w:eastAsia="맑은 고딕" w:hAnsi="맑은 고딕"/>
          <w:b/>
          <w:bCs/>
          <w:i w:val="false"/>
          <w:iCs w:val="false"/>
          <w:color w:val="2E5395"/>
          <w:sz w:val="19"/>
          <w:szCs w:val="19"/>
        </w:rPr>
        <w:t xml:space="preserve">숫자 이면 — 분산의 착시</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상위 20개국을 동조성 구간별로 묶으면 0.90 이상 6개국이 이들 수출의 67.1%, 0.80 이상 13개국이 90.1%를 차지한다. 반대로 동조성 0.60 미만 4개국의 합은 4.3%에 불과하다. 그 결과 </w:t>
      </w:r>
      <w:r>
        <w:rPr>
          <w:rFonts w:ascii="맑은 고딕" w:cs="맑은 고딕" w:eastAsia="맑은 고딕" w:hAnsi="맑은 고딕"/>
          <w:b/>
          <w:bCs/>
          <w:i w:val="false"/>
          <w:iCs w:val="false"/>
          <w:color w:val="000000"/>
          <w:sz w:val="19"/>
          <w:szCs w:val="19"/>
        </w:rPr>
        <w:t xml:space="preserve">수출처의 "개수"를 늘려도 실제로는 같은 사이클을 여러 창구로 나눠 태우고 있을 뿐</w:t>
      </w:r>
      <w:r>
        <w:rPr>
          <w:rFonts w:ascii="맑은 고딕" w:cs="맑은 고딕" w:eastAsia="맑은 고딕" w:hAnsi="맑은 고딕"/>
          <w:b w:val="false"/>
          <w:bCs w:val="false"/>
          <w:i w:val="false"/>
          <w:iCs w:val="false"/>
          <w:color w:val="000000"/>
          <w:sz w:val="19"/>
          <w:szCs w:val="19"/>
        </w:rPr>
        <w:t xml:space="preserve">이다. 시장 다변화를 국가 수나 지역 비중으로 측정하는 관행은 이 구조에서 리스크를 과소평가한다. 다변화 지표를 만든다면 국가별 비중에 동조성을 가중한 형태여야 실제 분산 효과를 잡아낼 수 있다.</w:t>
      </w:r>
    </w:p>
    <w:p>
      <w:pPr>
        <w:spacing w:after="60" w:before="60" w:line="255"/>
        <w:jc w:val="both"/>
      </w:pPr>
      <w:r>
        <w:rPr>
          <w:rFonts w:ascii="맑은 고딕" w:cs="맑은 고딕" w:eastAsia="맑은 고딕" w:hAnsi="맑은 고딕"/>
          <w:b/>
          <w:bCs/>
          <w:i w:val="false"/>
          <w:iCs w:val="false"/>
          <w:color w:val="000000"/>
          <w:sz w:val="19"/>
          <w:szCs w:val="19"/>
        </w:rPr>
        <w:t xml:space="preserve">예외도 읽어야 한다. </w:t>
      </w:r>
      <w:r>
        <w:rPr>
          <w:rFonts w:ascii="맑은 고딕" w:cs="맑은 고딕" w:eastAsia="맑은 고딕" w:hAnsi="맑은 고딕"/>
          <w:b w:val="false"/>
          <w:bCs w:val="false"/>
          <w:i w:val="false"/>
          <w:iCs w:val="false"/>
          <w:color w:val="000000"/>
          <w:sz w:val="19"/>
          <w:szCs w:val="19"/>
        </w:rPr>
        <w:t xml:space="preserve">호주는 동조성이 0.793으로 상위권보다 낮은데 증가율은 +74.5%로 높다. 반도체가 아닌 다른 요인이 작동했다는 뜻이며, 건수가 +45.8% 늘어난 것으로 보아 물량 기반 증가일 가능성이 있다. 이런 국가는 실제 분산 효과를 주는 몇 안 되는 경우이므로 별도로 원인을 확인할 가치가 있다. 반대로 대만은 건수가 +35.9% 늘고 건당금액은 +20.4%만 올라, 다른 상위국(건당금액 위주 증가)과 성격이 다르다.</w:t>
      </w:r>
    </w:p>
    <w:p>
      <w:pPr>
        <w:keepNext/>
        <w:spacing w:after="40" w:before="130"/>
      </w:pPr>
      <w:r>
        <w:rPr>
          <w:rFonts w:ascii="맑은 고딕" w:cs="맑은 고딕" w:eastAsia="맑은 고딕" w:hAnsi="맑은 고딕"/>
          <w:b/>
          <w:bCs/>
          <w:i w:val="false"/>
          <w:iCs w:val="false"/>
          <w:color w:val="2E5395"/>
          <w:sz w:val="19"/>
          <w:szCs w:val="19"/>
        </w:rPr>
        <w:t xml:space="preserve">국가별로 다른 이야기 — 미국, 중국, 홍콩</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미국 — 건수 −11.0%인데 금액 +53.1%. </w:t>
      </w:r>
      <w:r>
        <w:rPr>
          <w:rFonts w:ascii="맑은 고딕" w:cs="맑은 고딕" w:eastAsia="맑은 고딕" w:hAnsi="맑은 고딕"/>
          <w:b w:val="false"/>
          <w:bCs w:val="false"/>
          <w:i w:val="false"/>
          <w:iCs w:val="false"/>
          <w:color w:val="000000"/>
          <w:sz w:val="19"/>
          <w:szCs w:val="19"/>
        </w:rPr>
        <w:t xml:space="preserve">건당 금액이 46.2 → 79.5천 달러로 +72.0% 올랐다. 소액·다건 화물이 줄고 고가품 중심으로 재편되었다는 신호다. 관세 환경 변화와 소액 화물 취급 축소가 배경일 수 있으며, 이 경우 금액 증가와 별개로 거래 기업 수·품목 폭은 오히려 좁아졌을 가능성이 있다. 대미 수출을 금액구간별로 쪼개 확인할 필요가 있다.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중국 — 적자에서 흑자로 271.2억 달러 전환. </w:t>
      </w:r>
      <w:r>
        <w:rPr>
          <w:rFonts w:ascii="맑은 고딕" w:cs="맑은 고딕" w:eastAsia="맑은 고딕" w:hAnsi="맑은 고딕"/>
          <w:b w:val="false"/>
          <w:bCs w:val="false"/>
          <w:i w:val="false"/>
          <w:iCs w:val="false"/>
          <w:color w:val="000000"/>
          <w:sz w:val="19"/>
          <w:szCs w:val="19"/>
        </w:rPr>
        <w:t xml:space="preserve">대중 무역수지가 −82.8억 달러에서 +188.5억 달러가 됐다. 순위도 미국을 제치고 1위로 올라섰다. 다만 동조성이 0.988로 20개국 중 최고라는 점을 함께 봐야 한다. 이 흑자는 대중 경쟁력의 구조적 개선이라기보다 반도체 가격이 만든 흑자에 가깝다.</w:t>
      </w:r>
    </w:p>
    <w:p>
      <w:pPr>
        <w:spacing w:after="25" w:before="25" w:line="255"/>
        <w:ind w:left="230" w:hanging="160"/>
        <w:jc w:val="both"/>
      </w:pPr>
      <w:r>
        <w:rPr>
          <w:rFonts w:ascii="맑은 고딕" w:cs="맑은 고딕" w:eastAsia="맑은 고딕" w:hAnsi="맑은 고딕"/>
          <w:b/>
          <w:bCs/>
          <w:i w:val="false"/>
          <w:iCs w:val="false"/>
          <w:color w:val="1F3864"/>
          <w:sz w:val="19"/>
          <w:szCs w:val="19"/>
        </w:rPr>
        <w:t xml:space="preserve">· </w:t>
      </w:r>
      <w:r>
        <w:rPr>
          <w:rFonts w:ascii="맑은 고딕" w:cs="맑은 고딕" w:eastAsia="맑은 고딕" w:hAnsi="맑은 고딕"/>
          <w:b/>
          <w:bCs/>
          <w:i w:val="false"/>
          <w:iCs w:val="false"/>
          <w:color w:val="000000"/>
          <w:sz w:val="19"/>
          <w:szCs w:val="19"/>
        </w:rPr>
        <w:t xml:space="preserve">홍콩 — 증가율 +161.9%, 변동성 49.7%. </w:t>
      </w:r>
      <w:r>
        <w:rPr>
          <w:rFonts w:ascii="맑은 고딕" w:cs="맑은 고딕" w:eastAsia="맑은 고딕" w:hAnsi="맑은 고딕"/>
          <w:b w:val="false"/>
          <w:bCs w:val="false"/>
          <w:i w:val="false"/>
          <w:iCs w:val="false"/>
          <w:color w:val="000000"/>
          <w:sz w:val="19"/>
          <w:szCs w:val="19"/>
        </w:rPr>
        <w:t xml:space="preserve">건당 금액이 +126.6%로 뛰었고 월별 등락이 상위 20개국 중 가장 크다. 홍콩은 최종 소비지라기보다 반도체의 중계·환적 경로로 보는 편이 타당하다. 즉 이 증가분에는 실수요와 재고·통관 이동이 섞여 있어, 홍콩 수출 급증을 그대로 최종 수요 확대로 읽으면 안 된다.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5. 집중도와 모멘텀 — 좁아졌고, 아직 빠르다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집중도는 허핀달지수(HHI = Σ점유율² × 10,000)로 측정했다. 여기서 파생되는 유효 품목수(10,000 ÷ HHI)는 "동일 규모 품목 몇 개가 수출을 지탱하는가"로 읽으면 된다. 확산지수는 전년 동월 대비 증가한 품목·국가의 비율이며, 개수 기준과 금액가중 기준을 함께 본다.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500"/>
        <w:gridCol w:w="1300"/>
        <w:gridCol w:w="1300"/>
        <w:gridCol w:w="1500"/>
        <w:gridCol w:w="3840"/>
      </w:tblGrid>
      <w:tr>
        <w:trPr>
          <w:cantSplit/>
          <w:tblHeader/>
        </w:trPr>
        <w:tc>
          <w:tcPr>
            <w:tcW w:type="dxa" w:w="25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지표</w:t>
            </w:r>
          </w:p>
        </w:tc>
        <w:tc>
          <w:tcPr>
            <w:tcW w:type="dxa" w:w="13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2025.01</w:t>
            </w:r>
          </w:p>
        </w:tc>
        <w:tc>
          <w:tcPr>
            <w:tcW w:type="dxa" w:w="13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2026.07</w:t>
            </w:r>
          </w:p>
        </w:tc>
        <w:tc>
          <w:tcPr>
            <w:tcW w:type="dxa" w:w="15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기간 최고치</w:t>
            </w:r>
          </w:p>
        </w:tc>
        <w:tc>
          <w:tcPr>
            <w:tcW w:type="dxa" w:w="38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해석</w:t>
            </w:r>
          </w:p>
        </w:tc>
      </w:tr>
      <w:tr>
        <w:trPr>
          <w:cantSplit/>
        </w:trPr>
        <w:tc>
          <w:tcPr>
            <w:tcW w:type="dxa" w:w="25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품목 HHI</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1,334</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2,444</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2,458(26.06)</w:t>
            </w:r>
          </w:p>
        </w:tc>
        <w:tc>
          <w:tcPr>
            <w:tcW w:type="dxa" w:w="3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집중도 83% 상승</w:t>
            </w:r>
          </w:p>
        </w:tc>
      </w:tr>
      <w:tr>
        <w:trPr>
          <w:cantSplit/>
        </w:trPr>
        <w:tc>
          <w:tcPr>
            <w:tcW w:type="dxa" w:w="25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유효 품목수</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7.5개</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4.1개</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3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실질적으로 4개 품목이 수출을 지탱</w:t>
            </w:r>
          </w:p>
        </w:tc>
      </w:tr>
      <w:tr>
        <w:trPr>
          <w:cantSplit/>
        </w:trPr>
        <w:tc>
          <w:tcPr>
            <w:tcW w:type="dxa" w:w="25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국가 HHI</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896</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1,028</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1,052(26.05)</w:t>
            </w:r>
          </w:p>
        </w:tc>
        <w:tc>
          <w:tcPr>
            <w:tcW w:type="dxa" w:w="3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국가 집중은 상대적으로 완만(+15%)</w:t>
            </w:r>
          </w:p>
        </w:tc>
      </w:tr>
      <w:tr>
        <w:trPr>
          <w:cantSplit/>
        </w:trPr>
        <w:tc>
          <w:tcPr>
            <w:tcW w:type="dxa" w:w="25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유효 국가수</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11.2개</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9.7개</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3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−1.5개 감소</w:t>
            </w:r>
          </w:p>
        </w:tc>
      </w:tr>
      <w:tr>
        <w:trPr>
          <w:cantSplit/>
        </w:trPr>
        <w:tc>
          <w:tcPr>
            <w:tcW w:type="dxa" w:w="25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IT 비중</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29.2%</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51.3%</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53.7%(26.06)</w:t>
            </w:r>
          </w:p>
        </w:tc>
        <w:tc>
          <w:tcPr>
            <w:tcW w:type="dxa" w:w="3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수출의 절반이 IT부품·IT제품</w:t>
            </w:r>
          </w:p>
        </w:tc>
      </w:tr>
      <w:tr>
        <w:trPr>
          <w:cantSplit/>
        </w:trPr>
        <w:tc>
          <w:tcPr>
            <w:tcW w:type="dxa" w:w="25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중화권(중·홍·대) 비중</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27.1%</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34.4%</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36.7%(26.06)</w:t>
            </w:r>
          </w:p>
        </w:tc>
        <w:tc>
          <w:tcPr>
            <w:tcW w:type="dxa" w:w="3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+7.3%p</w:t>
            </w:r>
          </w:p>
        </w:tc>
      </w:tr>
      <w:tr>
        <w:trPr>
          <w:cantSplit/>
        </w:trPr>
        <w:tc>
          <w:tcPr>
            <w:tcW w:type="dxa" w:w="25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전년동월비</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13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+63.0%</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+70.4%(26.06)</w:t>
            </w:r>
          </w:p>
        </w:tc>
        <w:tc>
          <w:tcPr>
            <w:tcW w:type="dxa" w:w="3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3개월 이동평균 +62.2%로 추세 유지</w:t>
            </w:r>
          </w:p>
        </w:tc>
      </w:tr>
      <w:tr>
        <w:trPr>
          <w:cantSplit/>
        </w:trPr>
        <w:tc>
          <w:tcPr>
            <w:tcW w:type="dxa" w:w="25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일평균 전월비(26.07)</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13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−9.0%</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3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월합 −2.9%보다 실제 둔화가 크다</w:t>
            </w:r>
          </w:p>
        </w:tc>
      </w:tr>
    </w:tbl>
    <w:p>
      <w:pPr>
        <w:spacing w:after="120" w:before="35"/>
      </w:pPr>
      <w:r>
        <w:rPr>
          <w:rFonts w:ascii="맑은 고딕" w:cs="맑은 고딕" w:eastAsia="맑은 고딕" w:hAnsi="맑은 고딕"/>
          <w:b w:val="false"/>
          <w:bCs w:val="false"/>
          <w:i/>
          <w:iCs/>
          <w:color w:val="595959"/>
          <w:sz w:val="14"/>
          <w:szCs w:val="14"/>
        </w:rPr>
        <w:t xml:space="preserve">표 6. 집중도·모멘텀 지표. 출처 : 분석10_집중도·확산도, 분석11_모멘텀·계절성.</w:t>
      </w:r>
    </w:p>
    <w:p>
      <w:pPr>
        <w:keepNext/>
        <w:spacing w:after="30" w:before="110"/>
      </w:pPr>
      <w:r>
        <w:rPr>
          <w:rFonts w:ascii="맑은 고딕" w:cs="맑은 고딕" w:eastAsia="맑은 고딕" w:hAnsi="맑은 고딕"/>
          <w:b/>
          <w:bCs/>
          <w:i w:val="false"/>
          <w:iCs w:val="false"/>
          <w:color w:val="1F3864"/>
          <w:sz w:val="16"/>
          <w:szCs w:val="16"/>
        </w:rPr>
        <w:t xml:space="preserve">그림 5. 품목 집중도 — HHI와 유효 품목수</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파랑 = 좌축 HHI, 노랑 = 우축 유효 품목수. 두 선은 2026.01~02 사이에서 교차한다.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두 선이 정확히 가위처럼 벌어진다. HHI(파랑)는 2025년 상반기 1,330~1,520 대에서 완만히 오르다가 2025년 11월(1,757)부터 기울기가 가팔라져 2026년 5월 2,446에 도달한 뒤 고원을 이룬다. 유효 품목수(노랑)는 거울처럼 7.5개에서 4.1개로 내려앉는다. </w:t>
      </w:r>
      <w:r>
        <w:rPr>
          <w:rFonts w:ascii="맑은 고딕" w:cs="맑은 고딕" w:eastAsia="맑은 고딕" w:hAnsi="맑은 고딕"/>
          <w:b/>
          <w:bCs/>
          <w:i w:val="false"/>
          <w:iCs w:val="false"/>
          <w:color w:val="000000"/>
          <w:sz w:val="19"/>
          <w:szCs w:val="19"/>
        </w:rPr>
        <w:t xml:space="preserve">가속 구간이 IT 비중이 40%를 넘긴 2026년 1~2월과 정확히 겹친다</w:t>
      </w:r>
      <w:r>
        <w:rPr>
          <w:rFonts w:ascii="맑은 고딕" w:cs="맑은 고딕" w:eastAsia="맑은 고딕" w:hAnsi="맑은 고딕"/>
          <w:b w:val="false"/>
          <w:bCs w:val="false"/>
          <w:i w:val="false"/>
          <w:iCs w:val="false"/>
          <w:color w:val="000000"/>
          <w:sz w:val="19"/>
          <w:szCs w:val="19"/>
        </w:rPr>
        <w:t xml:space="preserve">는 점이 중요하다. 집중도 상승은 별개의 현상이 아니라 반도체 단가 급등의 산술적 결과다. 반면 국가 HHI는 896 → 1,028로 15% 오르는 데 그쳤다. 즉 이번 국면의 집중은 지역이 아니라 품목이 주도했고, 국가 집중은 품목 집중에 끌려온 종속 현상이다.</w:t>
      </w:r>
    </w:p>
    <w:p>
      <w:pPr>
        <w:keepNext/>
        <w:spacing w:after="30" w:before="110"/>
      </w:pPr>
      <w:r>
        <w:rPr>
          <w:rFonts w:ascii="맑은 고딕" w:cs="맑은 고딕" w:eastAsia="맑은 고딕" w:hAnsi="맑은 고딕"/>
          <w:b/>
          <w:bCs/>
          <w:i w:val="false"/>
          <w:iCs w:val="false"/>
          <w:color w:val="1F3864"/>
          <w:sz w:val="16"/>
          <w:szCs w:val="16"/>
        </w:rPr>
        <w:t xml:space="preserve">그림 6. IT vs IT 제외 — 전년 동월 대비 증감률</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파랑 = IT(IT부품+IT제품), 주황 = IT 제외. 전년 동월 자료가 있는 2026.01부터 표시된다.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두 선의 높이 차이가 이번 호황의 구조를 그대로 보여준다. IT(파랑)는 2026년 1월 +87.4%에서 6월 +177.3%까지 올라간 뒤 7월 +155.9%로 내려온다. IT 제외(주황)는 2월에 −5.2%로 한 번 마이너스를 찍은 뒤 꾸준히 올라와 6·7월 +17.7%, +17.8%에 도달한다. 두 선의 격차는 여전히 140%p에 이르지만, </w:t>
      </w:r>
      <w:r>
        <w:rPr>
          <w:rFonts w:ascii="맑은 고딕" w:cs="맑은 고딕" w:eastAsia="맑은 고딕" w:hAnsi="맑은 고딕"/>
          <w:b/>
          <w:bCs/>
          <w:i w:val="false"/>
          <w:iCs w:val="false"/>
          <w:color w:val="000000"/>
          <w:sz w:val="19"/>
          <w:szCs w:val="19"/>
        </w:rPr>
        <w:t xml:space="preserve">주목할 변화는 주황 선의 방향</w:t>
      </w:r>
      <w:r>
        <w:rPr>
          <w:rFonts w:ascii="맑은 고딕" w:cs="맑은 고딕" w:eastAsia="맑은 고딕" w:hAnsi="맑은 고딕"/>
          <w:b w:val="false"/>
          <w:bCs w:val="false"/>
          <w:i w:val="false"/>
          <w:iCs w:val="false"/>
          <w:color w:val="000000"/>
          <w:sz w:val="19"/>
          <w:szCs w:val="19"/>
        </w:rPr>
        <w:t xml:space="preserve">이다. 연초의 한 자릿수·마이너스에서 최근 두 자릿수 후반까지 올라왔다. 온기가 반도체 밖으로 번지기 시작했다는 초기 신호로 읽을 수 있으며, 이 선이 계속 오르는지 여부가 IT 사이클 반전 시 충격의 크기를 좌우한다.</w:t>
      </w:r>
    </w:p>
    <w:p>
      <w:pPr>
        <w:keepNext/>
        <w:spacing w:after="40" w:before="130"/>
      </w:pPr>
      <w:r>
        <w:rPr>
          <w:rFonts w:ascii="맑은 고딕" w:cs="맑은 고딕" w:eastAsia="맑은 고딕" w:hAnsi="맑은 고딕"/>
          <w:b/>
          <w:bCs/>
          <w:i w:val="false"/>
          <w:iCs w:val="false"/>
          <w:color w:val="2E5395"/>
          <w:sz w:val="19"/>
          <w:szCs w:val="19"/>
        </w:rPr>
        <w:t xml:space="preserve">모멘텀 — 정점은 지났지만 추세는 살아 있다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전년동월비는 2026년 1월 +33.9%에서 6월 +70.4%까지 올라간 뒤 7월 +63.0%로 내려왔다. 단월 수치는 흔들리므로 3개월 이동평균으로 보면 +62.2%로, 전월(+57.2%)보다 여전히 높다. </w:t>
      </w:r>
      <w:r>
        <w:rPr>
          <w:rFonts w:ascii="맑은 고딕" w:cs="맑은 고딕" w:eastAsia="맑은 고딕" w:hAnsi="맑은 고딕"/>
          <w:b/>
          <w:bCs/>
          <w:i w:val="false"/>
          <w:iCs w:val="false"/>
          <w:color w:val="000000"/>
          <w:sz w:val="19"/>
          <w:szCs w:val="19"/>
        </w:rPr>
        <w:t xml:space="preserve">추세 자체가 꺾였다는 증거는 아직 없다</w:t>
      </w:r>
      <w:r>
        <w:rPr>
          <w:rFonts w:ascii="맑은 고딕" w:cs="맑은 고딕" w:eastAsia="맑은 고딕" w:hAnsi="맑은 고딕"/>
          <w:b w:val="false"/>
          <w:bCs w:val="false"/>
          <w:i w:val="false"/>
          <w:iCs w:val="false"/>
          <w:color w:val="000000"/>
          <w:sz w:val="19"/>
          <w:szCs w:val="19"/>
        </w:rPr>
        <w:t xml:space="preserve">. 다만 조업일수를 보정한 일평균 기준으로는 7월이 −9.0%로, 월 합계 −2.9%보다 훨씬 큰 감소다. 7월 조업일수가 24일로 6월(22.5일)보다 많았기 때문이며, </w:t>
      </w:r>
      <w:r>
        <w:rPr>
          <w:rFonts w:ascii="맑은 고딕" w:cs="맑은 고딕" w:eastAsia="맑은 고딕" w:hAnsi="맑은 고딕"/>
          <w:b/>
          <w:bCs/>
          <w:i w:val="false"/>
          <w:iCs w:val="false"/>
          <w:color w:val="000000"/>
          <w:sz w:val="19"/>
          <w:szCs w:val="19"/>
        </w:rPr>
        <w:t xml:space="preserve">월 합계만 보면 실제 둔화 폭을 3분의 1 수준으로 과소평가</w:t>
      </w:r>
      <w:r>
        <w:rPr>
          <w:rFonts w:ascii="맑은 고딕" w:cs="맑은 고딕" w:eastAsia="맑은 고딕" w:hAnsi="맑은 고딕"/>
          <w:b w:val="false"/>
          <w:bCs w:val="false"/>
          <w:i w:val="false"/>
          <w:iCs w:val="false"/>
          <w:color w:val="000000"/>
          <w:sz w:val="19"/>
          <w:szCs w:val="19"/>
        </w:rPr>
        <w:t xml:space="preserve">하게 된다. 월별 판단은 반드시 일평균으로 해야 한다.</w:t>
      </w:r>
    </w:p>
    <w:p>
      <w:pPr>
        <w:keepNext/>
        <w:spacing w:after="40" w:before="130"/>
      </w:pPr>
      <w:r>
        <w:rPr>
          <w:rFonts w:ascii="맑은 고딕" w:cs="맑은 고딕" w:eastAsia="맑은 고딕" w:hAnsi="맑은 고딕"/>
          <w:b/>
          <w:bCs/>
          <w:i w:val="false"/>
          <w:iCs w:val="false"/>
          <w:color w:val="2E5395"/>
          <w:sz w:val="19"/>
          <w:szCs w:val="19"/>
        </w:rPr>
        <w:t xml:space="preserve">연간 증가율에 속지 말 것 — 캐리오버 효과</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2026년 1~7월 누계만으로 이미 2025년 연간 수출의 83.9%에 도달했다. 이 때문에 남은 5개월이 어떻게 되든 연간 증가율은 높게 나온다.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3600"/>
        <w:gridCol w:w="1700"/>
        <w:gridCol w:w="1800"/>
        <w:gridCol w:w="1500"/>
        <w:gridCol w:w="1840"/>
      </w:tblGrid>
      <w:tr>
        <w:trPr>
          <w:cantSplit/>
          <w:tblHeader/>
        </w:trPr>
        <w:tc>
          <w:tcPr>
            <w:tcW w:type="dxa" w:w="36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8~12월 가정 (최근 3개월 평균 대비)</w:t>
            </w:r>
          </w:p>
        </w:tc>
        <w:tc>
          <w:tcPr>
            <w:tcW w:type="dxa" w:w="17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8~12월 월평균</w:t>
            </w:r>
          </w:p>
        </w:tc>
        <w:tc>
          <w:tcPr>
            <w:tcW w:type="dxa" w:w="18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2026년 연간 수출</w:t>
            </w:r>
          </w:p>
        </w:tc>
        <w:tc>
          <w:tcPr>
            <w:tcW w:type="dxa" w:w="15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2025년 대비</w:t>
            </w:r>
          </w:p>
        </w:tc>
        <w:tc>
          <w:tcPr>
            <w:tcW w:type="dxa" w:w="18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해석</w:t>
            </w:r>
          </w:p>
        </w:tc>
      </w:tr>
      <w:tr>
        <w:trPr>
          <w:cantSplit/>
        </w:trPr>
        <w:tc>
          <w:tcPr>
            <w:tcW w:type="dxa" w:w="3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+10% (낙관)</w:t>
            </w:r>
          </w:p>
        </w:tc>
        <w:tc>
          <w:tcPr>
            <w:tcW w:type="dxa" w:w="17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1,057.8억$</w:t>
            </w:r>
          </w:p>
        </w:tc>
        <w:tc>
          <w:tcPr>
            <w:tcW w:type="dxa" w:w="18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11,239.6억$</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+58.5%</w:t>
            </w:r>
          </w:p>
        </w:tc>
        <w:tc>
          <w:tcPr>
            <w:tcW w:type="dxa" w:w="1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현 추세 지속</w:t>
            </w:r>
          </w:p>
        </w:tc>
      </w:tr>
      <w:tr>
        <w:trPr>
          <w:cantSplit/>
        </w:trPr>
        <w:tc>
          <w:tcPr>
            <w:tcW w:type="dxa" w:w="36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유지 (기준)</w:t>
            </w:r>
          </w:p>
        </w:tc>
        <w:tc>
          <w:tcPr>
            <w:tcW w:type="dxa" w:w="17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961.6억$</w:t>
            </w:r>
          </w:p>
        </w:tc>
        <w:tc>
          <w:tcPr>
            <w:tcW w:type="dxa" w:w="18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10,758.8억$</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+51.7%</w:t>
            </w:r>
          </w:p>
        </w:tc>
        <w:tc>
          <w:tcPr>
            <w:tcW w:type="dxa" w:w="1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기준선</w:t>
            </w:r>
          </w:p>
        </w:tc>
      </w:tr>
      <w:tr>
        <w:trPr>
          <w:cantSplit/>
        </w:trPr>
        <w:tc>
          <w:tcPr>
            <w:tcW w:type="dxa" w:w="36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C00000"/>
                <w:sz w:val="15"/>
                <w:szCs w:val="15"/>
              </w:rPr>
              <w:t xml:space="preserve">−10% (완만한 조정)</w:t>
            </w:r>
          </w:p>
        </w:tc>
        <w:tc>
          <w:tcPr>
            <w:tcW w:type="dxa" w:w="17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865.5억$</w:t>
            </w:r>
          </w:p>
        </w:tc>
        <w:tc>
          <w:tcPr>
            <w:tcW w:type="dxa" w:w="18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10,278.0억$</w:t>
            </w:r>
          </w:p>
        </w:tc>
        <w:tc>
          <w:tcPr>
            <w:tcW w:type="dxa" w:w="15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+44.9%</w:t>
            </w:r>
          </w:p>
        </w:tc>
        <w:tc>
          <w:tcPr>
            <w:tcW w:type="dxa" w:w="18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r>
      <w:tr>
        <w:trPr>
          <w:cantSplit/>
        </w:trPr>
        <w:tc>
          <w:tcPr>
            <w:tcW w:type="dxa" w:w="36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C00000"/>
                <w:sz w:val="15"/>
                <w:szCs w:val="15"/>
              </w:rPr>
              <w:t xml:space="preserve">−25% (뚜렷한 조정)</w:t>
            </w:r>
          </w:p>
        </w:tc>
        <w:tc>
          <w:tcPr>
            <w:tcW w:type="dxa" w:w="17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721.2억$</w:t>
            </w:r>
          </w:p>
        </w:tc>
        <w:tc>
          <w:tcPr>
            <w:tcW w:type="dxa" w:w="18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9,556.8억$</w:t>
            </w:r>
          </w:p>
        </w:tc>
        <w:tc>
          <w:tcPr>
            <w:tcW w:type="dxa" w:w="15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+34.7%</w:t>
            </w:r>
          </w:p>
        </w:tc>
        <w:tc>
          <w:tcPr>
            <w:tcW w:type="dxa" w:w="18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r>
      <w:tr>
        <w:trPr>
          <w:cantSplit/>
        </w:trPr>
        <w:tc>
          <w:tcPr>
            <w:tcW w:type="dxa" w:w="36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C00000"/>
                <w:sz w:val="15"/>
                <w:szCs w:val="15"/>
              </w:rPr>
              <w:t xml:space="preserve">−40% (급락)</w:t>
            </w:r>
          </w:p>
        </w:tc>
        <w:tc>
          <w:tcPr>
            <w:tcW w:type="dxa" w:w="17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577.0억$</w:t>
            </w:r>
          </w:p>
        </w:tc>
        <w:tc>
          <w:tcPr>
            <w:tcW w:type="dxa" w:w="18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8,835.5억$</w:t>
            </w:r>
          </w:p>
        </w:tc>
        <w:tc>
          <w:tcPr>
            <w:tcW w:type="dxa" w:w="15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+24.6%</w:t>
            </w:r>
          </w:p>
        </w:tc>
        <w:tc>
          <w:tcPr>
            <w:tcW w:type="dxa" w:w="184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급락해도 연간은 두 자릿수 증가</w:t>
            </w:r>
          </w:p>
        </w:tc>
      </w:tr>
    </w:tbl>
    <w:p>
      <w:pPr>
        <w:spacing w:after="120" w:before="35"/>
      </w:pPr>
      <w:r>
        <w:rPr>
          <w:rFonts w:ascii="맑은 고딕" w:cs="맑은 고딕" w:eastAsia="맑은 고딕" w:hAnsi="맑은 고딕"/>
          <w:b w:val="false"/>
          <w:bCs w:val="false"/>
          <w:i/>
          <w:iCs/>
          <w:color w:val="595959"/>
          <w:sz w:val="14"/>
          <w:szCs w:val="14"/>
        </w:rPr>
        <w:t xml:space="preserve">표 7. 잔여기간 시나리오. 기준선 = 2026.05~07 3개월 평균(961.6억$). 출처 : 분석11_모멘텀·계절성 [B].</w:t>
      </w:r>
    </w:p>
    <w:p>
      <w:pPr>
        <w:spacing w:after="60" w:before="60" w:line="255"/>
        <w:jc w:val="both"/>
      </w:pPr>
      <w:r>
        <w:rPr>
          <w:rFonts w:ascii="맑은 고딕" w:cs="맑은 고딕" w:eastAsia="맑은 고딕" w:hAnsi="맑은 고딕"/>
          <w:b/>
          <w:bCs/>
          <w:i w:val="false"/>
          <w:iCs w:val="false"/>
          <w:color w:val="000000"/>
          <w:sz w:val="19"/>
          <w:szCs w:val="19"/>
        </w:rPr>
        <w:t xml:space="preserve">표가 말하는 것은 명확하다. </w:t>
      </w:r>
      <w:r>
        <w:rPr>
          <w:rFonts w:ascii="맑은 고딕" w:cs="맑은 고딕" w:eastAsia="맑은 고딕" w:hAnsi="맑은 고딕"/>
          <w:b w:val="false"/>
          <w:bCs w:val="false"/>
          <w:i w:val="false"/>
          <w:iCs w:val="false"/>
          <w:color w:val="000000"/>
          <w:sz w:val="19"/>
          <w:szCs w:val="19"/>
        </w:rPr>
        <w:t xml:space="preserve">8~12월이 최근 3개월 평균 대비 40% 급락해도 2026년 연간 수출은 +24.6% 증가로 마감된다. </w:t>
      </w:r>
      <w:r>
        <w:rPr>
          <w:rFonts w:ascii="맑은 고딕" w:cs="맑은 고딕" w:eastAsia="맑은 고딕" w:hAnsi="맑은 고딕"/>
          <w:b/>
          <w:bCs/>
          <w:i w:val="false"/>
          <w:iCs w:val="false"/>
          <w:color w:val="000000"/>
          <w:sz w:val="19"/>
          <w:szCs w:val="19"/>
        </w:rPr>
        <w:t xml:space="preserve">연간 증가율이 높게 나오는 것과 지금 모멘텀이 살아 있는 것은 전혀 다른 이야기</w:t>
      </w:r>
      <w:r>
        <w:rPr>
          <w:rFonts w:ascii="맑은 고딕" w:cs="맑은 고딕" w:eastAsia="맑은 고딕" w:hAnsi="맑은 고딕"/>
          <w:b w:val="false"/>
          <w:bCs w:val="false"/>
          <w:i w:val="false"/>
          <w:iCs w:val="false"/>
          <w:color w:val="000000"/>
          <w:sz w:val="19"/>
          <w:szCs w:val="19"/>
        </w:rPr>
        <w:t xml:space="preserve">다. 하반기 판단은 연간 증가율이 아니라 3개월 이동평균 전년동월비, 조업일수 보정 일평균, IT 제외 증감률 세 가지로 해야 한다. 참고로 2025년은 12월이 연중 최고(695.1억 달러)였고 조업일수를 보정한 계절지수로도 12월 109.6, 2월 89.9로 연말이 높은 계절성이 남아 있다. 8~12월 실적을 상반기와 단순 비교하면 이 계절성 때문에 과대평가하기 쉽다.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6. 원인 분석 — 왜 이런 숫자가 나왔는가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여기부터는 데이터 밖으로 나간다. 앞의 다섯 장은 파일 안에서 검증 가능한 사실이고, 이 장의 "원인"은 그 사실을 설명하기 위해 외부 환경을 끌어와 붙인 해석이다. 같은 데이터가 다른 원인으로 설명될 수도 있으므로 검증 경로를 함께 적었다.</w:t>
      </w:r>
    </w:p>
    <w:p>
      <w:pPr>
        <w:keepNext/>
        <w:spacing w:after="30" w:before="110"/>
      </w:pPr>
      <w:r>
        <w:rPr>
          <w:rFonts w:ascii="맑은 고딕" w:cs="맑은 고딕" w:eastAsia="맑은 고딕" w:hAnsi="맑은 고딕"/>
          <w:b/>
          <w:bCs/>
          <w:i w:val="false"/>
          <w:iCs w:val="false"/>
          <w:color w:val="1F3864"/>
          <w:sz w:val="16"/>
          <w:szCs w:val="16"/>
        </w:rPr>
        <w:t xml:space="preserve">그림 7. 월별 수출단가 지수 (2025.01 = 100)</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네 계열을 같은 기준(2025.01=100)으로 지수화해 비교했다. 출처 : 분석8_물량·가격분해 [D],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 이 장의 핵심 증거. </w:t>
      </w:r>
      <w:r>
        <w:rPr>
          <w:rFonts w:ascii="맑은 고딕" w:cs="맑은 고딕" w:eastAsia="맑은 고딕" w:hAnsi="맑은 고딕"/>
          <w:b w:val="false"/>
          <w:bCs w:val="false"/>
          <w:i w:val="false"/>
          <w:iCs w:val="false"/>
          <w:color w:val="000000"/>
          <w:sz w:val="19"/>
          <w:szCs w:val="19"/>
        </w:rPr>
        <w:t xml:space="preserve">네 선의 모양에서 세 가지가 읽힌다. 첫째, </w:t>
      </w:r>
      <w:r>
        <w:rPr>
          <w:rFonts w:ascii="맑은 고딕" w:cs="맑은 고딕" w:eastAsia="맑은 고딕" w:hAnsi="맑은 고딕"/>
          <w:b/>
          <w:bCs/>
          <w:i w:val="false"/>
          <w:iCs w:val="false"/>
          <w:color w:val="000000"/>
          <w:sz w:val="19"/>
          <w:szCs w:val="19"/>
        </w:rPr>
        <w:t xml:space="preserve">단가 상승은 2025년 9월경부터 시작</w:t>
      </w:r>
      <w:r>
        <w:rPr>
          <w:rFonts w:ascii="맑은 고딕" w:cs="맑은 고딕" w:eastAsia="맑은 고딕" w:hAnsi="맑은 고딕"/>
          <w:b w:val="false"/>
          <w:bCs w:val="false"/>
          <w:i w:val="false"/>
          <w:iCs w:val="false"/>
          <w:color w:val="000000"/>
          <w:sz w:val="19"/>
          <w:szCs w:val="19"/>
        </w:rPr>
        <w:t xml:space="preserve">됐다. 그 이전 8개월간 네 계열 모두 100 근처에서 횡보한다. 둘째, </w:t>
      </w:r>
      <w:r>
        <w:rPr>
          <w:rFonts w:ascii="맑은 고딕" w:cs="맑은 고딕" w:eastAsia="맑은 고딕" w:hAnsi="맑은 고딕"/>
          <w:b/>
          <w:bCs/>
          <w:i w:val="false"/>
          <w:iCs w:val="false"/>
          <w:color w:val="000000"/>
          <w:sz w:val="19"/>
          <w:szCs w:val="19"/>
        </w:rPr>
        <w:t xml:space="preserve">IT부품(주황)이 먼저 뛰고 전체(파랑)가 뒤따른다</w:t>
      </w:r>
      <w:r>
        <w:rPr>
          <w:rFonts w:ascii="맑은 고딕" w:cs="맑은 고딕" w:eastAsia="맑은 고딕" w:hAnsi="맑은 고딕"/>
          <w:b w:val="false"/>
          <w:bCs w:val="false"/>
          <w:i w:val="false"/>
          <w:iCs w:val="false"/>
          <w:color w:val="000000"/>
          <w:sz w:val="19"/>
          <w:szCs w:val="19"/>
        </w:rPr>
        <w:t xml:space="preserve">. IT부품 지수는 2026년 6월 362.8까지, IT제품(회색)은 214.9까지 올랐고 전체는 198.1이다. 전체 지수가 IT부품보다 낮은 위치에서 같은 모양으로 움직인다는 것은 전체 단가 상승이 IT부품에 끌려간 결과임을 뜻한다. 셋째, </w:t>
      </w:r>
      <w:r>
        <w:rPr>
          <w:rFonts w:ascii="맑은 고딕" w:cs="맑은 고딕" w:eastAsia="맑은 고딕" w:hAnsi="맑은 고딕"/>
          <w:b/>
          <w:bCs/>
          <w:i w:val="false"/>
          <w:iCs w:val="false"/>
          <w:color w:val="000000"/>
          <w:sz w:val="19"/>
          <w:szCs w:val="19"/>
        </w:rPr>
        <w:t xml:space="preserve">7월에 네 계열이 동시에 꺾인다</w:t>
      </w:r>
      <w:r>
        <w:rPr>
          <w:rFonts w:ascii="맑은 고딕" w:cs="맑은 고딕" w:eastAsia="맑은 고딕" w:hAnsi="맑은 고딕"/>
          <w:b w:val="false"/>
          <w:bCs w:val="false"/>
          <w:i w:val="false"/>
          <w:iCs w:val="false"/>
          <w:color w:val="000000"/>
          <w:sz w:val="19"/>
          <w:szCs w:val="19"/>
        </w:rPr>
        <w:t xml:space="preserve">. IT부품 362.8 → 297.5, 전체 198.1 → 170.8, IT 제외 129.5 → 117.4다. 품목이 서로 다른데 같은 달에 함께 내려온다는 것은 개별 품목 사정이 아니라 공통 요인(가격 국면 전환)이 작동했을 가능성을 시사한다.</w:t>
      </w:r>
    </w:p>
    <w:p>
      <w:pPr>
        <w:spacing w:after="60" w:before="60" w:line="255"/>
        <w:jc w:val="both"/>
      </w:pPr>
      <w:r>
        <w:rPr>
          <w:rFonts w:ascii="맑은 고딕" w:cs="맑은 고딕" w:eastAsia="맑은 고딕" w:hAnsi="맑은 고딕"/>
          <w:b/>
          <w:bCs/>
          <w:i w:val="false"/>
          <w:iCs w:val="false"/>
          <w:color w:val="000000"/>
          <w:sz w:val="19"/>
          <w:szCs w:val="19"/>
        </w:rPr>
        <w:t xml:space="preserve">또 하나 놓치기 쉬운 사실. </w:t>
      </w:r>
      <w:r>
        <w:rPr>
          <w:rFonts w:ascii="맑은 고딕" w:cs="맑은 고딕" w:eastAsia="맑은 고딕" w:hAnsi="맑은 고딕"/>
          <w:b w:val="false"/>
          <w:bCs w:val="false"/>
          <w:i w:val="false"/>
          <w:iCs w:val="false"/>
          <w:color w:val="000000"/>
          <w:sz w:val="19"/>
          <w:szCs w:val="19"/>
        </w:rPr>
        <w:t xml:space="preserve">노란 선(IT 제외 단가)도 2025년 12월 이후 올라 2026년 4월 135.7까지 갔다. IT를 빼고도 단가가 35% 올랐다는 뜻이다. 이번 가격 국면이 반도체만의 현상이 아니라 원자재·에너지·소재를 포함한 광범위한 가격 상승 국면이었음을 보여준다. 다만 상승 폭과 지속성에서 IT와 나머지의 차이가 워낙 커서, 총량 지표에서는 IT의 움직임만 도드라져 보인다.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450"/>
        <w:gridCol w:w="4200"/>
        <w:gridCol w:w="3150"/>
        <w:gridCol w:w="640"/>
      </w:tblGrid>
      <w:tr>
        <w:trPr>
          <w:cantSplit/>
          <w:tblHeader/>
        </w:trPr>
        <w:tc>
          <w:tcPr>
            <w:tcW w:type="dxa" w:w="245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4"/>
                <w:szCs w:val="14"/>
              </w:rPr>
              <w:t xml:space="preserve">관측 사실(데이터)</w:t>
            </w:r>
          </w:p>
        </w:tc>
        <w:tc>
          <w:tcPr>
            <w:tcW w:type="dxa" w:w="42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4"/>
                <w:szCs w:val="14"/>
              </w:rPr>
              <w:t xml:space="preserve">유력한 원인(해석)</w:t>
            </w:r>
          </w:p>
        </w:tc>
        <w:tc>
          <w:tcPr>
            <w:tcW w:type="dxa" w:w="315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4"/>
                <w:szCs w:val="14"/>
              </w:rPr>
              <w:t xml:space="preserve">검증 방법</w:t>
            </w:r>
          </w:p>
        </w:tc>
        <w:tc>
          <w:tcPr>
            <w:tcW w:type="dxa" w:w="6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4"/>
                <w:szCs w:val="14"/>
              </w:rPr>
              <w:t xml:space="preserve">신뢰도</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HS85 물량 −0.7%, 단가 +110.0%
IT부품 단가 +141.3%</w:t>
            </w:r>
          </w:p>
        </w:tc>
        <w:tc>
          <w:tcPr>
            <w:tcW w:type="dxa" w:w="4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AI 데이터센터 투자 확대에 따른 HBM·서버용 DRAM 수요 급증과, 범용 DRAM 생산능력이 HBM으로 전환되며 생긴 공급 부족이 가격을 끌어올린 것으로 판단된다. 물량이 제자리인데 단가만 두 배가 된 패턴은 수요 확대보다 공급 제약이 가격을 만든 국면에 부합한다.</w:t>
            </w:r>
          </w:p>
        </w:tc>
        <w:tc>
          <w:tcPr>
            <w:tcW w:type="dxa" w:w="31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DRAM·NAND 고정거래가격 지수, 반도체 수출 물량·단가 지수, 주요 메모리 업체 분기 ASP 추이와 대조</w:t>
            </w:r>
          </w:p>
        </w:tc>
        <w:tc>
          <w:tcPr>
            <w:tcW w:type="dxa" w:w="6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높음</w:t>
            </w:r>
          </w:p>
        </w:tc>
      </w:tr>
      <w:tr>
        <w:trPr>
          <w:cantSplit/>
        </w:trPr>
        <w:tc>
          <w:tcPr>
            <w:tcW w:type="dxa" w:w="245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HS84 단가 +74.0%인데 성질별 「기계류·정밀기기」 단가는 −0.7%</w:t>
            </w:r>
          </w:p>
        </w:tc>
        <w:tc>
          <w:tcPr>
            <w:tcW w:type="dxa" w:w="4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HS84에 포함된 컴퓨터·SSD(8471호)로 메모리 가격이 파급된 것으로 추정된다. 순수 일반기계는 정체 상태로 보이며, 84류 증가를 기계산업 호조로 읽으면 오독이다.</w:t>
            </w:r>
          </w:p>
        </w:tc>
        <w:tc>
          <w:tcPr>
            <w:tcW w:type="dxa" w:w="31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HS 4단위(8471·8473·8486) 재조회로 84류 내부를 분리</w:t>
            </w:r>
          </w:p>
        </w:tc>
        <w:tc>
          <w:tcPr>
            <w:tcW w:type="dxa" w:w="6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HS71 단가 +215.6%, 물량 −19.2%</w:t>
            </w:r>
          </w:p>
        </w:tc>
        <w:tc>
          <w:tcPr>
            <w:tcW w:type="dxa" w:w="4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국제 금 가격 급등. 물량이 20% 줄었는데 금액이 155% 늘어난 패턴은 가격 외 요인으로 설명하기 어렵다.</w:t>
            </w:r>
          </w:p>
        </w:tc>
        <w:tc>
          <w:tcPr>
            <w:tcW w:type="dxa" w:w="31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금 현물가격 추이, HS 7108(금) 세부 실적. 재수출·중계 성격이 섞여 있어 방향성 해석에 주의</w:t>
            </w:r>
          </w:p>
        </w:tc>
        <w:tc>
          <w:tcPr>
            <w:tcW w:type="dxa" w:w="6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r>
        <w:trPr>
          <w:cantSplit/>
        </w:trPr>
        <w:tc>
          <w:tcPr>
            <w:tcW w:type="dxa" w:w="245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HS27 단가 +46.7%, 물량 −8.5%
IT 제외 단가도 +17%</w:t>
            </w:r>
          </w:p>
        </w:tc>
        <w:tc>
          <w:tcPr>
            <w:tcW w:type="dxa" w:w="4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석유제품 수출단가 상승(유가·정제마진)과 정기보수에 따른 물량 감소가 동시에 작용한 것으로 보인다. IT 제외 단가의 동반 상승도 같은 배경으로 설명된다.</w:t>
            </w:r>
          </w:p>
        </w:tc>
        <w:tc>
          <w:tcPr>
            <w:tcW w:type="dxa" w:w="31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두바이유 가격, 복합정제마진, 정유사 가동률·정기보수 일정</w:t>
            </w:r>
          </w:p>
        </w:tc>
        <w:tc>
          <w:tcPr>
            <w:tcW w:type="dxa" w:w="6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미국 금액 +53.1%, 건수 −11.0%, 건당금액 +72.0%</w:t>
            </w:r>
          </w:p>
        </w:tc>
        <w:tc>
          <w:tcPr>
            <w:tcW w:type="dxa" w:w="4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소액·다건 화물이 줄고 고가품 중심으로 재편. 관세 환경 변화와 소액 화물 취급 축소가 배경일 가능성이 있다.</w:t>
            </w:r>
          </w:p>
        </w:tc>
        <w:tc>
          <w:tcPr>
            <w:tcW w:type="dxa" w:w="31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대미 수출의 HS별·금액구간별 분해, 관세 대상/예외 품목 구분 비교</w:t>
            </w:r>
          </w:p>
        </w:tc>
        <w:tc>
          <w:tcPr>
            <w:tcW w:type="dxa" w:w="6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r>
        <w:trPr>
          <w:cantSplit/>
        </w:trPr>
        <w:tc>
          <w:tcPr>
            <w:tcW w:type="dxa" w:w="245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HS87 −1.0%, 내구소비재 −7.2%</w:t>
            </w:r>
          </w:p>
        </w:tc>
        <w:tc>
          <w:tcPr>
            <w:tcW w:type="dxa" w:w="4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주요 시장의 관세 부담과 현지생산 확대가 겹친 결과로 해석된다. 반도체 호황이 자동차로 전이되지 않았음을 보여주는 사례다.</w:t>
            </w:r>
          </w:p>
        </w:tc>
        <w:tc>
          <w:tcPr>
            <w:tcW w:type="dxa" w:w="315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대미·대EU 자동차 단가/물량, 현지공장 생산 실적과 대조</w:t>
            </w:r>
          </w:p>
        </w:tc>
        <w:tc>
          <w:tcPr>
            <w:tcW w:type="dxa" w:w="6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4"/>
                <w:szCs w:val="14"/>
              </w:rPr>
              <w:t xml:space="preserve">홍콩 +161.9%, 변동성 49.7%</w:t>
            </w:r>
          </w:p>
        </w:tc>
        <w:tc>
          <w:tcPr>
            <w:tcW w:type="dxa" w:w="4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최종 소비지가 아닌 반도체 중계·환적 경로. 실수요와 재고·통관 이동이 섞여 있다.</w:t>
            </w:r>
          </w:p>
        </w:tc>
        <w:tc>
          <w:tcPr>
            <w:tcW w:type="dxa" w:w="315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홍콩 경유 물량의 최종 목적지 통계, 중국 직수출과의 합산 추이</w:t>
            </w:r>
          </w:p>
        </w:tc>
        <w:tc>
          <w:tcPr>
            <w:tcW w:type="dxa" w:w="6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4"/>
                <w:szCs w:val="14"/>
              </w:rPr>
              <w:t xml:space="preserve">중간</w:t>
            </w:r>
          </w:p>
        </w:tc>
      </w:tr>
    </w:tbl>
    <w:p>
      <w:pPr>
        <w:spacing w:after="120" w:before="35"/>
      </w:pPr>
      <w:r>
        <w:rPr>
          <w:rFonts w:ascii="맑은 고딕" w:cs="맑은 고딕" w:eastAsia="맑은 고딕" w:hAnsi="맑은 고딕"/>
          <w:b w:val="false"/>
          <w:bCs w:val="false"/>
          <w:i/>
          <w:iCs/>
          <w:color w:val="595959"/>
          <w:sz w:val="14"/>
          <w:szCs w:val="14"/>
        </w:rPr>
        <w:t xml:space="preserve">표 8. 관측 사실과 원인 가설의 매핑. 출처 : 분석14_원인분석.</w:t>
      </w:r>
    </w:p>
    <w:p>
      <w:pPr>
        <w:spacing w:after="60" w:before="60" w:line="255"/>
        <w:jc w:val="both"/>
      </w:pPr>
      <w:r>
        <w:rPr>
          <w:rFonts w:ascii="맑은 고딕" w:cs="맑은 고딕" w:eastAsia="맑은 고딕" w:hAnsi="맑은 고딕"/>
          <w:b/>
          <w:bCs/>
          <w:i w:val="false"/>
          <w:iCs w:val="false"/>
          <w:color w:val="000000"/>
          <w:sz w:val="19"/>
          <w:szCs w:val="19"/>
        </w:rPr>
        <w:t xml:space="preserve">해석에 붙이는 단서. </w:t>
      </w:r>
      <w:r>
        <w:rPr>
          <w:rFonts w:ascii="맑은 고딕" w:cs="맑은 고딕" w:eastAsia="맑은 고딕" w:hAnsi="맑은 고딕"/>
          <w:b w:val="false"/>
          <w:bCs w:val="false"/>
          <w:i w:val="false"/>
          <w:iCs w:val="false"/>
          <w:color w:val="000000"/>
          <w:sz w:val="19"/>
          <w:szCs w:val="19"/>
        </w:rPr>
        <w:t xml:space="preserve">첫째, 이 표의 원인은 모두 가설이며 다섯 번째 열의 검증을 거쳐 확정해야 한다. 둘째, 2026년 6~7월에 벌어진 개별 사건(가격 협상, 관세 조치, 대형 인도 건 등)은 확인하지 않았으므로 최근 두 달의 해석은 잠정으로 두는 것이 안전하다. 셋째, 단가는 톤당 금액이므로 같은 품목의 시점 비교에는 유효하지만 품목 간 절대 비교(IT부품 1,165 vs 광산물 1.19)는 의미가 없다. 넷째, 이 파일의 수치가 관세청 원자료와 일치하는지는 별도로 확인하지 않았다. 다만 총괄·성질별·신성질별·국가별 네 시트가 19개월 총계 기준 최대 27천달러(0.000002%) 차이로 서로 일치하므로, 파일 내부의 정합성은 확인된 상태다.</w:t>
      </w:r>
    </w:p>
    <w:p>
      <w:pPr>
        <w:keepNext/>
        <w:pBdr>
          <w:bottom w:val="single" w:color="1F3864" w:sz="8" w:space="2"/>
        </w:pBdr>
        <w:spacing w:after="90" w:before="220"/>
      </w:pPr>
      <w:r>
        <w:rPr>
          <w:rFonts w:ascii="맑은 고딕" w:cs="맑은 고딕" w:eastAsia="맑은 고딕" w:hAnsi="맑은 고딕"/>
          <w:b/>
          <w:bCs/>
          <w:i w:val="false"/>
          <w:iCs w:val="false"/>
          <w:color w:val="1F3864"/>
          <w:sz w:val="23"/>
          <w:szCs w:val="23"/>
        </w:rPr>
        <w:t xml:space="preserve">7. 리스크 — 흑자의 57.7%가 반도체 가격에 걸려 있다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앞의 여섯 장이 "무엇이, 왜"였다면 이 장은 "그래서 얼마나 위험한가"다. IT(IT부품+IT제품) 수출금액이 줄어드는 경우를 가정해 수출과 무역수지가 어떻게 반응하는지 계산했다. 물량은 그대로 두고 금액만 줄이는 단순 가정이며, 수요·환율의 2차 효과는 반영하지 않았다.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3200"/>
        <w:gridCol w:w="1400"/>
        <w:gridCol w:w="1200"/>
        <w:gridCol w:w="1400"/>
        <w:gridCol w:w="1200"/>
        <w:gridCol w:w="2040"/>
      </w:tblGrid>
      <w:tr>
        <w:trPr>
          <w:cantSplit/>
          <w:tblHeader/>
        </w:trPr>
        <w:tc>
          <w:tcPr>
            <w:tcW w:type="dxa" w:w="32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시나리오 / 임계점</w:t>
            </w:r>
          </w:p>
        </w:tc>
        <w:tc>
          <w:tcPr>
            <w:tcW w:type="dxa" w:w="14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수출</w:t>
            </w:r>
          </w:p>
        </w:tc>
        <w:tc>
          <w:tcPr>
            <w:tcW w:type="dxa" w:w="12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수출 증감</w:t>
            </w:r>
          </w:p>
        </w:tc>
        <w:tc>
          <w:tcPr>
            <w:tcW w:type="dxa" w:w="14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무역수지</w:t>
            </w:r>
          </w:p>
        </w:tc>
        <w:tc>
          <w:tcPr>
            <w:tcW w:type="dxa" w:w="12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수지 증감</w:t>
            </w:r>
          </w:p>
        </w:tc>
        <w:tc>
          <w:tcPr>
            <w:tcW w:type="dxa" w:w="204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전년동기비</w:t>
            </w:r>
          </w:p>
        </w:tc>
      </w:tr>
      <w:tr>
        <w:trPr>
          <w:cantSplit/>
        </w:trPr>
        <w:tc>
          <w:tcPr>
            <w:tcW w:type="dxa" w:w="32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현재(2026.1~7 실적)</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5,950.6억$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1,677.6억$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w:t>
            </w:r>
          </w:p>
        </w:tc>
        <w:tc>
          <w:tcPr>
            <w:tcW w:type="dxa" w:w="20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+50.5%</w:t>
            </w:r>
          </w:p>
        </w:tc>
      </w:tr>
      <w:tr>
        <w:trPr>
          <w:cantSplit/>
        </w:trPr>
        <w:tc>
          <w:tcPr>
            <w:tcW w:type="dxa" w:w="32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IT 수출금액 −10%</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5,659.8억$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−4.9%</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1,386.8억$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−17.3%</w:t>
            </w:r>
          </w:p>
        </w:tc>
        <w:tc>
          <w:tcPr>
            <w:tcW w:type="dxa" w:w="20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+43.1%</w:t>
            </w:r>
          </w:p>
        </w:tc>
      </w:tr>
      <w:tr>
        <w:trPr>
          <w:cantSplit/>
        </w:trPr>
        <w:tc>
          <w:tcPr>
            <w:tcW w:type="dxa" w:w="32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IT 수출금액 −20%</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5,369.0억$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−9.8%</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1,096.0억$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−34.7%</w:t>
            </w:r>
          </w:p>
        </w:tc>
        <w:tc>
          <w:tcPr>
            <w:tcW w:type="dxa" w:w="20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+35.8%</w:t>
            </w:r>
          </w:p>
        </w:tc>
      </w:tr>
      <w:tr>
        <w:trPr>
          <w:cantSplit/>
        </w:trPr>
        <w:tc>
          <w:tcPr>
            <w:tcW w:type="dxa" w:w="32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IT 수출금액 −30%</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5,078.2억$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−14.7%</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805.2억$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−52.0%</w:t>
            </w:r>
          </w:p>
        </w:tc>
        <w:tc>
          <w:tcPr>
            <w:tcW w:type="dxa" w:w="20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+28.4%</w:t>
            </w:r>
          </w:p>
        </w:tc>
      </w:tr>
      <w:tr>
        <w:trPr>
          <w:cantSplit/>
        </w:trPr>
        <w:tc>
          <w:tcPr>
            <w:tcW w:type="dxa" w:w="320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IT 수출금액 −40%</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4,787.4억$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−19.5%</w:t>
            </w:r>
          </w:p>
        </w:tc>
        <w:tc>
          <w:tcPr>
            <w:tcW w:type="dxa" w:w="14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514.4억$</w:t>
            </w:r>
          </w:p>
        </w:tc>
        <w:tc>
          <w:tcPr>
            <w:tcW w:type="dxa" w:w="12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−69.3%</w:t>
            </w:r>
          </w:p>
        </w:tc>
        <w:tc>
          <w:tcPr>
            <w:tcW w:type="dxa" w:w="204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+21.1%</w:t>
            </w:r>
          </w:p>
        </w:tc>
      </w:tr>
      <w:tr>
        <w:trPr>
          <w:cantSplit/>
        </w:trPr>
        <w:tc>
          <w:tcPr>
            <w:tcW w:type="dxa" w:w="320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중화권(중·홍·대) 수요 −20%</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5,536.2억$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−7.0%</w:t>
            </w:r>
          </w:p>
        </w:tc>
        <w:tc>
          <w:tcPr>
            <w:tcW w:type="dxa" w:w="14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1,263.2억$</w:t>
            </w:r>
          </w:p>
        </w:tc>
        <w:tc>
          <w:tcPr>
            <w:tcW w:type="dxa" w:w="12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C00000"/>
                <w:sz w:val="15"/>
                <w:szCs w:val="15"/>
              </w:rPr>
              <w:t xml:space="preserve">−24.7%</w:t>
            </w:r>
          </w:p>
        </w:tc>
        <w:tc>
          <w:tcPr>
            <w:tcW w:type="dxa" w:w="204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+40.0%</w:t>
            </w:r>
          </w:p>
        </w:tc>
      </w:tr>
      <w:tr>
        <w:trPr>
          <w:cantSplit/>
        </w:trPr>
        <w:tc>
          <w:tcPr>
            <w:tcW w:type="dxa" w:w="32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000000"/>
                <w:sz w:val="15"/>
                <w:szCs w:val="15"/>
              </w:rPr>
              <w:t xml:space="preserve">임계점 : 흑자 소멸</w:t>
            </w:r>
          </w:p>
        </w:tc>
        <w:tc>
          <w:tcPr>
            <w:tcW w:type="dxa" w:w="14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w:t>
            </w:r>
          </w:p>
        </w:tc>
        <w:tc>
          <w:tcPr>
            <w:tcW w:type="dxa" w:w="12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IT −57.7%</w:t>
            </w:r>
          </w:p>
        </w:tc>
        <w:tc>
          <w:tcPr>
            <w:tcW w:type="dxa" w:w="14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0억$</w:t>
            </w:r>
          </w:p>
        </w:tc>
        <w:tc>
          <w:tcPr>
            <w:tcW w:type="dxa" w:w="12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C00000"/>
                <w:sz w:val="15"/>
                <w:szCs w:val="15"/>
              </w:rPr>
              <w:t xml:space="preserve">−100%</w:t>
            </w:r>
          </w:p>
        </w:tc>
        <w:tc>
          <w:tcPr>
            <w:tcW w:type="dxa" w:w="204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+21.3%</w:t>
            </w:r>
          </w:p>
        </w:tc>
      </w:tr>
      <w:tr>
        <w:trPr>
          <w:cantSplit/>
        </w:trPr>
        <w:tc>
          <w:tcPr>
            <w:tcW w:type="dxa" w:w="3200"/>
            <w:shd w:fill="DCE6F1"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bCs/>
                <w:i w:val="false"/>
                <w:iCs w:val="false"/>
                <w:color w:val="000000"/>
                <w:sz w:val="15"/>
                <w:szCs w:val="15"/>
              </w:rPr>
              <w:t xml:space="preserve">임계점 : 수출 증가율 0%</w:t>
            </w:r>
          </w:p>
        </w:tc>
        <w:tc>
          <w:tcPr>
            <w:tcW w:type="dxa" w:w="14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3,953.9억$</w:t>
            </w:r>
          </w:p>
        </w:tc>
        <w:tc>
          <w:tcPr>
            <w:tcW w:type="dxa" w:w="12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IT −68.7%</w:t>
            </w:r>
          </w:p>
        </w:tc>
        <w:tc>
          <w:tcPr>
            <w:tcW w:type="dxa" w:w="14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w:t>
            </w:r>
          </w:p>
        </w:tc>
        <w:tc>
          <w:tcPr>
            <w:tcW w:type="dxa" w:w="120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w:t>
            </w:r>
          </w:p>
        </w:tc>
        <w:tc>
          <w:tcPr>
            <w:tcW w:type="dxa" w:w="2040"/>
            <w:shd w:fill="DCE6F1"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bCs/>
                <w:i w:val="false"/>
                <w:iCs w:val="false"/>
                <w:color w:val="000000"/>
                <w:sz w:val="15"/>
                <w:szCs w:val="15"/>
              </w:rPr>
              <w:t xml:space="preserve">0.0%</w:t>
            </w:r>
          </w:p>
        </w:tc>
      </w:tr>
    </w:tbl>
    <w:p>
      <w:pPr>
        <w:spacing w:after="120" w:before="35"/>
      </w:pPr>
      <w:r>
        <w:rPr>
          <w:rFonts w:ascii="맑은 고딕" w:cs="맑은 고딕" w:eastAsia="맑은 고딕" w:hAnsi="맑은 고딕"/>
          <w:b w:val="false"/>
          <w:bCs w:val="false"/>
          <w:i/>
          <w:iCs/>
          <w:color w:val="595959"/>
          <w:sz w:val="14"/>
          <w:szCs w:val="14"/>
        </w:rPr>
        <w:t xml:space="preserve">표 9. 민감도와 임계점. 출처 : 분석13_민감도. 엑셀의 노란색 입력 셀에 자체 전망치를 넣으면 즉시 재계산된다.</w:t>
      </w:r>
    </w:p>
    <w:p>
      <w:pPr>
        <w:keepNext/>
        <w:spacing w:after="30" w:before="110"/>
      </w:pPr>
      <w:r>
        <w:rPr>
          <w:rFonts w:ascii="맑은 고딕" w:cs="맑은 고딕" w:eastAsia="맑은 고딕" w:hAnsi="맑은 고딕"/>
          <w:b/>
          <w:bCs/>
          <w:i w:val="false"/>
          <w:iCs w:val="false"/>
          <w:color w:val="1F3864"/>
          <w:sz w:val="16"/>
          <w:szCs w:val="16"/>
        </w:rPr>
        <w:t xml:space="preserve">그림 8. IT 수출단가 충격에 따른 수출·무역수지</w:t>
      </w:r>
    </w:p>
    <w:p>
      <w:pPr>
        <w:keepNext/>
        <w:spacing w:after="20" w:before="0"/>
        <w:jc w:val="center"/>
      </w:pPr>
      <w:r>
        <w:drawing>
          <wp:inline distT="0" distB="0" distL="0" distR="0">
            <wp:extent cx="45529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1971675"/>
                    </a:xfrm>
                    <a:prstGeom prst="rect">
                      <a:avLst/>
                    </a:prstGeom>
                  </pic:spPr>
                </pic:pic>
              </a:graphicData>
            </a:graphic>
          </wp:inline>
        </w:drawing>
      </w:r>
    </w:p>
    <w:p>
      <w:pPr>
        <w:spacing w:after="120" w:before="35"/>
      </w:pPr>
      <w:r>
        <w:rPr>
          <w:rFonts w:ascii="맑은 고딕" w:cs="맑은 고딕" w:eastAsia="맑은 고딕" w:hAnsi="맑은 고딕"/>
          <w:b w:val="false"/>
          <w:bCs w:val="false"/>
          <w:i/>
          <w:iCs/>
          <w:color w:val="595959"/>
          <w:sz w:val="14"/>
          <w:szCs w:val="14"/>
        </w:rPr>
        <w:t xml:space="preserve">파랑 = 수출, 주황 = 무역수지. 좌측 첫 쌍이 현재 실적. 출처 : 분석15_그래프2.</w:t>
      </w:r>
    </w:p>
    <w:p>
      <w:pPr>
        <w:spacing w:after="60" w:before="60" w:line="255"/>
        <w:jc w:val="both"/>
      </w:pPr>
      <w:r>
        <w:rPr>
          <w:rFonts w:ascii="맑은 고딕" w:cs="맑은 고딕" w:eastAsia="맑은 고딕" w:hAnsi="맑은 고딕"/>
          <w:b/>
          <w:bCs/>
          <w:i w:val="false"/>
          <w:iCs w:val="false"/>
          <w:color w:val="000000"/>
          <w:sz w:val="19"/>
          <w:szCs w:val="19"/>
        </w:rPr>
        <w:t xml:space="preserve">그림이 보여주는 것. </w:t>
      </w:r>
      <w:r>
        <w:rPr>
          <w:rFonts w:ascii="맑은 고딕" w:cs="맑은 고딕" w:eastAsia="맑은 고딕" w:hAnsi="맑은 고딕"/>
          <w:b w:val="false"/>
          <w:bCs w:val="false"/>
          <w:i w:val="false"/>
          <w:iCs w:val="false"/>
          <w:color w:val="000000"/>
          <w:sz w:val="19"/>
          <w:szCs w:val="19"/>
        </w:rPr>
        <w:t xml:space="preserve">두 막대가 줄어드는 속도가 완전히 다르다. 파란 막대(수출)는 −50% 충격에서도 5,951 → 4,497억 달러로 4분의 3이 남지만, 주황 막대(무역수지)는 1,678 → 224억 달러로 8분의 1만 남는다. 오른쪽으로 갈수록 주황 막대가 거의 사라지는 이 모양이 </w:t>
      </w:r>
      <w:r>
        <w:rPr>
          <w:rFonts w:ascii="맑은 고딕" w:cs="맑은 고딕" w:eastAsia="맑은 고딕" w:hAnsi="맑은 고딕"/>
          <w:b/>
          <w:bCs/>
          <w:i w:val="false"/>
          <w:iCs w:val="false"/>
          <w:color w:val="000000"/>
          <w:sz w:val="19"/>
          <w:szCs w:val="19"/>
        </w:rPr>
        <w:t xml:space="preserve">레버리지 구조</w:t>
      </w:r>
      <w:r>
        <w:rPr>
          <w:rFonts w:ascii="맑은 고딕" w:cs="맑은 고딕" w:eastAsia="맑은 고딕" w:hAnsi="맑은 고딕"/>
          <w:b w:val="false"/>
          <w:bCs w:val="false"/>
          <w:i w:val="false"/>
          <w:iCs w:val="false"/>
          <w:color w:val="000000"/>
          <w:sz w:val="19"/>
          <w:szCs w:val="19"/>
        </w:rPr>
        <w:t xml:space="preserve">를 시각적으로 보여준다.</w:t>
      </w:r>
    </w:p>
    <w:p>
      <w:pPr>
        <w:keepNext/>
        <w:spacing w:after="40" w:before="130"/>
      </w:pPr>
      <w:r>
        <w:rPr>
          <w:rFonts w:ascii="맑은 고딕" w:cs="맑은 고딕" w:eastAsia="맑은 고딕" w:hAnsi="맑은 고딕"/>
          <w:b/>
          <w:bCs/>
          <w:i w:val="false"/>
          <w:iCs w:val="false"/>
          <w:color w:val="2E5395"/>
          <w:sz w:val="19"/>
          <w:szCs w:val="19"/>
        </w:rPr>
        <w:t xml:space="preserve">숫자 이면 — 왜 수지가 3.5배 더 흔들리는가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IT 수출금액이 20% 줄면 수출은 −9.8%인데 무역수지는 −34.7%다. </w:t>
      </w:r>
      <w:r>
        <w:rPr>
          <w:rFonts w:ascii="맑은 고딕" w:cs="맑은 고딕" w:eastAsia="맑은 고딕" w:hAnsi="맑은 고딕"/>
          <w:b/>
          <w:bCs/>
          <w:i w:val="false"/>
          <w:iCs w:val="false"/>
          <w:color w:val="000000"/>
          <w:sz w:val="19"/>
          <w:szCs w:val="19"/>
        </w:rPr>
        <w:t xml:space="preserve">증폭 배율이 3.55배</w:t>
      </w:r>
      <w:r>
        <w:rPr>
          <w:rFonts w:ascii="맑은 고딕" w:cs="맑은 고딕" w:eastAsia="맑은 고딕" w:hAnsi="맑은 고딕"/>
          <w:b w:val="false"/>
          <w:bCs w:val="false"/>
          <w:i w:val="false"/>
          <w:iCs w:val="false"/>
          <w:color w:val="000000"/>
          <w:sz w:val="19"/>
          <w:szCs w:val="19"/>
        </w:rPr>
        <w:t xml:space="preserve">다. 이유는 단순한 산수에 있다. 무역수지는 수출과 수입의 차액이고, 분모에 해당하는 수지(1,677.6억 달러)가 수출(5,950.6억 달러)의 28%에 불과하다. 수출이 291억 달러 줄면 그 291억이 고스란히 수지에서 빠지는데, 수지의 절대 크기가 작으므로 비율로는 훨씬 큰 충격이 된다. 여기에 수입은 IT 가격과 함께 줄지 않는다는 점이 더해진다. 에너지·원자재 수입은 반도체 가격과 무관하게 발생하므로 완충 장치가 되어주지 못한다.</w:t>
      </w:r>
    </w:p>
    <w:p>
      <w:pPr>
        <w:spacing w:after="60" w:before="60" w:line="255"/>
        <w:jc w:val="both"/>
      </w:pPr>
      <w:r>
        <w:rPr>
          <w:rFonts w:ascii="맑은 고딕" w:cs="맑은 고딕" w:eastAsia="맑은 고딕" w:hAnsi="맑은 고딕"/>
          <w:b/>
          <w:bCs/>
          <w:i w:val="false"/>
          <w:iCs w:val="false"/>
          <w:color w:val="000000"/>
          <w:sz w:val="19"/>
          <w:szCs w:val="19"/>
        </w:rPr>
        <w:t xml:space="preserve">임계점의 의미. </w:t>
      </w:r>
      <w:r>
        <w:rPr>
          <w:rFonts w:ascii="맑은 고딕" w:cs="맑은 고딕" w:eastAsia="맑은 고딕" w:hAnsi="맑은 고딕"/>
          <w:b w:val="false"/>
          <w:bCs w:val="false"/>
          <w:i w:val="false"/>
          <w:iCs w:val="false"/>
          <w:color w:val="000000"/>
          <w:sz w:val="19"/>
          <w:szCs w:val="19"/>
        </w:rPr>
        <w:t xml:space="preserve">IT 수출금액이 57.7% 줄면 무역수지 흑자가 0이 된다. 이 숫자를 과장된 가정으로 볼 수 없는 이유는 앞 장의 그림 7에 있다. IT부품 단가 지수는 2025년 1월 100에서 2026년 6월 362.8까지 올랐다. 고점 대비 57.7% 하락은 지수 153, 즉 </w:t>
      </w:r>
      <w:r>
        <w:rPr>
          <w:rFonts w:ascii="맑은 고딕" w:cs="맑은 고딕" w:eastAsia="맑은 고딕" w:hAnsi="맑은 고딕"/>
          <w:b/>
          <w:bCs/>
          <w:i w:val="false"/>
          <w:iCs w:val="false"/>
          <w:color w:val="000000"/>
          <w:sz w:val="19"/>
          <w:szCs w:val="19"/>
        </w:rPr>
        <w:t xml:space="preserve">2025년 12월 수준으로 돌아가는 것</w:t>
      </w:r>
      <w:r>
        <w:rPr>
          <w:rFonts w:ascii="맑은 고딕" w:cs="맑은 고딕" w:eastAsia="맑은 고딕" w:hAnsi="맑은 고딕"/>
          <w:b w:val="false"/>
          <w:bCs w:val="false"/>
          <w:i w:val="false"/>
          <w:iCs w:val="false"/>
          <w:color w:val="000000"/>
          <w:sz w:val="19"/>
          <w:szCs w:val="19"/>
        </w:rPr>
        <w:t xml:space="preserve">에 해당한다. 불과 7개월 전 수준으로의 회귀만으로 흑자 전체가 사라진다는 뜻이다. 마찬가지로 IT −46.0%면 무역수지가 전년 동기 수준(339.3억 달러)으로 되돌아간다.</w:t>
      </w:r>
    </w:p>
    <w:p>
      <w:pPr>
        <w:keepNext/>
        <w:spacing w:after="40" w:before="130"/>
      </w:pPr>
      <w:r>
        <w:rPr>
          <w:rFonts w:ascii="맑은 고딕" w:cs="맑은 고딕" w:eastAsia="맑은 고딕" w:hAnsi="맑은 고딕"/>
          <w:b/>
          <w:bCs/>
          <w:i w:val="false"/>
          <w:iCs w:val="false"/>
          <w:color w:val="2E5395"/>
          <w:sz w:val="19"/>
          <w:szCs w:val="19"/>
        </w:rPr>
        <w:t xml:space="preserve">비대칭 리스크 — 상방은 실현됐고 하방은 남아 있다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이번 국면의 상방 시나리오는 이미 실현된 상태다. 단가는 두 배가 됐고 흑자는 4.9배가 됐으며 IT 비중은 51%를 넘겼다. 여기서 더 좋아지려면 가격이 또 한 번 배가 되어야 하는데, 그런 상승이 이어질 것으로 가정하는 계획은 위험하다. 반면 하방은 전부 미실현이다. 물량이 아니라 가격이 만든 성장이므로 되돌림에 시간이 걸리지 않는다. 설비와 고용은 관성이 있어 천천히 조정되지만 </w:t>
      </w:r>
      <w:r>
        <w:rPr>
          <w:rFonts w:ascii="맑은 고딕" w:cs="맑은 고딕" w:eastAsia="맑은 고딕" w:hAnsi="맑은 고딕"/>
          <w:b/>
          <w:bCs/>
          <w:i w:val="false"/>
          <w:iCs w:val="false"/>
          <w:color w:val="000000"/>
          <w:sz w:val="19"/>
          <w:szCs w:val="19"/>
        </w:rPr>
        <w:t xml:space="preserve">가격은 계약 주기가 돌아오는 즉시 반영</w:t>
      </w:r>
      <w:r>
        <w:rPr>
          <w:rFonts w:ascii="맑은 고딕" w:cs="맑은 고딕" w:eastAsia="맑은 고딕" w:hAnsi="맑은 고딕"/>
          <w:b w:val="false"/>
          <w:bCs w:val="false"/>
          <w:i w:val="false"/>
          <w:iCs w:val="false"/>
          <w:color w:val="000000"/>
          <w:sz w:val="19"/>
          <w:szCs w:val="19"/>
        </w:rPr>
        <w:t xml:space="preserve">된다.</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여기에 품목 집중과 지역 집중이 겹친다. 수출의 51.3%가 IT 두 품목이고(그림 5), 상위 20개국 중 13개국이 그 IT와 0.8 이상 동조한다(그림 4). </w:t>
      </w:r>
      <w:r>
        <w:rPr>
          <w:rFonts w:ascii="맑은 고딕" w:cs="맑은 고딕" w:eastAsia="맑은 고딕" w:hAnsi="맑은 고딕"/>
          <w:b/>
          <w:bCs/>
          <w:i w:val="false"/>
          <w:iCs w:val="false"/>
          <w:color w:val="000000"/>
          <w:sz w:val="19"/>
          <w:szCs w:val="19"/>
        </w:rPr>
        <w:t xml:space="preserve">품목이 흔들릴 때 지역이 받쳐주는 구조가 아니라, 품목과 지역이 같이 흔들리는 구조</w:t>
      </w:r>
      <w:r>
        <w:rPr>
          <w:rFonts w:ascii="맑은 고딕" w:cs="맑은 고딕" w:eastAsia="맑은 고딕" w:hAnsi="맑은 고딕"/>
          <w:b w:val="false"/>
          <w:bCs w:val="false"/>
          <w:i w:val="false"/>
          <w:iCs w:val="false"/>
          <w:color w:val="000000"/>
          <w:sz w:val="19"/>
          <w:szCs w:val="19"/>
        </w:rPr>
        <w:t xml:space="preserve">다. 실제로 중화권 수요가 20% 줄어드는 시나리오만으로도 수출 −7.0%, 무역수지 −24.7%가 나온다. 이 두 충격은 서로 독립이 아니므로 동시에 올 가능성을 배제할 수 없다.</w:t>
      </w:r>
    </w:p>
    <w:p>
      <w:pPr>
        <w:keepNext/>
        <w:spacing w:after="40" w:before="130"/>
      </w:pPr>
      <w:r>
        <w:rPr>
          <w:rFonts w:ascii="맑은 고딕" w:cs="맑은 고딕" w:eastAsia="맑은 고딕" w:hAnsi="맑은 고딕"/>
          <w:b/>
          <w:bCs/>
          <w:i w:val="false"/>
          <w:iCs w:val="false"/>
          <w:color w:val="2E5395"/>
          <w:sz w:val="19"/>
          <w:szCs w:val="19"/>
        </w:rPr>
        <w:t xml:space="preserve">그래서 무엇을 보아야 하는가</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이 구조에서 조기 경보 역할을 할 수 있는 지표는 다섯 개다. 모두 첨부 엑셀에서 다음 달 원본 데이터만 갱신하면 자동으로 다시 계산되므로, 매월 같은 자리를 확인하는 것만으로 추적이 가능하다.</w:t>
      </w:r>
    </w:p>
    <w:tbl>
      <w:tblPr>
        <w:tblW w:type="dxa" w:w="10440"/>
        <w:tblBorders>
          <w:top w:val="single" w:color="AAB7CF" w:sz="4"/>
          <w:left w:val="single" w:color="AAB7CF" w:sz="4"/>
          <w:bottom w:val="single" w:color="AAB7CF" w:sz="4"/>
          <w:right w:val="single" w:color="AAB7CF" w:sz="4"/>
          <w:insideH w:val="single" w:color="D0D8E8" w:sz="2"/>
          <w:insideV w:val="single" w:color="D0D8E8" w:sz="2"/>
        </w:tblBorders>
      </w:tblPr>
      <w:tblGrid>
        <w:gridCol w:w="2450"/>
        <w:gridCol w:w="3100"/>
        <w:gridCol w:w="2900"/>
        <w:gridCol w:w="1990"/>
      </w:tblGrid>
      <w:tr>
        <w:trPr>
          <w:cantSplit/>
          <w:tblHeader/>
        </w:trPr>
        <w:tc>
          <w:tcPr>
            <w:tcW w:type="dxa" w:w="245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지표</w:t>
            </w:r>
          </w:p>
        </w:tc>
        <w:tc>
          <w:tcPr>
            <w:tcW w:type="dxa" w:w="31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무엇을 말해주는가</w:t>
            </w:r>
          </w:p>
        </w:tc>
        <w:tc>
          <w:tcPr>
            <w:tcW w:type="dxa" w:w="290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경계 신호</w:t>
            </w:r>
          </w:p>
        </w:tc>
        <w:tc>
          <w:tcPr>
            <w:tcW w:type="dxa" w:w="1990"/>
            <w:shd w:fill="1F3864" w:color="auto" w:val="clear"/>
            <w:tcMar>
              <w:top w:type="dxa" w:w="45"/>
              <w:left w:type="dxa" w:w="70"/>
              <w:bottom w:type="dxa" w:w="45"/>
              <w:right w:type="dxa" w:w="70"/>
            </w:tcMar>
            <w:vAlign w:val="center"/>
          </w:tcPr>
          <w:p>
            <w:pPr>
              <w:spacing w:after="0" w:before="0" w:line="230"/>
              <w:jc w:val="center"/>
            </w:pPr>
            <w:r>
              <w:rPr>
                <w:rFonts w:ascii="맑은 고딕" w:cs="맑은 고딕" w:eastAsia="맑은 고딕" w:hAnsi="맑은 고딕"/>
                <w:b/>
                <w:bCs/>
                <w:i w:val="false"/>
                <w:iCs w:val="false"/>
                <w:color w:val="FFFFFF"/>
                <w:sz w:val="15"/>
                <w:szCs w:val="15"/>
              </w:rPr>
              <w:t xml:space="preserve">엑셀 위치</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① HS85류 전년동월비</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전체 수출 증가의 67%를 설명하는 단일 변수. 방향 판단의 기준</w:t>
            </w:r>
          </w:p>
        </w:tc>
        <w:tc>
          <w:tcPr>
            <w:tcW w:type="dxa" w:w="2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3개월 연속 둔화 또는 마이너스 전환</w:t>
            </w:r>
          </w:p>
        </w:tc>
        <w:tc>
          <w:tcPr>
            <w:tcW w:type="dxa" w:w="19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분석4, 분석9</w:t>
            </w:r>
          </w:p>
        </w:tc>
      </w:tr>
      <w:tr>
        <w:trPr>
          <w:cantSplit/>
        </w:trPr>
        <w:tc>
          <w:tcPr>
            <w:tcW w:type="dxa" w:w="245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② 수출단가 지수(전체·IT부품)</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흑자의 지속성. 지금의 흑자가 유지되는지 여부</w:t>
            </w:r>
          </w:p>
        </w:tc>
        <w:tc>
          <w:tcPr>
            <w:tcW w:type="dxa" w:w="29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IT부품 지수가 고점(362.8) 대비 30% 이상 이탈</w:t>
            </w:r>
          </w:p>
        </w:tc>
        <w:tc>
          <w:tcPr>
            <w:tcW w:type="dxa" w:w="199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분석8 [D], 그림 7</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③ 조업일수 보정 일평균</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달력 착시 제거. 월합이 감추는 실제 둔화 폭</w:t>
            </w:r>
          </w:p>
        </w:tc>
        <w:tc>
          <w:tcPr>
            <w:tcW w:type="dxa" w:w="2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월합은 증가인데 일평균은 감소하는 달의 출현</w:t>
            </w:r>
          </w:p>
        </w:tc>
        <w:tc>
          <w:tcPr>
            <w:tcW w:type="dxa" w:w="19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분석2 K열, 분석11 E열</w:t>
            </w:r>
          </w:p>
        </w:tc>
      </w:tr>
      <w:tr>
        <w:trPr>
          <w:cantSplit/>
        </w:trPr>
        <w:tc>
          <w:tcPr>
            <w:tcW w:type="dxa" w:w="2450"/>
            <w:shd w:fill="F7F9FC" w:color="auto" w:val="clear"/>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④ IT 제외 3개월이평 전년동월비</w:t>
            </w:r>
          </w:p>
        </w:tc>
        <w:tc>
          <w:tcPr>
            <w:tcW w:type="dxa" w:w="31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완충 여지. IT 밖으로 온기가 번지고 있는지</w:t>
            </w:r>
          </w:p>
        </w:tc>
        <w:tc>
          <w:tcPr>
            <w:tcW w:type="dxa" w:w="290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현재 +15.0%에서 한 자릿수로 하락</w:t>
            </w:r>
          </w:p>
        </w:tc>
        <w:tc>
          <w:tcPr>
            <w:tcW w:type="dxa" w:w="1990"/>
            <w:shd w:fill="F7F9FC" w:color="auto" w:val="clear"/>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분석11 P열, 그림 6</w:t>
            </w:r>
          </w:p>
        </w:tc>
      </w:tr>
      <w:tr>
        <w:trPr>
          <w:cantSplit/>
        </w:trPr>
        <w:tc>
          <w:tcPr>
            <w:tcW w:type="dxa" w:w="2450"/>
            <w:tcMar>
              <w:top w:type="dxa" w:w="45"/>
              <w:left w:type="dxa" w:w="70"/>
              <w:bottom w:type="dxa" w:w="45"/>
              <w:right w:type="dxa" w:w="70"/>
            </w:tcMar>
            <w:vAlign w:val="center"/>
          </w:tcPr>
          <w:p>
            <w:pPr>
              <w:spacing w:after="0" w:before="0" w:line="230"/>
              <w:jc w:val="left"/>
            </w:pPr>
            <w:r>
              <w:rPr>
                <w:rFonts w:ascii="맑은 고딕" w:cs="맑은 고딕" w:eastAsia="맑은 고딕" w:hAnsi="맑은 고딕"/>
                <w:b w:val="false"/>
                <w:bCs w:val="false"/>
                <w:i w:val="false"/>
                <w:iCs w:val="false"/>
                <w:color w:val="000000"/>
                <w:sz w:val="15"/>
                <w:szCs w:val="15"/>
              </w:rPr>
              <w:t xml:space="preserve">⑤ 품목 HHI · 상위 5개국 비중</w:t>
            </w:r>
          </w:p>
        </w:tc>
        <w:tc>
          <w:tcPr>
            <w:tcW w:type="dxa" w:w="31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집중도. 충격이 왔을 때 분산으로 버틸 수 있는지</w:t>
            </w:r>
          </w:p>
        </w:tc>
        <w:tc>
          <w:tcPr>
            <w:tcW w:type="dxa" w:w="290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HHI 2,500 상회 또는 상위 5개국 65% 상회</w:t>
            </w:r>
          </w:p>
        </w:tc>
        <w:tc>
          <w:tcPr>
            <w:tcW w:type="dxa" w:w="1990"/>
            <w:tcMar>
              <w:top w:type="dxa" w:w="45"/>
              <w:left w:type="dxa" w:w="70"/>
              <w:bottom w:type="dxa" w:w="45"/>
              <w:right w:type="dxa" w:w="70"/>
            </w:tcMar>
            <w:vAlign w:val="center"/>
          </w:tcPr>
          <w:p>
            <w:pPr>
              <w:spacing w:after="0" w:before="0" w:line="230"/>
              <w:jc w:val="right"/>
            </w:pPr>
            <w:r>
              <w:rPr>
                <w:rFonts w:ascii="맑은 고딕" w:cs="맑은 고딕" w:eastAsia="맑은 고딕" w:hAnsi="맑은 고딕"/>
                <w:b w:val="false"/>
                <w:bCs w:val="false"/>
                <w:i w:val="false"/>
                <w:iCs w:val="false"/>
                <w:color w:val="000000"/>
                <w:sz w:val="15"/>
                <w:szCs w:val="15"/>
              </w:rPr>
              <w:t xml:space="preserve">분석10, 그림 5</w:t>
            </w:r>
          </w:p>
        </w:tc>
      </w:tr>
    </w:tbl>
    <w:p>
      <w:pPr>
        <w:spacing w:after="120" w:before="35"/>
      </w:pPr>
      <w:r>
        <w:rPr>
          <w:rFonts w:ascii="맑은 고딕" w:cs="맑은 고딕" w:eastAsia="맑은 고딕" w:hAnsi="맑은 고딕"/>
          <w:b w:val="false"/>
          <w:bCs w:val="false"/>
          <w:i/>
          <w:iCs/>
          <w:color w:val="595959"/>
          <w:sz w:val="14"/>
          <w:szCs w:val="14"/>
        </w:rPr>
        <w:t xml:space="preserve">표 10. 월간 모니터링 지표. 출처 : 분석2·4·8·9·10·11.</w:t>
      </w:r>
    </w:p>
    <w:p>
      <w:pPr>
        <w:spacing w:after="60" w:before="60" w:line="255"/>
        <w:jc w:val="both"/>
      </w:pPr>
      <w:r>
        <w:rPr>
          <w:rFonts w:ascii="맑은 고딕" w:cs="맑은 고딕" w:eastAsia="맑은 고딕" w:hAnsi="맑은 고딕"/>
          <w:b w:val="false"/>
          <w:bCs w:val="false"/>
          <w:i w:val="false"/>
          <w:iCs w:val="false"/>
          <w:color w:val="000000"/>
          <w:sz w:val="19"/>
          <w:szCs w:val="19"/>
        </w:rPr>
        <w:t xml:space="preserve">이 가운데 </w:t>
      </w:r>
      <w:r>
        <w:rPr>
          <w:rFonts w:ascii="맑은 고딕" w:cs="맑은 고딕" w:eastAsia="맑은 고딕" w:hAnsi="맑은 고딕"/>
          <w:b/>
          <w:bCs/>
          <w:i w:val="false"/>
          <w:iCs w:val="false"/>
          <w:color w:val="000000"/>
          <w:sz w:val="19"/>
          <w:szCs w:val="19"/>
        </w:rPr>
        <w:t xml:space="preserve">②와 ④가 같은 달에 함께 꺾이는 시점</w:t>
      </w:r>
      <w:r>
        <w:rPr>
          <w:rFonts w:ascii="맑은 고딕" w:cs="맑은 고딕" w:eastAsia="맑은 고딕" w:hAnsi="맑은 고딕"/>
          <w:b w:val="false"/>
          <w:bCs w:val="false"/>
          <w:i w:val="false"/>
          <w:iCs w:val="false"/>
          <w:color w:val="000000"/>
          <w:sz w:val="19"/>
          <w:szCs w:val="19"/>
        </w:rPr>
        <w:t xml:space="preserve">이 가장 중요하다. 단가가 내려오는 동시에 IT 밖의 완충까지 약해진다는 뜻이므로, 그때부터는 7장의 민감도 표를 가정이 아니라 전망으로 바꿔 읽어야 한다. 반대로 ②가 꺾여도 ④가 두 자릿수를 유지한다면, 수출 총액은 줄더라도 산업 전반의 온기는 남아 있는 국면으로 구분해 판단할 수 있다.</w:t>
      </w:r>
    </w:p>
    <w:p>
      <w:pPr>
        <w:pBdr>
          <w:top w:val="single" w:color="1F3864" w:sz="8" w:space="3"/>
        </w:pBdr>
        <w:spacing w:before="200"/>
      </w:pPr>
      <w:r>
        <w:rPr>
          <w:rFonts w:ascii="맑은 고딕" w:cs="맑은 고딕" w:eastAsia="맑은 고딕" w:hAnsi="맑은 고딕"/>
          <w:b w:val="false"/>
          <w:bCs w:val="false"/>
          <w:i w:val="false"/>
          <w:iCs w:val="false"/>
          <w:color w:val="595959"/>
          <w:sz w:val="14"/>
          <w:szCs w:val="14"/>
        </w:rPr>
        <w:t xml:space="preserve">근거 파일 : 수출입실적_통합분석_2025-2026.xlsx (원본 5개 시트 무수정 · 정제 5개 · 분석 15개 · 그래프 23종 · 수식 71,353개, 수식 오류 0). 본 보고서의 모든 표와 그림은 해당 파일에서 재현·검증할 수 있으며, 원본 데이터를 갱신하면 함께 갱신된다.</w:t>
      </w:r>
    </w:p>
    <w:sectPr>
      <w:pgSz w:w="11906" w:h="16838" w:orient="portrait"/>
      <w:pgMar w:top="700" w:right="660" w:bottom="64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6eae1e1c65ee6dec5cac7f130faeb821f0bb93.png"/><Relationship Id="rId8" Type="http://schemas.openxmlformats.org/officeDocument/2006/relationships/image" Target="media/b654aa623e95bf9df38d4888327394c6948d4cdc.png"/><Relationship Id="rId9" Type="http://schemas.openxmlformats.org/officeDocument/2006/relationships/image" Target="media/00ea4161919c0d2ef613c3f94b6331b6baa6cbe6.png"/><Relationship Id="rId10" Type="http://schemas.openxmlformats.org/officeDocument/2006/relationships/image" Target="media/43e5227c0b2e002612d62018f285796fe02188d7.png"/><Relationship Id="rId11" Type="http://schemas.openxmlformats.org/officeDocument/2006/relationships/image" Target="media/cb682baf802cda4850f6e44f7d6a581750c8190f.png"/><Relationship Id="rId12" Type="http://schemas.openxmlformats.org/officeDocument/2006/relationships/image" Target="media/11d120024820240130648a73c3d094470d91ed40.png"/><Relationship Id="rId13" Type="http://schemas.openxmlformats.org/officeDocument/2006/relationships/image" Target="media/769286e7c20381f1f20fa3071b1dc68d0612b591.png"/><Relationship Id="rId14" Type="http://schemas.openxmlformats.org/officeDocument/2006/relationships/image" Target="media/f9be525440fbbe8a3e38b6809cbe2ed501d7862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2026-08-23T21:22:36.611Z</dcterms:created>
  <dcterms:modified xsi:type="dcterms:W3CDTF">2026-08-23T21:22:36.611Z</dcterms:modified>
</cp:coreProperties>
</file>

<file path=docProps/custom.xml><?xml version="1.0" encoding="utf-8"?>
<Properties xmlns="http://schemas.openxmlformats.org/officeDocument/2006/custom-properties" xmlns:vt="http://schemas.openxmlformats.org/officeDocument/2006/docPropsVTypes"/>
</file>