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700"/>
        <w:jc w:val="center"/>
      </w:pPr>
      <w:r>
        <w:rPr>
          <w:rFonts w:ascii="Arial" w:hAnsi="Arial"/>
          <w:b/>
          <w:color w:val="17365D"/>
          <w:sz w:val="32"/>
        </w:rPr>
        <w:t>INFORME DE PRÁCTICAS DEL COMPONENTE</w:t>
        <w:br/>
        <w:t>PRÁCTICO-EXPERIMENTAL</w:t>
      </w:r>
    </w:p>
    <w:p>
      <w:pPr>
        <w:jc w:val="center"/>
      </w:pPr>
      <w:r>
        <w:rPr>
          <w:rFonts w:ascii="Arial" w:hAnsi="Arial"/>
          <w:b/>
          <w:color w:val="2F75B5"/>
          <w:sz w:val="28"/>
        </w:rPr>
        <w:t>PRÁCTICO EXPERIMENTAL N.° 3</w:t>
      </w:r>
    </w:p>
    <w:p>
      <w:pPr>
        <w:spacing w:before="360"/>
        <w:jc w:val="center"/>
      </w:pPr>
      <w:r>
        <w:rPr>
          <w:rFonts w:ascii="Arial" w:hAnsi="Arial"/>
          <w:b/>
          <w:color w:val="0F6B78"/>
          <w:sz w:val="30"/>
        </w:rPr>
        <w:t>Plan de negocios de MinSupport: soporte técnico especializado</w:t>
      </w:r>
    </w:p>
    <w:p>
      <w:pPr>
        <w:jc w:val="center"/>
      </w:pPr>
      <w:r>
        <w:rPr>
          <w:rFonts w:ascii="Arial" w:hAnsi="Arial"/>
          <w:i/>
          <w:color w:val="666666"/>
          <w:sz w:val="21"/>
        </w:rPr>
        <w:t>Computadoras de escritorio, laptops, impresoras, cámaras de seguridad y conexiones de red</w:t>
      </w:r>
    </w:p>
    <w:p/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4"/>
        <w:gridCol w:w="4704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Dato institucional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Información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 w:val="0"/>
                <w:color w:val="1F1F1F"/>
                <w:sz w:val="20"/>
              </w:rPr>
              <w:t>Carrera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color w:val="1F1F1F"/>
                <w:sz w:val="20"/>
              </w:rPr>
              <w:t>[Completar con el nombre de la carrera]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 w:val="0"/>
                <w:color w:val="1F1F1F"/>
                <w:sz w:val="20"/>
              </w:rPr>
              <w:t>Modalidad de estudios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color w:val="1F1F1F"/>
                <w:sz w:val="20"/>
              </w:rPr>
              <w:t>En línea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 w:val="0"/>
                <w:color w:val="1F1F1F"/>
                <w:sz w:val="20"/>
              </w:rPr>
              <w:t>Unidad de Organización Curricular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color w:val="1F1F1F"/>
                <w:sz w:val="20"/>
              </w:rPr>
              <w:t>Básica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 w:val="0"/>
                <w:color w:val="1F1F1F"/>
                <w:sz w:val="20"/>
              </w:rPr>
              <w:t>Asignatura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color w:val="1F1F1F"/>
                <w:sz w:val="20"/>
              </w:rPr>
              <w:t>Emprendimiento — [Paralelo]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 w:val="0"/>
                <w:color w:val="1F1F1F"/>
                <w:sz w:val="20"/>
              </w:rPr>
              <w:t>Nombre de los estudiantes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color w:val="1F1F1F"/>
                <w:sz w:val="20"/>
              </w:rPr>
              <w:t>[Nombres completos de los integrantes]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 w:val="0"/>
                <w:color w:val="1F1F1F"/>
                <w:sz w:val="20"/>
              </w:rPr>
              <w:t>Docente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color w:val="1F1F1F"/>
                <w:sz w:val="20"/>
              </w:rPr>
              <w:t>[Nombre completo del docente]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 w:val="0"/>
                <w:color w:val="1F1F1F"/>
                <w:sz w:val="20"/>
              </w:rPr>
              <w:t>Fecha del informe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color w:val="1F1F1F"/>
                <w:sz w:val="20"/>
              </w:rPr>
              <w:t>26 de agosto de 2026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 w:val="0"/>
                <w:color w:val="1F1F1F"/>
                <w:sz w:val="20"/>
              </w:rPr>
              <w:t>Calificación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color w:val="1F1F1F"/>
                <w:sz w:val="20"/>
              </w:rPr>
              <w:t>Sobre 7,5 puntos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Arial" w:hAnsi="Arial"/>
          <w:i/>
          <w:color w:val="666666"/>
          <w:sz w:val="18"/>
        </w:rPr>
        <w:t>Documento académico original. Las cifras financieras son proyecciones para fines de planificación y deben validarse con cotizaciones y datos de campo antes de invertir.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</w:rPr>
        <w:t>Resumen ejecutivo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MinSupport es un emprendimiento de servicios tecnológicos orientado a resolver fallas, mantener y mejorar equipos informáticos y sistemas de conectividad de hogares, estudiantes, profesionales independientes y microempresas. Su portafolio integra diagnóstico y reparación de computadoras de escritorio y laptops, mantenimiento de impresoras, instalación y configuración de cámaras de seguridad, cableado y configuración de redes, asistencia remota y planes de soporte preventivo. La propuesta se diferencia por ofrecer diagnóstico comprensible, autorización previa de los trabajos, garantía escrita, seguimiento postventa y atención combinada por canales físicos y digitales.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El plan se construye a partir de un focus group exploratorio propuesto para validar la oportunidad. Como resultado preliminar, se identifican cinco factores de decisión: rapidez de respuesta, confianza, transparencia del precio, visita técnica y garantía. La oportunidad se relaciona con el crecimiento del uso de internet y los dispositivos tecnológicos en Ecuador: en 2024, el 66,0 % de los hogares reportó acceso a internet y el 77,2 % de las personas declaró haber utilizado internet en los últimos doce meses (Instituto Nacional de Estadística y Censos 2024).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La inversión inicial estimada asciende a USD 12.500. Se destina a herramientas, equipos de diagnóstico, inventario básico, demostradores de redes y cámaras, mobiliario, formalización, marketing y capital de trabajo. Bajo un escenario conservador, las ventas crecerían de USD 36.000 en el primer año a USD 81.000 en el quinto año. La utilidad neta estimada pasaría de USD 6.600 a USD 28.650, antes de impuestos, con recuperación del capital entre el primer y segundo año, siempre que se cumplan las metas comerciales y de control de costos.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9408"/>
      </w:tblGrid>
      <w:tr>
        <w:tc>
          <w:tcPr>
            <w:tcW w:type="dxa" w:w="9408"/>
            <w:shd w:fill="FCE4D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ind w:left="57" w:right="57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color w:val="1F1F1F"/>
                <w:sz w:val="18"/>
              </w:rPr>
              <w:t>Alcance de las proyecciones: este informe no constituye una promesa de rentabilidad. Los valores son supuestos académicos en dólares de los Estados Unidos, construidos para demostrar la viabilidad inicial del modelo y sujetos a validación local.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</w:rPr>
        <w:t>Introducción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El emprendimiento tecnológico surge como respuesta a una necesidad cotidiana: las personas y pequeños negocios dependen de equipos, impresoras, cámaras y redes, pero no siempre cuentan con conocimientos, tiempo o personal interno para diagnosticar y resolver problemas. Esta dependencia hace que una falla informática produzca pérdidas de productividad, interrupciones en la atención al público, riesgos de pérdida de información y dificultades para mantener la continuidad operativa.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La digitalización de las pequeñas y medianas empresas ofrece oportunidades de eficiencia, automatización y mejor relación con los clientes, pero requiere conectividad confiable y habilidades técnicas para que la tecnología sea utilizada adecuadamente (Organización para la Cooperación y el Desarrollo Económicos 2024). En Ecuador, una encuesta difundida por Microsoft reportó que el 93 % de las pymes consultadas considera positivo el impacto de la transformación digital; al mismo tiempo, identificó como retos la ciberseguridad, la productividad y la conexión con clientes (Microsoft 2023). Estos antecedentes respaldan la pertinencia de una empresa que combine reparación, mantenimiento, conectividad y orientación tecnológica.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El objetivo de esta práctica es elaborar un plan de negocios para MinSupport, aplicando los contenidos de la unidad sobre experiencia del cliente, comportamiento del consumidor, fidelización, servicio postventa y estrategias de atención. El informe presenta el componente administrativo, el enfoque en el cliente y la oferta con una proyección financiera a cinco años.</w:t>
      </w:r>
    </w:p>
    <w:p>
      <w:pPr>
        <w:pStyle w:val="Heading1"/>
        <w:keepNext/>
      </w:pPr>
      <w:r>
        <w:rPr>
          <w:rFonts w:ascii="Arial" w:hAnsi="Arial"/>
        </w:rPr>
        <w:t>Desarrollo o procedimiento</w:t>
      </w:r>
    </w:p>
    <w:p>
      <w:pPr>
        <w:pStyle w:val="Heading2"/>
        <w:keepNext/>
      </w:pPr>
      <w:r>
        <w:rPr>
          <w:rFonts w:ascii="Arial" w:hAnsi="Arial"/>
        </w:rPr>
        <w:t>1. Identificación de la oportunidad y metodología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La actividad se desarrolló como una práctica experimental de escritorio mediante revisión documental, diseño de la propuesta de valor, construcción de un organigrama, planificación de la experiencia del cliente y elaboración de proyecciones financieras. El escenario de trabajo corresponde a un pequeño centro de soporte técnico con atención en el local, servicio a domicilio y asistencia remota, ubicado de forma referencial en una zona urbana de Ecuador con acceso a hogares, estudiantes, comercios y oficinas.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Para la identificación de necesidades se diseñó un focus group exploratorio con ocho participantes: tres usuarios de hogar, dos estudiantes, un profesional independiente y dos propietarios de microempresas. La guía de conversación considera problemas frecuentes, criterios para elegir un técnico, canales de contacto, percepción de la garantía, disposición a contratar mantenimiento preventivo y servicios de mayor interés. En una aplicación real, los integrantes deben sustituir los resultados preliminares por sus evidencias y respuestas efectivamente obtenidas.</w:t>
      </w: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6"/>
        <w:gridCol w:w="3136"/>
        <w:gridCol w:w="3136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Hallazgo del focus group exploratorio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Resultado preliminar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Decisión para MinSupport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Rapidez de respuesta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6 de 8 participantes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Atención inicial en menos de 30 minutos en horario laboral y visita programada.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Transparencia del diagnóstico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7 de 8 participantes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Informe breve con causa probable, alternativas y precio antes de reparar.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Garantía y confianza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7 de 8 participantes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Garantía escrita de 30 días para mano de obra y registro de piezas.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Atención a domicilio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6 de 8 participantes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Servicio en domicilio u oficina con recargo previamente informado.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Plan preventivo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4 de 8 participantes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Paquetes mensuales para microempresas y clientes con varios equipos.</w:t>
            </w:r>
          </w:p>
        </w:tc>
      </w:tr>
    </w:tbl>
    <w:p>
      <w:pPr>
        <w:spacing w:after="0"/>
      </w:pPr>
    </w:p>
    <w:p>
      <w:pPr>
        <w:spacing w:after="120"/>
        <w:jc w:val="center"/>
      </w:pPr>
      <w:r>
        <w:rPr>
          <w:rFonts w:ascii="Arial" w:hAnsi="Arial"/>
          <w:i/>
          <w:color w:val="666666"/>
          <w:sz w:val="18"/>
        </w:rPr>
        <w:t>Tabla 1. Síntesis preliminar del focus group propuesto para validar la idea de negocio.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9408"/>
      </w:tblGrid>
      <w:tr>
        <w:tc>
          <w:tcPr>
            <w:tcW w:type="dxa" w:w="9408"/>
            <w:shd w:fill="FCE4D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ind w:left="57" w:right="57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color w:val="1F1F1F"/>
                <w:sz w:val="18"/>
              </w:rPr>
              <w:t>Recomendación metodológica: antes de la entrega definitiva, incorporar fotografías o capturas de la reunión, lista de participantes sin datos sensibles y las respuestas reales obtenidas. La tabla anterior funciona como base de análisis y debe ajustarse al trabajo de campo.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</w:rPr>
        <w:t>2. Equipo gerencial</w:t>
      </w:r>
    </w:p>
    <w:p>
      <w:pPr>
        <w:pStyle w:val="Heading2"/>
        <w:keepNext/>
      </w:pPr>
      <w:r>
        <w:rPr>
          <w:rFonts w:ascii="Arial" w:hAnsi="Arial"/>
        </w:rPr>
        <w:t>2.1 Descripción del equipo administrativo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MinSupport operará inicialmente con una estructura liviana y funciones claramente separadas. La gerencia general coordinará la estrategia, las finanzas y los convenios; la coordinación técnica controlará diagnósticos, reparaciones, instalaciones y calidad; el área comercial y de atención gestionará consultas, cotizaciones, agenda y seguimiento; y el apoyo administrativo llevará inventario, facturación, compras y archivo de órdenes de trabajo. En la fase de lanzamiento, algunas funciones podrán ser asumidas por las mismas personas, sin eliminar la responsabilidad de cada proceso.</w:t>
      </w: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6"/>
        <w:gridCol w:w="3136"/>
        <w:gridCol w:w="3136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Área / nivel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Funciones principales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Responsable inicial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Gerencia general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Dirección, presupuesto, alianzas, indicadores y decisiones de crecimiento.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Administrador/a fundador/a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Coordinación técnica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Diagnóstico, reparación, instalaciones, pruebas y control de calidad.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Técnico/a líder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Atención y comercial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Recepción de solicitudes, cotización, agenda, contenido y postventa.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Asesor/a de servicio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Administración e inventario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Compras, stock, órdenes de trabajo, facturación y documentación.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Auxiliar administrativo/a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Red de especialistas externos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Apoyo en proyectos de mayor complejidad o demanda puntual.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Profesionales por servicio</w:t>
            </w:r>
          </w:p>
        </w:tc>
      </w:tr>
    </w:tbl>
    <w:p>
      <w:pPr>
        <w:spacing w:after="0"/>
      </w:pPr>
    </w:p>
    <w:p>
      <w:pPr>
        <w:spacing w:after="120"/>
        <w:jc w:val="center"/>
      </w:pPr>
      <w:r>
        <w:rPr>
          <w:rFonts w:ascii="Arial" w:hAnsi="Arial"/>
          <w:i/>
          <w:color w:val="666666"/>
          <w:sz w:val="18"/>
        </w:rPr>
        <w:t>Tabla 2. Estructura funcional propuesta para la etapa de lanzamiento.</w:t>
      </w:r>
    </w:p>
    <w:p>
      <w:pPr>
        <w:pStyle w:val="Heading2"/>
        <w:keepNext/>
      </w:pPr>
      <w:r>
        <w:rPr>
          <w:rFonts w:ascii="Arial" w:hAnsi="Arial"/>
        </w:rPr>
        <w:t>2.2 Organigrama estructural</w:t>
      </w: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6"/>
        <w:gridCol w:w="3136"/>
        <w:gridCol w:w="3136"/>
      </w:tblGrid>
      <w:tr>
        <w:tc>
          <w:tcPr>
            <w:tcW w:type="dxa" w:w="9408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GERENCIA GENERAL</w:t>
              <w:br/>
              <w:t>Dirección y control del negocio</w:t>
            </w:r>
          </w:p>
        </w:tc>
      </w:tr>
      <w:tr>
        <w:tc>
          <w:tcPr>
            <w:tcW w:type="dxa" w:w="313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17365D"/>
                <w:sz w:val="17"/>
              </w:rPr>
              <w:t>Coordinación técnica</w:t>
            </w:r>
          </w:p>
        </w:tc>
        <w:tc>
          <w:tcPr>
            <w:tcW w:type="dxa" w:w="313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17365D"/>
                <w:sz w:val="17"/>
              </w:rPr>
              <w:t>Atención y comercial</w:t>
            </w:r>
          </w:p>
        </w:tc>
        <w:tc>
          <w:tcPr>
            <w:tcW w:type="dxa" w:w="313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17365D"/>
                <w:sz w:val="17"/>
              </w:rPr>
              <w:t>Administración e inventario</w:t>
            </w:r>
          </w:p>
        </w:tc>
      </w:tr>
      <w:tr>
        <w:tc>
          <w:tcPr>
            <w:tcW w:type="dxa" w:w="31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Reparación y mantenimiento</w:t>
              <w:br/>
              <w:t>Redes y CCTV</w:t>
              <w:br/>
              <w:t>Control de calidad</w:t>
            </w:r>
          </w:p>
        </w:tc>
        <w:tc>
          <w:tcPr>
            <w:tcW w:type="dxa" w:w="31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WhatsApp y llamadas</w:t>
              <w:br/>
              <w:t>Cotizaciones y agenda</w:t>
              <w:br/>
              <w:t>Postventa y fidelización</w:t>
            </w:r>
          </w:p>
        </w:tc>
        <w:tc>
          <w:tcPr>
            <w:tcW w:type="dxa" w:w="31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Compras y stock</w:t>
              <w:br/>
              <w:t>Facturación y archivo</w:t>
              <w:br/>
              <w:t>Presupuesto mensual</w:t>
            </w:r>
          </w:p>
        </w:tc>
      </w:tr>
      <w:tr>
        <w:tc>
          <w:tcPr>
            <w:tcW w:type="dxa" w:w="9408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2F0D9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0F6B78"/>
                <w:sz w:val="17"/>
              </w:rPr>
              <w:t>Especialistas externos por proyecto: electricidad, cableado estructurado, recuperación de datos y soporte avanzado</w:t>
            </w:r>
          </w:p>
        </w:tc>
      </w:tr>
    </w:tbl>
    <w:p>
      <w:pPr>
        <w:spacing w:after="120"/>
        <w:jc w:val="center"/>
      </w:pPr>
      <w:r>
        <w:rPr>
          <w:rFonts w:ascii="Arial" w:hAnsi="Arial"/>
          <w:i/>
          <w:color w:val="666666"/>
          <w:sz w:val="18"/>
        </w:rPr>
        <w:t>Figura 1. Organigrama estructural de MinSupport.</w:t>
      </w:r>
    </w:p>
    <w:p>
      <w:pPr>
        <w:pStyle w:val="Heading2"/>
        <w:keepNext/>
      </w:pPr>
      <w:r>
        <w:rPr>
          <w:rFonts w:ascii="Arial" w:hAnsi="Arial"/>
        </w:rPr>
        <w:t>2.3 Directivos e inversionistas externos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La dirección inicial estará a cargo del emprendedor fundador, quien aportará la visión del servicio, gestionará la relación con los clientes y controlará el uso del capital. Para evitar una estructura financiera compleja durante la etapa de validación, se propone que el 80 % del capital provenga del fundador y el 20 % de un inversionista externo o familiar con participación limitada y documentada. El inversionista no intervendrá en decisiones técnicas, pero recibirá reportes trimestrales sobre ventas, costos, flujo de caja, satisfacción y recuperación de la inversión.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La entrada de capital externo deberá formalizarse mediante un acuerdo escrito que establezca monto, plazo, forma de devolución o participación, responsabilidades, tratamiento de pérdidas y reglas para la salida. No se recomienda comprometer porcentajes de propiedad sin una valoración real del negocio ni adquirir deuda de alto costo antes de validar la demanda.</w:t>
      </w:r>
    </w:p>
    <w:p>
      <w:pPr>
        <w:pStyle w:val="Heading2"/>
        <w:keepNext/>
      </w:pPr>
      <w:r>
        <w:rPr>
          <w:rFonts w:ascii="Arial" w:hAnsi="Arial"/>
        </w:rPr>
        <w:t>2.4 Reclutamiento y capacitación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El reclutamiento priorizará competencias demostrables y conducta profesional. El técnico debe ser capaz de documentar diagnósticos, proteger la información del cliente, explicar alternativas sin lenguaje excesivamente técnico y trabajar con protocolos de seguridad. La selección se realizará mediante revisión de hoja de vida, prueba práctica, entrevista por competencias y verificación de referencias. Para especialistas externos, MinSupport utilizará contratos por servicio y una lista de proveedores evaluados.</w:t>
      </w: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6"/>
        <w:gridCol w:w="3136"/>
        <w:gridCol w:w="3136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Competencias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Método de evaluación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Perfil técnico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Formación o experiencia verificable en hardware, sistemas operativos, impresoras, redes o CCTV; capacidad de documentar el trabajo.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Prueba práctica y referencias.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Perfil de atención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Comunicación clara, empatía, manejo de agenda, seguimiento y orientación a soluciones.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Simulación de llamada y cotización.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Criterios éticos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Confidencialidad, autorización previa, no acceso innecesario a archivos y devolución de equipos en condiciones verificables.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Entrevista situacional y firma de políticas.</w:t>
            </w:r>
          </w:p>
        </w:tc>
      </w:tr>
    </w:tbl>
    <w:p>
      <w:pPr>
        <w:spacing w:after="0"/>
      </w:pP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Dedicación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Presupuesto anual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Inducción y procesos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Orden de trabajo, diagnóstico, autorización, inventario, entrega y garantía.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8 horas iniciales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$120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Ciberseguridad básica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Contraseñas, copias de respaldo, actualizaciones, phishing, privacidad y acceso remoto seguro.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12 horas semestrales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$180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Redes y CCTV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Cableado, configuración, pruebas, documentación, mantenimiento y buenas prácticas.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16 horas trimestrales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$250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Experiencia del cliente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Comunicación, manejo de reclamos, NPS/CSAT, postventa y fidelización.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6 horas trimestrales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$100</w:t>
            </w:r>
          </w:p>
        </w:tc>
      </w:tr>
    </w:tbl>
    <w:p>
      <w:pPr>
        <w:spacing w:after="0"/>
      </w:pPr>
    </w:p>
    <w:p>
      <w:pPr>
        <w:spacing w:after="120"/>
        <w:jc w:val="center"/>
      </w:pPr>
      <w:r>
        <w:rPr>
          <w:rFonts w:ascii="Arial" w:hAnsi="Arial"/>
          <w:i/>
          <w:color w:val="666666"/>
          <w:sz w:val="18"/>
        </w:rPr>
        <w:t>Tabla 3. Plan anual de formación y presupuesto referencial: USD 650.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El plan de capacitación se justifica porque la calidad técnica y la seguridad de la información son parte del producto, no actividades separadas. MinSupport utilizará una lista de verificación de cierre, revisión mensual de órdenes y una sesión trimestral de aprendizaje a partir de reclamos o fallas repetidas. Para servicios de ciberseguridad, se tomarán como referencia las funciones de gobernar, identificar, proteger, detectar, responder y recuperar del Cybersecurity Framework 2.0 de NIST, que puede adaptarse a organizaciones de cualquier tamaño (Pascoe, Quinn y Scarfone 2024; Eliot 2024).</w:t>
      </w:r>
    </w:p>
    <w:p>
      <w:pPr>
        <w:pStyle w:val="Heading1"/>
        <w:keepNext/>
      </w:pPr>
      <w:r>
        <w:rPr>
          <w:rFonts w:ascii="Arial" w:hAnsi="Arial"/>
        </w:rPr>
        <w:t>3. Enfoque en el cliente, marketing y postventa</w:t>
      </w:r>
    </w:p>
    <w:p>
      <w:pPr>
        <w:pStyle w:val="Heading2"/>
        <w:keepNext/>
      </w:pPr>
      <w:r>
        <w:rPr>
          <w:rFonts w:ascii="Arial" w:hAnsi="Arial"/>
        </w:rPr>
        <w:t>3.1 Segmentos y propuesta de valor</w:t>
      </w: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6"/>
        <w:gridCol w:w="3136"/>
        <w:gridCol w:w="3136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Segmento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Necesidad principal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Propuesta de valor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Hogares y estudiantes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Equipos lentos, virus, impresoras y conectividad doméstica.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Diagnóstico simple, precios claros y atención a domicilio.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Profesionales independientes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Continuidad de trabajo, respaldo, videollamadas y laptop.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Atención prioritaria, soporte remoto y copias de seguridad.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Microempresas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Varios equipos, impresoras, red local y cámaras.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Planes preventivos, inventario y reporte mensual.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Comercios y oficinas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CCTV, cableado, Wi-Fi y mantenimiento periódico.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Instalación documentada, pruebas y garantía.</w:t>
            </w:r>
          </w:p>
        </w:tc>
      </w:tr>
    </w:tbl>
    <w:p>
      <w:pPr>
        <w:spacing w:after="0"/>
      </w:pP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La promesa de MinSupport será: “Tecnología funcionando, explicada y protegida”. La propuesta combina confiabilidad técnica con una experiencia que reduce incertidumbre. El cliente recibirá una orden de trabajo con número de ticket, diagnóstico preliminar, presupuesto, autorización, evidencia de pruebas y recomendación de cuidado. Esta secuencia convierte el servicio técnico en una relación de confianza y no solamente en una reparación aislada.</w:t>
      </w:r>
    </w:p>
    <w:p>
      <w:pPr>
        <w:pStyle w:val="Heading2"/>
        <w:keepNext/>
      </w:pPr>
      <w:r>
        <w:rPr>
          <w:rFonts w:ascii="Arial" w:hAnsi="Arial"/>
        </w:rPr>
        <w:t>3.2 Estrategias para desarrollar relaciones sólidas</w:t>
      </w: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6"/>
        <w:gridCol w:w="3136"/>
        <w:gridCol w:w="3136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Principio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Aplicación en MinSupport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Transparencia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Explicar causa probable, opciones, precio y tiempo antes de intervenir.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Porcentaje de órdenes autorizadas después de recibir cotización.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Personalización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Registrar equipo, historial, preferencias y frecuencia de uso para recomendar mantenimiento pertinente.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Porcentaje de clientes con ficha actualizada.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Cumplimiento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Informar retrasos, proteger equipos y entregar evidencia de pruebas realizadas.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Órdenes entregadas en el plazo prometido.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Educación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Enviar consejos breves sobre respaldos, actualizaciones, contraseñas y cuidado de impresoras.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Interacción con contenidos y reducción de fallas repetidas.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Recuperación del servicio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Atender reclamos en máximo 24 horas, revisar el caso y proponer solución documentada.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Tiempo promedio de resolución de reclamos.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3.3 Servicio postventa y fidelización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El servicio postventa iniciará cuando se entregue el equipo o se cierre una instalación. MinSupport ofrecerá garantía escrita de 30 días para la mano de obra, salvo daños por mal uso o intervención de terceros; enviará una encuesta CSAT dentro de las 48 horas; realizará un seguimiento a los siete días; y programará recordatorios de mantenimiento según el tipo de equipo. En cámaras y redes, se entregará una ficha con ubicación de dispositivos, contraseñas bajo custodia del cliente y recomendaciones de actualización.</w:t>
      </w: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6"/>
        <w:gridCol w:w="3136"/>
        <w:gridCol w:w="3136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Diseño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Garantía escrita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30 días sobre mano de obra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Disminuir incertidumbre y demostrar responsabilidad.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Seguimiento 48 horas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Mensaje de satisfacción y confirmación de funcionamiento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Detectar problemas antes de que se conviertan en reclamos.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Seguimiento 7 días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Consulta breve sobre estabilidad del equipo o red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Reforzar la relación y generar aprendizaje.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Programa Recomienda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5 % de descuento en la siguiente visita por referido efectivo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Estimular recomendación sin presionar al cliente.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Plan MinSupport Care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Mantenimiento preventivo mensual o trimestral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Convertir servicios ocasionales en ingresos recurrentes.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3.4 Promoción: canales físicos y electrónicos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La promoción combinará presencia local y comunicación digital. El canal físico será útil para generar confianza en barrios, comercios y oficinas, mientras que los canales electrónicos permitirán respuesta rápida, demostración de resultados y seguimiento. La inversión se concentrará en contenidos que enseñen, muestren procesos y expliquen beneficios, evitando promesas absolutas como “reparamos cualquier equipo” o prácticas de urgencia artificial.</w:t>
      </w: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Canal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Acciones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Propósito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Presupuesto referencial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Físico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Tarjetas, volante con QR, alianzas con papelerías y comercios, visita a microempresas.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Reconocimiento local y captación de clientes cercanos.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USD 250/mes inicial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WhatsApp Business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Catálogo, respuestas rápidas, agenda, ubicación, ticket y seguimiento.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Conversión de consultas en órdenes de trabajo.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USD 0–30/mes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Google Business Profile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Perfil actualizado, fotos, horarios, reseñas y publicaciones.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Ser encontrado cuando existe una necesidad concreta.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USD 0 + gestión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Redes sociales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Videos cortos, antes/después, consejos, casos autorizados y campañas geolocalizadas.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Educación, alcance y prueba social.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USD 180/mes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Email y CRM básico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Recordatorios de mantenimiento, garantías y contenidos de cuidado.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Fidelización y recompra.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USD 40/mes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3.5 Uso ético del neomarketing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MinSupport aplicará principios de neomarketing de forma ética, entendiendo el comportamiento del consumidor para facilitar la comprensión y reducir la ansiedad asociada a una falla tecnológica. La campaña utilizará una identidad visual consistente, mensajes breves, fotografías reales del proceso, contraste entre problema y solución, testimonios autorizados y llamados a la acción sencillos. El objetivo no será manipular, sino presentar información relevante en el momento y canal en que el cliente la necesita.</w:t>
      </w: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6"/>
        <w:gridCol w:w="3136"/>
        <w:gridCol w:w="3136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Principio aplicado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Ejecución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Fluidez cognitiva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Usar una frase central, precios por paquete y pasos visibles: diagnóstico, autorización y solución.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Comprensión rápida y menor confusión.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Prueba social responsable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Publicar reseñas verificables con autorización y sin revelar datos del cliente.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Construir confianza sin falsear resultados.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Reducción del riesgo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Mostrar garantía, checklist y evidencia de pruebas.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Disminuir temor a pagar por un servicio incierto.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Anclaje informativo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Presentar tres niveles de servicio: básico, recomendado y integral.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Ayudar a comparar sin ocultar alternativas.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Recordación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Repetir colores, nombre y promesa “Tecnología funcionando, explicada y protegida”.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Fortalecer reconocimiento de marca.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151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campan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5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66666"/>
          <w:sz w:val="18"/>
        </w:rPr>
        <w:t>Figura 2. Prototipo de campaña digital para MinSupport: “Tu tecnología, siempre lista”.</w:t>
      </w:r>
    </w:p>
    <w:p>
      <w:pPr>
        <w:pStyle w:val="Heading2"/>
        <w:keepNext/>
      </w:pPr>
      <w:r>
        <w:rPr>
          <w:rFonts w:ascii="Arial" w:hAnsi="Arial"/>
        </w:rPr>
        <w:t>3.6 Indicadores de experiencia y atención</w:t>
      </w: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Meta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Frecuencia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Tiempo de primera respuesta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≤ 30 minutos en horario laboral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WhatsApp y registro de tickets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Semanal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Cumplimiento de plazo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≥ 90 % de órdenes dentro del plazo prometido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Orden de trabajo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Mensual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Satisfacción CSAT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≥ 4,5/5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Encuesta posterior al servicio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Mensual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Recompra o referido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≥ 25 % de clientes en 12 meses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CRM básico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Trimestral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Reclamos resueltos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≥ 90 % en 48 horas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Registro de incidencias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Mensual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352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rido_clien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5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66666"/>
          <w:sz w:val="18"/>
        </w:rPr>
        <w:t>Figura 3. Recorrido de atención y experiencia del cliente de MinSupport.</w:t>
      </w:r>
    </w:p>
    <w:p>
      <w:pPr>
        <w:pStyle w:val="Heading1"/>
        <w:keepNext/>
      </w:pPr>
      <w:r>
        <w:rPr>
          <w:rFonts w:ascii="Arial" w:hAnsi="Arial"/>
        </w:rPr>
        <w:t>4. Oferta y viabilidad financiera</w:t>
      </w:r>
    </w:p>
    <w:p>
      <w:pPr>
        <w:pStyle w:val="Heading2"/>
        <w:keepNext/>
      </w:pPr>
      <w:r>
        <w:rPr>
          <w:rFonts w:ascii="Arial" w:hAnsi="Arial"/>
        </w:rPr>
        <w:t>4.1 Portafolio de servicios</w:t>
      </w: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6"/>
        <w:gridCol w:w="3136"/>
        <w:gridCol w:w="3136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Servicio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Alcance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Precio referencial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Diagnóstico y mantenimiento PC/laptop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Limpieza, pruebas, optimización, sistema operativo y revisión de hardware.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USD 25–45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Reparación y actualización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Cambio de disco, memoria, fuente, ventilación, configuración y recuperación funcional.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USD 35–120 + repuestos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Mantenimiento de impresoras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Limpieza, configuración, conectividad, controladores y pruebas de impresión.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USD 30–65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Cámaras de seguridad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Diseño básico, instalación, configuración, acceso remoto y capacitación.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USD 180–650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Redes y conectividad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Router, Wi-Fi, cableado, configuración, pruebas y documentación.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USD 80–450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Soporte remoto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Asistencia guiada, configuración y solución de incidentes de baja complejidad.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USD 15–25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Plan MinSupport Care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Mantenimiento preventivo, prioridad, reporte y descuento en visitas.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USD 45–120/mes</w:t>
            </w:r>
          </w:p>
        </w:tc>
      </w:tr>
    </w:tbl>
    <w:p>
      <w:pPr>
        <w:spacing w:after="0"/>
      </w:pP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La oferta se organizará en tres niveles. El paquete Básico resolverá incidentes puntuales; el paquete Recomendado incluirá diagnóstico, limpieza, optimización y seguimiento; y el paquete Integral agregará respaldo, configuración de seguridad, visita técnica y soporte posterior. La cotización final dependerá del diagnóstico y de los repuestos necesarios, que se cobrarán por separado y con autorización previa.</w:t>
      </w:r>
    </w:p>
    <w:p>
      <w:pPr>
        <w:pStyle w:val="Heading2"/>
        <w:keepNext/>
      </w:pPr>
      <w:r>
        <w:rPr>
          <w:rFonts w:ascii="Arial" w:hAnsi="Arial"/>
        </w:rPr>
        <w:t>4.2 Capital inicial requerido y uso del dinero</w:t>
      </w: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Rubro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Monto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Participación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Uso previsto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Herramientas y equipos de diagnóstico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$2.400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19,2 %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Multímetro, probador de fuentes, kit de precisión, tester de red, herramientas de crimpado y protección ESD.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Equipo informático de trabajo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$1.500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12,0 %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Laptop de diagnóstico, monitor y almacenamiento externo para herramientas y respaldos autorizados.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Inventario inicial de repuestos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$1.800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14,4 %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Memorias, cables, conectores, discos, fuentes, pasta térmica, consumibles y accesorios.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Demostradores de redes y CCTV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$1.700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13,6 %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Router, switch, puntos de acceso, cámaras y elementos de demostración.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Mobiliario y adecuación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$900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7,2 %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Mesa técnica, estantería, seguridad física, iluminación y señalética.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Software, marca y presencia digital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$650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5,2 %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Dominio, identidad visual, herramientas de gestión y material digital.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Formalización, permisos y contingencias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$550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4,4 %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Trámites, documentación, pólizas o imprevistos iniciales.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Marketing de lanzamiento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$600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4,8 %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Volantes, pauta geolocalizada, fotografías y campaña de apertura.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Capital de trabajo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$2.400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19,2 %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Transporte, comunicaciones, compras urgentes y cobertura de los primeros meses.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TOTAL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$12.500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100,0 %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Capital requerido para iniciar el negocio en escala pequeña.</w:t>
            </w:r>
          </w:p>
        </w:tc>
      </w:tr>
    </w:tbl>
    <w:p>
      <w:pPr>
        <w:spacing w:after="0"/>
      </w:pPr>
    </w:p>
    <w:p>
      <w:pPr>
        <w:spacing w:after="120"/>
        <w:jc w:val="center"/>
      </w:pPr>
      <w:r>
        <w:rPr>
          <w:rFonts w:ascii="Arial" w:hAnsi="Arial"/>
          <w:i/>
          <w:color w:val="666666"/>
          <w:sz w:val="18"/>
        </w:rPr>
        <w:t>Tabla 4. Presupuesto de inversión inicial de MinSupport.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9408"/>
      </w:tblGrid>
      <w:tr>
        <w:tc>
          <w:tcPr>
            <w:tcW w:type="dxa" w:w="9408"/>
            <w:shd w:fill="FCE4D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ind w:left="57" w:right="57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color w:val="1F1F1F"/>
                <w:sz w:val="18"/>
              </w:rPr>
              <w:t>La asignación debe ajustarse mediante al menos tres cotizaciones locales por cada compra significativa. No se recomienda inmovilizar todo el capital en inventario; la prioridad es disponer de herramientas, capacidad de respuesta y liquidez.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4.3 Supuestos de ventas y crecimiento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La proyección utiliza un escenario base con crecimiento de ventas del 25 % entre el primer y segundo año, del 25 % entre el segundo y tercer año y del 20 % en los siguientes periodos. El crecimiento se explica por la captación de clientes recurrentes, el aumento de planes preventivos, las recomendaciones y la incorporación gradual de instalaciones de cámaras y redes. Los costos variables se estiman en 35 % de las ventas y los costos fijos incluyen remuneración del fundador, apoyo operativo, transporte, alquiler o espacio de trabajo, comunicaciones, marketing y administración.</w:t>
      </w: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Año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Ventas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Costos variables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Costos fijos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Utilidad neta*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Margen neto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Supuesto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2026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$36.000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$12.600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$16.800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$6.600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18,3 %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Apertura y validación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2027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$45.000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$15.750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$18.000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$11.250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25,0 %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Más clientes recurrentes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2028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$56.250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$19.688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$19.800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$16.763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29,8 %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Crecimiento de planes y CCTV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2029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$67.500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$23.625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$21.800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$22.075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32,7 %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Alianzas y mayor cobertura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2030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$81.000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$28.350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$24.000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$28.650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35,4 %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1F1F1F"/>
                <w:sz w:val="15"/>
              </w:rPr>
              <w:t>Escala y especialización</w:t>
            </w:r>
          </w:p>
        </w:tc>
      </w:tr>
    </w:tbl>
    <w:p>
      <w:pPr>
        <w:spacing w:after="0"/>
      </w:pPr>
    </w:p>
    <w:p>
      <w:pPr>
        <w:spacing w:after="120"/>
        <w:jc w:val="center"/>
      </w:pPr>
      <w:r>
        <w:rPr>
          <w:rFonts w:ascii="Arial" w:hAnsi="Arial"/>
          <w:i/>
          <w:color w:val="666666"/>
          <w:sz w:val="18"/>
        </w:rPr>
        <w:t>Tabla 5. Proyección financiera de MinSupport a cinco años. *Utilidad antes de impuestos y sin considerar depreciación.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770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yeccion_financie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7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66666"/>
          <w:sz w:val="18"/>
        </w:rPr>
        <w:t>Figura 4. Evolución proyectada de ventas y utilidad neta.</w:t>
      </w:r>
    </w:p>
    <w:p>
      <w:pPr>
        <w:pStyle w:val="Heading2"/>
        <w:keepNext/>
      </w:pPr>
      <w:r>
        <w:rPr>
          <w:rFonts w:ascii="Arial" w:hAnsi="Arial"/>
        </w:rPr>
        <w:t>4.4 Retorno del capital y porcentaje de ganancias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Con una inversión inicial de USD 12.500 y utilidades netas acumuladas estimadas de USD 85.337,50 durante cinco años, el retorno simple sobre el capital invertido sería de aproximadamente 682,7 %. Este indicador debe interpretarse como una proyección acumulada y no como una garantía. El punto de recuperación se alcanzaría entre el primer y segundo año: al finalizar 2026 se habrían recuperado USD 6.600 y faltarían USD 5.900, que se cubrirían durante los primeros meses de 2027 si se mantiene el nivel de ventas previsto.</w:t>
      </w: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6"/>
        <w:gridCol w:w="3136"/>
        <w:gridCol w:w="3136"/>
      </w:tblGrid>
      <w:tr>
        <w:trPr>
          <w:tblHeader w:val="true"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Interpretación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Capital inicial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$12.500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100 % de la inversión de arranque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Utilidad acumulada al cierre de 2026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$6.600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52,8 % del capital inicial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Utilidad acumulada al cierre de 2027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$17.850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142,8 % del capital inicial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Utilidad acumulada a cinco años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$85.337,50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682,7 % del capital inicial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Recuperación estimada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Entre 15 y 18 meses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Depende de ventas, costos y reinversión</w:t>
            </w:r>
          </w:p>
        </w:tc>
      </w:tr>
    </w:tbl>
    <w:p>
      <w:pPr>
        <w:spacing w:after="0"/>
      </w:pP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El porcentaje de ganancias anual, medido como margen neto estimado sobre las ventas, pasa de 18,3 % en el primer año a 35,4 % en el quinto año. El incremento supone que los costos fijos crecen más lentamente que las ventas y que los planes preventivos generan ingresos recurrentes. Para cuidar la liquidez, se recomienda reinvertir el 30 % de la utilidad neta durante los dos primeros años en herramientas, capacitación, movilidad y marketing; el excedente podrá distribuirse solamente después de cubrir obligaciones, impuestos y reservas.</w:t>
      </w:r>
    </w:p>
    <w:p>
      <w:pPr>
        <w:pStyle w:val="Heading2"/>
        <w:keepNext/>
      </w:pPr>
      <w:r>
        <w:rPr>
          <w:rFonts w:ascii="Arial" w:hAnsi="Arial"/>
        </w:rPr>
        <w:t>4.5 Riesgos y medidas de mitigación</w:t>
      </w: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6"/>
        <w:gridCol w:w="3136"/>
        <w:gridCol w:w="3136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Mitigación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Demanda menor a la esperada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Media / alta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Validar con focus group y preventa; comenzar con estructura liviana y controlar gastos.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Daño o pérdida de información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Alta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Autorización escrita, copias de respaldo, acceso mínimo y checklist de entrega.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Competencia por precio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Alta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Diferenciarse por garantía, documentación, rapidez y planes preventivos.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Falta de repuestos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Media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Mantener inventario crítico y dos proveedores alternos.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Ciberseguridad insuficiente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Alta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Aplicar prácticas del NIST CSF 2.0, actualizar equipos y capacitar al personal.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Dependencia del fundador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Media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1F1F1F"/>
                <w:sz w:val="16"/>
              </w:rPr>
              <w:t>Documentar procesos, capacitar un segundo técnico y usar órdenes de trabajo.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</w:rPr>
        <w:t>Resultados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El resultado principal de la práctica es un plan de negocios estructurado para MinSupport, con una propuesta de valor enfocada en soporte técnico confiable, comprensible y con seguimiento. El modelo integra servicios de reparación y mantenimiento con instalaciones de redes y cámaras, lo cual permite atender necesidades puntuales y construir contratos preventivos de mayor recurrencia.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En el componente administrativo se definieron la gerencia general, la coordinación técnica, el área de atención y comercial, la administración e inventario y una red de especialistas externos. También se establecieron perfiles de contratación, procedimientos de selección, módulos de capacitación y un presupuesto anual de formación de USD 650. Esta estructura es proporcional a una empresa pequeña y permite crecer sin perder control sobre la calidad.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En el enfoque en el cliente se diseñó un recorrido que comienza con la consulta y termina con la postventa. Las estrategias propuestas incluyen diagnóstico transparente, garantía, seguimiento, programa de referidos, plan preventivo, atención por WhatsApp Business, presencia local y contenidos educativos. El neomarketing se utiliza como apoyo para presentar la oferta con fluidez cognitiva, prueba social responsable y reducción del riesgo percibido, sin manipular al consumidor.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En la oferta financiera se estimó un capital inicial de USD 12.500, con una distribución que prioriza herramientas, inventario básico, demostradores de redes y capital de trabajo. La proyección base alcanza ventas de USD 36.000 en el primer año y USD 81.000 en el quinto, con utilidades netas estimadas crecientes. La viabilidad depende de validar el mercado, controlar costos, proteger la información de los clientes y convertir una parte de las atenciones ocasionales en planes recurrentes.</w:t>
      </w:r>
    </w:p>
    <w:p>
      <w:pPr>
        <w:pStyle w:val="Heading1"/>
        <w:keepNext/>
      </w:pPr>
      <w:r>
        <w:rPr>
          <w:rFonts w:ascii="Arial" w:hAnsi="Arial"/>
        </w:rPr>
        <w:t>Conclusiones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MinSupport representa una alternativa de emprendimiento viable porque atiende problemas concretos de hogares, profesionales, comercios y microempresas que dependen de la tecnología para estudiar, trabajar, vender y proteger sus espacios. Su ventaja no se basa únicamente en reparar dispositivos, sino en integrar diagnóstico, instalación, prevención, seguridad básica y acompañamiento postventa.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La experiencia del cliente debe ser administrada como un proceso completo. La claridad del diagnóstico, la autorización previa, la evidencia del trabajo, la garantía y el seguimiento posterior reducen la incertidumbre y favorecen la confianza. Por ello, los indicadores de atención, satisfacción, cumplimiento y recompra serán tan importantes como el número de reparaciones realizadas.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El componente administrativo propuesto permite iniciar con una estructura compacta, roles definidos y apoyo de especialistas externos. El reclutamiento debe evaluar tanto las habilidades técnicas como la ética, la comunicación y el cuidado de la información. La capacitación en ciberseguridad y atención al cliente es indispensable para sostener la calidad del servicio.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La proyección financiera demuestra que el emprendimiento podría recuperar el capital inicial entre el primer y segundo año bajo los supuestos planteados. Sin embargo, antes de invertir será necesario aplicar el focus group, levantar cotizaciones locales, comprobar precios, definir la ubicación, evaluar obligaciones legales y revisar la capacidad real de generar clientes recurrentes. La planificación financiera debe utilizarse como guía de decisión, no como garantía de resultados.</w:t>
      </w:r>
    </w:p>
    <w:p>
      <w:pPr>
        <w:pStyle w:val="Heading1"/>
        <w:keepNext/>
      </w:pPr>
      <w:r>
        <w:rPr>
          <w:rFonts w:ascii="Arial" w:hAnsi="Arial"/>
        </w:rPr>
        <w:t>Bibliografía</w:t>
      </w:r>
    </w:p>
    <w:p>
      <w:pPr>
        <w:spacing w:line="240" w:lineRule="auto" w:after="100"/>
        <w:ind w:left="397" w:hanging="397"/>
      </w:pPr>
      <w:r>
        <w:rPr>
          <w:rFonts w:ascii="Arial" w:hAnsi="Arial"/>
          <w:sz w:val="19"/>
        </w:rPr>
        <w:t>Eliot, Daniel. 2024. *NIST Cybersecurity Framework 2.0: Small Business Quick-Start Guide*. National Institute of Standards and Technology. https://doi.org/10.6028/NIST.SP.1300.</w:t>
      </w:r>
    </w:p>
    <w:p>
      <w:pPr>
        <w:spacing w:line="240" w:lineRule="auto" w:after="100"/>
        <w:ind w:left="397" w:hanging="397"/>
      </w:pPr>
      <w:r>
        <w:rPr>
          <w:rFonts w:ascii="Arial" w:hAnsi="Arial"/>
          <w:sz w:val="19"/>
        </w:rPr>
        <w:t>Instituto Nacional de Estadística y Censos. 2024. “Tecnologías de la Información y Comunicación-TIC 2024.” Ecuador en Cifras. https://www.ecuadorencifras.gob.ec/tecnologias-de-la-informacion-y-comunicacion-tic-2024/.</w:t>
      </w:r>
    </w:p>
    <w:p>
      <w:pPr>
        <w:spacing w:line="240" w:lineRule="auto" w:after="100"/>
        <w:ind w:left="397" w:hanging="397"/>
      </w:pPr>
      <w:r>
        <w:rPr>
          <w:rFonts w:ascii="Arial" w:hAnsi="Arial"/>
          <w:sz w:val="19"/>
        </w:rPr>
        <w:t>Microsoft. 2023. “93% de las Pymes ecuatorianas considera que el proceso de transformación digital impacta positivamente en su negocio.” Microsoft News Center Latinoamérica, 21 de marzo de 2023. https://news.microsoft.com/es-xl/93-de-las-pymes-ecuatorianas-considera-que-transformacion-digital-impacta-positivamente-su-negocio/.</w:t>
      </w:r>
    </w:p>
    <w:p>
      <w:pPr>
        <w:spacing w:line="240" w:lineRule="auto" w:after="100"/>
        <w:ind w:left="397" w:hanging="397"/>
      </w:pPr>
      <w:r>
        <w:rPr>
          <w:rFonts w:ascii="Arial" w:hAnsi="Arial"/>
          <w:sz w:val="19"/>
        </w:rPr>
        <w:t>Organización para la Cooperación y el Desarrollo Económicos. 2024. *Índice de Políticas para PyMEs: América Latina y el Caribe 2024: Hacia una recuperación inclusiva, resiliente y sostenible. Dimensión 8: Digitalización*. https://www.oecd.org/es/publications/indice-de-politicas-para-pymes-america-latina-y-el-caribe-2024_807e9eaf-es/full-report/component-15.html.</w:t>
      </w:r>
    </w:p>
    <w:p>
      <w:pPr>
        <w:spacing w:line="240" w:lineRule="auto" w:after="100"/>
        <w:ind w:left="397" w:hanging="397"/>
      </w:pPr>
      <w:r>
        <w:rPr>
          <w:rFonts w:ascii="Arial" w:hAnsi="Arial"/>
          <w:sz w:val="19"/>
        </w:rPr>
        <w:t>Pascoe, Cherilyn, Stephen Quinn y Karen Scarfone. 2024. *The NIST Cybersecurity Framework (CSF) 2.0*. National Institute of Standards and Technology. https://doi.org/10.6028/NIST.CSWP.29.</w:t>
      </w:r>
    </w:p>
    <w:p>
      <w:pPr>
        <w:pStyle w:val="Heading1"/>
        <w:keepNext/>
      </w:pPr>
      <w:r>
        <w:rPr>
          <w:rFonts w:ascii="Arial" w:hAnsi="Arial"/>
        </w:rPr>
        <w:t>Anexos</w:t>
      </w:r>
    </w:p>
    <w:p>
      <w:pPr>
        <w:pStyle w:val="Heading2"/>
        <w:keepNext/>
      </w:pPr>
      <w:r>
        <w:rPr>
          <w:rFonts w:ascii="Arial" w:hAnsi="Arial"/>
        </w:rPr>
        <w:t>Anexo 1. Guía breve para el focus group</w:t>
      </w:r>
    </w:p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Objetivo: identificar problemas, expectativas y criterios de decisión de potenciales usuarios de soporte técnico. Duración sugerida: 45 minutos. Participantes: entre seis y ocho personas, procurando incluir hogares, estudiantes, profesionales y microempresas. Moderación: una persona formula las preguntas y otra registra las respuestas, sin solicitar contraseñas, datos de equipos ni información personal innecesaria.</w:t>
      </w:r>
    </w:p>
    <w:p>
      <w:pPr>
        <w:spacing w:after="60"/>
        <w:ind w:left="397" w:hanging="198"/>
      </w:pPr>
      <w:r>
        <w:rPr>
          <w:rFonts w:ascii="Arial" w:hAnsi="Arial"/>
          <w:sz w:val="21"/>
        </w:rPr>
        <w:t>• ¿Qué problema tecnológico ha tenido durante los últimos seis meses y cómo lo resolvió?</w:t>
      </w:r>
    </w:p>
    <w:p>
      <w:pPr>
        <w:spacing w:after="60"/>
        <w:ind w:left="397" w:hanging="198"/>
      </w:pPr>
      <w:r>
        <w:rPr>
          <w:rFonts w:ascii="Arial" w:hAnsi="Arial"/>
          <w:sz w:val="21"/>
        </w:rPr>
        <w:t>• ¿Qué factores considera antes de entregar un equipo a un técnico?</w:t>
      </w:r>
    </w:p>
    <w:p>
      <w:pPr>
        <w:spacing w:after="60"/>
        <w:ind w:left="397" w:hanging="198"/>
      </w:pPr>
      <w:r>
        <w:rPr>
          <w:rFonts w:ascii="Arial" w:hAnsi="Arial"/>
          <w:sz w:val="21"/>
        </w:rPr>
        <w:t>• ¿Prefiere atención en un local, a domicilio, remota o combinada? ¿Por qué?</w:t>
      </w:r>
    </w:p>
    <w:p>
      <w:pPr>
        <w:spacing w:after="60"/>
        <w:ind w:left="397" w:hanging="198"/>
      </w:pPr>
      <w:r>
        <w:rPr>
          <w:rFonts w:ascii="Arial" w:hAnsi="Arial"/>
          <w:sz w:val="21"/>
        </w:rPr>
        <w:t>• ¿Qué información necesita recibir antes de autorizar una reparación?</w:t>
      </w:r>
    </w:p>
    <w:p>
      <w:pPr>
        <w:spacing w:after="60"/>
        <w:ind w:left="397" w:hanging="198"/>
      </w:pPr>
      <w:r>
        <w:rPr>
          <w:rFonts w:ascii="Arial" w:hAnsi="Arial"/>
          <w:sz w:val="21"/>
        </w:rPr>
        <w:t>• ¿Qué valor tendría para usted una garantía escrita y un seguimiento posterior?</w:t>
      </w:r>
    </w:p>
    <w:p>
      <w:pPr>
        <w:spacing w:after="60"/>
        <w:ind w:left="397" w:hanging="198"/>
      </w:pPr>
      <w:r>
        <w:rPr>
          <w:rFonts w:ascii="Arial" w:hAnsi="Arial"/>
          <w:sz w:val="21"/>
        </w:rPr>
        <w:t>• ¿Qué servicios de redes, cámaras o impresoras contrataría y con qué frecuencia?</w:t>
      </w:r>
    </w:p>
    <w:p>
      <w:pPr>
        <w:spacing w:after="60"/>
        <w:ind w:left="397" w:hanging="198"/>
      </w:pPr>
      <w:r>
        <w:rPr>
          <w:rFonts w:ascii="Arial" w:hAnsi="Arial"/>
          <w:sz w:val="21"/>
        </w:rPr>
        <w:t>• ¿Qué canal utilizaría para contactar al negocio y qué tiempo de respuesta esperaría?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9408"/>
      </w:tblGrid>
      <w:tr>
        <w:tc>
          <w:tcPr>
            <w:tcW w:type="dxa" w:w="9408"/>
            <w:shd w:fill="FCE4D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ind w:left="57" w:right="57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color w:val="1F1F1F"/>
                <w:sz w:val="18"/>
              </w:rPr>
              <w:t>Evidencia que debe incorporarse en la versión final: fotografías o capturas de la sesión, fecha, lugar, número de participantes y síntesis de respuestas. No incluir datos personales sensibles.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Anexo 2. Prototipo de campaña digital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317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campan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1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66666"/>
          <w:sz w:val="18"/>
        </w:rPr>
        <w:t>Anexo 2. Pieza gráfica prototipo para redes sociales y WhatsApp Business.</w:t>
      </w:r>
    </w:p>
    <w:p>
      <w:pPr>
        <w:pStyle w:val="Heading2"/>
        <w:keepNext/>
      </w:pPr>
      <w:r>
        <w:rPr>
          <w:rFonts w:ascii="Arial" w:hAnsi="Arial"/>
        </w:rPr>
        <w:t>Anexo 3. Recorrido de atención y control postventa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352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rido_clien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5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66666"/>
          <w:sz w:val="18"/>
        </w:rPr>
        <w:t>Anexo 3. Flujo visual de atención para capacitar al personal de MinSupport.</w:t>
      </w:r>
    </w:p>
    <w:p>
      <w:pPr>
        <w:pStyle w:val="Heading2"/>
        <w:keepNext/>
      </w:pPr>
      <w:r>
        <w:rPr>
          <w:rFonts w:ascii="Arial" w:hAnsi="Arial"/>
        </w:rPr>
        <w:t>Anexo 4. Lista de verificación de una orden de trabajo</w:t>
      </w:r>
    </w:p>
    <w:tbl>
      <w:tblPr>
        <w:tblStyle w:val="Tablaconcuadrcula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4"/>
        <w:gridCol w:w="4704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Verificación mínima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Ingreso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Registrar cliente, equipo, accesorios visibles y estado físico.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Diagnóstico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Describir síntoma, pruebas realizadas y causa probable.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Autorización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Entregar presupuesto, plazo, garantía y solicitar aprobación.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Intervención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Aplicar medidas de protección, documentar piezas y conservar información.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Pruebas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Verificar encendido, rendimiento, impresión, conectividad o visualización.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Entrega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Explicar trabajo realizado, recomendaciones, garantía y forma de contacto.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Postventa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color w:val="1F1F1F"/>
                <w:sz w:val="17"/>
              </w:rPr>
              <w:t>Enviar encuesta a las 48 horas y seguimiento a los 7 días.</w:t>
            </w:r>
          </w:p>
        </w:tc>
      </w:tr>
    </w:tbl>
    <w:p>
      <w:pPr>
        <w:spacing w:after="0"/>
      </w:pPr>
    </w:p>
    <w:p>
      <w:pPr>
        <w:spacing w:after="120"/>
        <w:jc w:val="center"/>
      </w:pPr>
      <w:r>
        <w:rPr>
          <w:rFonts w:ascii="Arial" w:hAnsi="Arial"/>
          <w:i/>
          <w:color w:val="666666"/>
          <w:sz w:val="18"/>
        </w:rPr>
        <w:t>Tabla 6. Lista de verificación operativa para estandarizar la experiencia del cliente.</w:t>
      </w:r>
    </w:p>
    <w:p>
      <w:pPr>
        <w:pStyle w:val="Heading1"/>
        <w:keepNext/>
      </w:pPr>
      <w:r>
        <w:rPr>
          <w:rFonts w:ascii="Arial" w:hAnsi="Arial"/>
        </w:rPr>
        <w:t>Firmas de los estudiantes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3136"/>
        <w:gridCol w:w="3136"/>
        <w:gridCol w:w="3136"/>
      </w:tblGrid>
      <w:tr>
        <w:tc>
          <w:tcPr>
            <w:tcW w:type="dxa" w:w="9408"/>
            <w:vAlign w:val="center"/>
            <w:gridSpan w:val="3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color w:val="1F1F1F"/>
                <w:sz w:val="18"/>
              </w:rPr>
              <w:t>Firma: ____________________</w:t>
              <w:br/>
              <w:t>Nombre: ____________________</w:t>
            </w:r>
          </w:p>
        </w:tc>
      </w:tr>
      <w:tr>
        <w:tc>
          <w:tcPr>
            <w:tcW w:type="dxa" w:w="9408"/>
            <w:vAlign w:val="center"/>
            <w:gridSpan w:val="3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color w:val="1F1F1F"/>
                <w:sz w:val="18"/>
              </w:rPr>
              <w:t>Firma: ____________________</w:t>
              <w:br/>
              <w:t>Nombre: ____________________</w:t>
            </w:r>
          </w:p>
        </w:tc>
      </w:tr>
      <w:tr>
        <w:tc>
          <w:tcPr>
            <w:tcW w:type="dxa" w:w="9408"/>
            <w:vAlign w:val="center"/>
            <w:gridSpan w:val="3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D9E1F2"/>
              <w:left w:sz="4" w:val="single" w:color="D9E1F2"/>
              <w:bottom w:sz="4" w:val="single" w:color="D9E1F2"/>
              <w:right w:sz="4" w:val="single" w:color="D9E1F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color w:val="1F1F1F"/>
                <w:sz w:val="18"/>
              </w:rPr>
              <w:t>Firma: ____________________</w:t>
              <w:br/>
              <w:t>Nombre: ____________________</w:t>
            </w:r>
          </w:p>
        </w:tc>
      </w:tr>
    </w:tbl>
    <w:p>
      <w:pPr>
        <w:spacing w:line="276" w:lineRule="auto" w:after="120"/>
        <w:ind w:firstLine="397"/>
      </w:pPr>
      <w:r>
        <w:rPr>
          <w:rFonts w:ascii="Arial" w:hAnsi="Arial"/>
          <w:sz w:val="21"/>
        </w:rPr>
        <w:t>Responsable UEA — Docente: [Completar nombre del docente]</w:t>
      </w:r>
    </w:p>
    <w:sectPr w:rsidR="00C44AC0" w:rsidRPr="00BF04AC" w:rsidSect="00340592">
      <w:headerReference w:type="default" r:id="rId9"/>
      <w:footerReference w:type="default" r:id="rId12"/>
      <w:pgSz w:w="12242" w:h="15842" w:code="1"/>
      <w:pgMar w:top="2608" w:right="1417" w:bottom="1814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7E241" w14:textId="77777777" w:rsidR="008537A6" w:rsidRDefault="008537A6">
      <w:pPr>
        <w:spacing w:after="0" w:line="240" w:lineRule="auto"/>
      </w:pPr>
      <w:r>
        <w:separator/>
      </w:r>
    </w:p>
  </w:endnote>
  <w:endnote w:type="continuationSeparator" w:id="0">
    <w:p w14:paraId="555B1D60" w14:textId="77777777" w:rsidR="008537A6" w:rsidRDefault="00853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MinSupport | Práctico Experimental 3 | Emprendimiento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302ED" w14:textId="77777777" w:rsidR="008537A6" w:rsidRDefault="008537A6">
      <w:pPr>
        <w:spacing w:after="0" w:line="240" w:lineRule="auto"/>
      </w:pPr>
      <w:r>
        <w:separator/>
      </w:r>
    </w:p>
  </w:footnote>
  <w:footnote w:type="continuationSeparator" w:id="0">
    <w:p w14:paraId="72995796" w14:textId="77777777" w:rsidR="008537A6" w:rsidRDefault="00853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984A4" w14:textId="77777777" w:rsidR="00430896" w:rsidRDefault="00701A70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9264" behindDoc="1" locked="0" layoutInCell="1" allowOverlap="1" wp14:anchorId="14FAE4BD" wp14:editId="7825D809">
          <wp:simplePos x="0" y="0"/>
          <wp:positionH relativeFrom="margin">
            <wp:align>center</wp:align>
          </wp:positionH>
          <wp:positionV relativeFrom="paragraph">
            <wp:posOffset>-99695</wp:posOffset>
          </wp:positionV>
          <wp:extent cx="7782180" cy="10050145"/>
          <wp:effectExtent l="0" t="0" r="9525" b="8255"/>
          <wp:wrapNone/>
          <wp:docPr id="1757206465" name="Imagen 175720646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nterfaz de usuario gráfica&#10;&#10;Descripción generada automá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65"/>
                  <a:stretch/>
                </pic:blipFill>
                <pic:spPr bwMode="auto">
                  <a:xfrm>
                    <a:off x="0" y="0"/>
                    <a:ext cx="7782180" cy="100501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E57DA"/>
    <w:multiLevelType w:val="hybridMultilevel"/>
    <w:tmpl w:val="35A08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CB7CEA"/>
    <w:multiLevelType w:val="hybridMultilevel"/>
    <w:tmpl w:val="E718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32"/>
    <w:rsid w:val="000A0382"/>
    <w:rsid w:val="000F50F9"/>
    <w:rsid w:val="001860AE"/>
    <w:rsid w:val="002826F0"/>
    <w:rsid w:val="002D3253"/>
    <w:rsid w:val="003328B3"/>
    <w:rsid w:val="00340592"/>
    <w:rsid w:val="003A7456"/>
    <w:rsid w:val="00430896"/>
    <w:rsid w:val="004839C8"/>
    <w:rsid w:val="004B1132"/>
    <w:rsid w:val="004D091C"/>
    <w:rsid w:val="004F46FE"/>
    <w:rsid w:val="00526DF4"/>
    <w:rsid w:val="00625A77"/>
    <w:rsid w:val="006403BB"/>
    <w:rsid w:val="006C5923"/>
    <w:rsid w:val="006D3AF7"/>
    <w:rsid w:val="00701A70"/>
    <w:rsid w:val="00734FC8"/>
    <w:rsid w:val="007C4EE1"/>
    <w:rsid w:val="007F2800"/>
    <w:rsid w:val="00802333"/>
    <w:rsid w:val="008537A6"/>
    <w:rsid w:val="00955663"/>
    <w:rsid w:val="00A81C80"/>
    <w:rsid w:val="00B54F50"/>
    <w:rsid w:val="00BD50CF"/>
    <w:rsid w:val="00BD61D5"/>
    <w:rsid w:val="00BF04AC"/>
    <w:rsid w:val="00C44AC0"/>
    <w:rsid w:val="00D82852"/>
    <w:rsid w:val="00DA178F"/>
    <w:rsid w:val="00DC070E"/>
    <w:rsid w:val="00E40309"/>
    <w:rsid w:val="00E57D43"/>
    <w:rsid w:val="00E66F32"/>
    <w:rsid w:val="00F56282"/>
    <w:rsid w:val="00F6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592C5"/>
  <w15:chartTrackingRefBased/>
  <w15:docId w15:val="{C6A3955F-601C-418A-AA0D-9EAE5744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132"/>
    <w:pPr>
      <w:spacing w:line="276" w:lineRule="auto" w:after="120"/>
      <w:jc w:val="both"/>
    </w:pPr>
    <w:rPr>
      <w:rFonts w:ascii="Arial" w:hAnsi="Arial"/>
      <w:color w:val="1F1F1F"/>
      <w:sz w:val="21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11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1132"/>
    <w:rPr>
      <w:rFonts w:ascii="Arial" w:hAnsi="Arial"/>
      <w:sz w:val="24"/>
      <w:lang w:val="en-US"/>
    </w:rPr>
  </w:style>
  <w:style w:type="table" w:styleId="Tablaconcuadrcula">
    <w:name w:val="Table Grid"/>
    <w:basedOn w:val="Tablanormal"/>
    <w:uiPriority w:val="39"/>
    <w:rsid w:val="004B11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64869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F6486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paragraph" w:styleId="Prrafodelista">
    <w:name w:val="List Paragraph"/>
    <w:basedOn w:val="Normal"/>
    <w:uiPriority w:val="34"/>
    <w:qFormat/>
    <w:rsid w:val="006C59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C4EE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C4EE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C4EE1"/>
    <w:rPr>
      <w:rFonts w:ascii="Arial" w:hAnsi="Arial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C4EE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C4EE1"/>
    <w:rPr>
      <w:rFonts w:ascii="Arial" w:hAnsi="Arial"/>
      <w:b/>
      <w:bCs/>
      <w:sz w:val="20"/>
      <w:szCs w:val="20"/>
      <w:lang w:val="en-US"/>
    </w:rPr>
  </w:style>
  <w:style w:type="paragraph" w:customStyle="1" w:styleId="Heading1">
    <w:name w:val="heading 1"/>
    <w:pPr>
      <w:keepNext/>
      <w:spacing w:before="180" w:after="100"/>
    </w:pPr>
    <w:rPr>
      <w:rFonts w:ascii="Arial" w:hAnsi="Arial"/>
      <w:b/>
      <w:color w:val="17365D"/>
      <w:sz w:val="30"/>
    </w:rPr>
  </w:style>
  <w:style w:type="paragraph" w:customStyle="1" w:styleId="Heading2">
    <w:name w:val="heading 2"/>
    <w:pPr>
      <w:keepNext/>
      <w:spacing w:before="180" w:after="100"/>
    </w:pPr>
    <w:rPr>
      <w:rFonts w:ascii="Arial" w:hAnsi="Arial"/>
      <w:b/>
      <w:color w:val="2F75B5"/>
      <w:sz w:val="24"/>
    </w:rPr>
  </w:style>
  <w:style w:type="paragraph" w:customStyle="1" w:styleId="Heading3">
    <w:name w:val="heading 3"/>
    <w:pPr>
      <w:keepNext/>
      <w:spacing w:before="180" w:after="100"/>
    </w:pPr>
    <w:rPr>
      <w:rFonts w:ascii="Arial" w:hAnsi="Arial"/>
      <w:b/>
      <w:color w:val="0F6B78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Práctico Experimental 3 - Plan de negocios MinSupport</dc:title>
  <dc:subject>Experiencia del cliente, comportamiento del consumidor y fidelización</dc:subject>
  <dc:creator>Estudiante</dc:creator>
  <cp:keywords/>
  <dc:description/>
  <cp:lastModifiedBy>Carlos Zambrano</cp:lastModifiedBy>
  <cp:revision>2</cp:revision>
  <dcterms:created xsi:type="dcterms:W3CDTF">2026-06-02T23:47:00Z</dcterms:created>
  <dcterms:modified xsi:type="dcterms:W3CDTF">2026-06-02T23:47:00Z</dcterms:modified>
</cp:coreProperties>
</file>