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9AE3D" w14:textId="2A8EC34D" w:rsidR="00340592" w:rsidRPr="00055F3B" w:rsidRDefault="00340592" w:rsidP="00340592">
      <w:pPr>
        <w:spacing w:after="0" w:line="240" w:lineRule="auto"/>
        <w:jc w:val="center"/>
        <w:rPr>
          <w:rFonts w:cs="Arial"/>
          <w:b/>
        </w:rPr>
      </w:pPr>
      <w:r w:rsidRPr="00055F3B">
        <w:rPr>
          <w:rFonts w:cs="Arial"/>
          <w:b/>
        </w:rPr>
        <w:t xml:space="preserve">CARRERA DE </w:t>
      </w:r>
      <w:proofErr w:type="spellStart"/>
      <w:r w:rsidR="002826F0" w:rsidRPr="00055F3B">
        <w:rPr>
          <w:rFonts w:cs="Arial"/>
          <w:b/>
        </w:rPr>
        <w:t>xxxxxx</w:t>
      </w:r>
      <w:proofErr w:type="spellEnd"/>
      <w:r w:rsidR="004839C8" w:rsidRPr="00055F3B">
        <w:rPr>
          <w:rFonts w:cs="Arial"/>
          <w:b/>
        </w:rPr>
        <w:t xml:space="preserve"> </w:t>
      </w:r>
    </w:p>
    <w:p w14:paraId="110333D2" w14:textId="281E08E8" w:rsidR="002826F0" w:rsidRPr="00055F3B" w:rsidRDefault="002826F0" w:rsidP="00340592">
      <w:pPr>
        <w:spacing w:after="0" w:line="240" w:lineRule="auto"/>
        <w:jc w:val="center"/>
        <w:rPr>
          <w:rFonts w:cs="Arial"/>
          <w:b/>
        </w:rPr>
      </w:pPr>
      <w:r w:rsidRPr="00055F3B">
        <w:rPr>
          <w:rFonts w:cs="Arial"/>
          <w:b/>
        </w:rPr>
        <w:t>Modalidad de estudios En Línea</w:t>
      </w:r>
    </w:p>
    <w:p w14:paraId="13DE428A" w14:textId="77777777" w:rsidR="00340592" w:rsidRPr="00055F3B" w:rsidRDefault="00340592" w:rsidP="00340592">
      <w:pPr>
        <w:spacing w:after="0" w:line="240" w:lineRule="auto"/>
        <w:jc w:val="center"/>
        <w:rPr>
          <w:rFonts w:cs="Arial"/>
          <w:b/>
        </w:rPr>
      </w:pPr>
    </w:p>
    <w:p w14:paraId="590B9FA9" w14:textId="57F09CD1" w:rsidR="00340592" w:rsidRPr="00055F3B" w:rsidRDefault="00340592" w:rsidP="002826F0">
      <w:pPr>
        <w:spacing w:after="0" w:line="240" w:lineRule="auto"/>
        <w:jc w:val="center"/>
        <w:rPr>
          <w:rFonts w:cs="Arial"/>
          <w:bCs/>
          <w:szCs w:val="24"/>
        </w:rPr>
      </w:pPr>
      <w:r w:rsidRPr="00055F3B">
        <w:rPr>
          <w:rFonts w:cs="Arial"/>
          <w:b/>
        </w:rPr>
        <w:t xml:space="preserve">Unidad de Organización Curricular: </w:t>
      </w:r>
      <w:r w:rsidR="002826F0" w:rsidRPr="00055F3B">
        <w:rPr>
          <w:rFonts w:cs="Arial"/>
          <w:bCs/>
        </w:rPr>
        <w:t>Básica</w:t>
      </w:r>
    </w:p>
    <w:p w14:paraId="7B28D87E" w14:textId="77777777" w:rsidR="00F64869" w:rsidRPr="00055F3B" w:rsidRDefault="00F64869" w:rsidP="00F64869">
      <w:pPr>
        <w:spacing w:after="0" w:line="240" w:lineRule="auto"/>
        <w:jc w:val="center"/>
        <w:rPr>
          <w:rFonts w:cs="Arial"/>
          <w:b/>
          <w:szCs w:val="24"/>
        </w:rPr>
      </w:pP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838"/>
        <w:gridCol w:w="5954"/>
        <w:gridCol w:w="1990"/>
      </w:tblGrid>
      <w:tr w:rsidR="00F64869" w:rsidRPr="00055F3B" w14:paraId="32CDC81E" w14:textId="77777777" w:rsidTr="00340592">
        <w:trPr>
          <w:trHeight w:val="404"/>
          <w:jc w:val="center"/>
        </w:trPr>
        <w:tc>
          <w:tcPr>
            <w:tcW w:w="9782" w:type="dxa"/>
            <w:gridSpan w:val="3"/>
            <w:shd w:val="clear" w:color="auto" w:fill="E2EFD9"/>
            <w:vAlign w:val="center"/>
          </w:tcPr>
          <w:p w14:paraId="690653E8" w14:textId="77777777" w:rsidR="00F64869" w:rsidRPr="00055F3B" w:rsidRDefault="00F64869" w:rsidP="00AD688C">
            <w:pPr>
              <w:spacing w:after="0" w:line="240" w:lineRule="auto"/>
              <w:ind w:left="108"/>
              <w:jc w:val="center"/>
              <w:rPr>
                <w:rFonts w:cs="Arial"/>
                <w:b/>
                <w:sz w:val="20"/>
                <w:szCs w:val="20"/>
              </w:rPr>
            </w:pPr>
            <w:r w:rsidRPr="00055F3B">
              <w:rPr>
                <w:rFonts w:cs="Arial"/>
                <w:b/>
                <w:sz w:val="20"/>
                <w:szCs w:val="20"/>
              </w:rPr>
              <w:t>INFORME DE PRÁCTICAS DEL COMPONENTE PRÁCTICO-EXPERIMENTAL</w:t>
            </w:r>
          </w:p>
        </w:tc>
      </w:tr>
      <w:tr w:rsidR="00F64869" w:rsidRPr="00055F3B" w14:paraId="0C0DC0D8" w14:textId="77777777" w:rsidTr="00340592">
        <w:trPr>
          <w:trHeight w:val="404"/>
          <w:jc w:val="center"/>
        </w:trPr>
        <w:tc>
          <w:tcPr>
            <w:tcW w:w="9782" w:type="dxa"/>
            <w:gridSpan w:val="3"/>
            <w:vAlign w:val="center"/>
          </w:tcPr>
          <w:p w14:paraId="332B3DA9" w14:textId="77777777" w:rsidR="00F64869" w:rsidRPr="00843C89" w:rsidRDefault="00F64869" w:rsidP="00AD688C">
            <w:pPr>
              <w:spacing w:after="0" w:line="360" w:lineRule="auto"/>
              <w:rPr>
                <w:rFonts w:cs="Arial"/>
                <w:b/>
                <w:sz w:val="20"/>
                <w:szCs w:val="20"/>
              </w:rPr>
            </w:pPr>
            <w:r w:rsidRPr="00843C89">
              <w:rPr>
                <w:rFonts w:cs="Arial"/>
                <w:b/>
                <w:sz w:val="20"/>
                <w:szCs w:val="20"/>
              </w:rPr>
              <w:t xml:space="preserve">Nombre de los estudiantes: </w:t>
            </w:r>
          </w:p>
          <w:p w14:paraId="1B8302C3" w14:textId="49D47330" w:rsidR="006C5923" w:rsidRPr="00843C89" w:rsidRDefault="00843C89" w:rsidP="006C5923">
            <w:pPr>
              <w:pStyle w:val="Prrafodelista"/>
              <w:numPr>
                <w:ilvl w:val="0"/>
                <w:numId w:val="1"/>
              </w:numPr>
              <w:spacing w:after="0" w:line="360" w:lineRule="auto"/>
              <w:rPr>
                <w:rFonts w:cs="Arial"/>
                <w:bCs/>
                <w:sz w:val="20"/>
                <w:szCs w:val="20"/>
              </w:rPr>
            </w:pPr>
            <w:r>
              <w:rPr>
                <w:rFonts w:cs="Arial"/>
                <w:bCs/>
                <w:sz w:val="20"/>
                <w:szCs w:val="20"/>
              </w:rPr>
              <w:t>MINAYA GARCIA CRISTOPHER JEFFERSON</w:t>
            </w:r>
          </w:p>
        </w:tc>
      </w:tr>
      <w:tr w:rsidR="00F64869" w:rsidRPr="00055F3B" w14:paraId="2A6D7E74" w14:textId="77777777" w:rsidTr="00340592">
        <w:trPr>
          <w:trHeight w:val="519"/>
          <w:jc w:val="center"/>
        </w:trPr>
        <w:tc>
          <w:tcPr>
            <w:tcW w:w="7792" w:type="dxa"/>
            <w:gridSpan w:val="2"/>
            <w:vAlign w:val="center"/>
          </w:tcPr>
          <w:p w14:paraId="06ABD552" w14:textId="60FB37AE" w:rsidR="00F64869" w:rsidRPr="00843C89" w:rsidRDefault="00F64869" w:rsidP="00AD688C">
            <w:pPr>
              <w:spacing w:after="0" w:line="360" w:lineRule="auto"/>
              <w:rPr>
                <w:rFonts w:cs="Arial"/>
                <w:b/>
                <w:sz w:val="20"/>
                <w:szCs w:val="20"/>
              </w:rPr>
            </w:pPr>
            <w:r w:rsidRPr="00843C89">
              <w:rPr>
                <w:rFonts w:cs="Arial"/>
                <w:b/>
                <w:sz w:val="20"/>
                <w:szCs w:val="20"/>
              </w:rPr>
              <w:t xml:space="preserve">Asignatura: </w:t>
            </w:r>
            <w:r w:rsidR="00843C89">
              <w:rPr>
                <w:rFonts w:cs="Arial"/>
                <w:bCs/>
                <w:sz w:val="20"/>
                <w:szCs w:val="20"/>
              </w:rPr>
              <w:t>EMPRENDIMIENTO</w:t>
            </w:r>
            <w:r w:rsidR="00701A70" w:rsidRPr="00843C89">
              <w:rPr>
                <w:rFonts w:cs="Arial"/>
                <w:bCs/>
                <w:sz w:val="20"/>
                <w:szCs w:val="20"/>
              </w:rPr>
              <w:t xml:space="preserve"> “</w:t>
            </w:r>
            <w:r w:rsidR="00843C89">
              <w:rPr>
                <w:rFonts w:cs="Arial"/>
                <w:bCs/>
                <w:sz w:val="20"/>
                <w:szCs w:val="20"/>
              </w:rPr>
              <w:t>I</w:t>
            </w:r>
            <w:r w:rsidR="00701A70" w:rsidRPr="00843C89">
              <w:rPr>
                <w:rFonts w:cs="Arial"/>
                <w:bCs/>
                <w:sz w:val="20"/>
                <w:szCs w:val="20"/>
              </w:rPr>
              <w:t>”</w:t>
            </w:r>
          </w:p>
        </w:tc>
        <w:tc>
          <w:tcPr>
            <w:tcW w:w="1990" w:type="dxa"/>
            <w:vMerge w:val="restart"/>
            <w:vAlign w:val="center"/>
          </w:tcPr>
          <w:p w14:paraId="09235CC5" w14:textId="77777777" w:rsidR="00F64869" w:rsidRPr="00055F3B" w:rsidRDefault="00F64869" w:rsidP="00AD688C">
            <w:pPr>
              <w:spacing w:after="0" w:line="360" w:lineRule="auto"/>
              <w:jc w:val="center"/>
              <w:rPr>
                <w:rFonts w:cs="Arial"/>
                <w:b/>
                <w:sz w:val="20"/>
                <w:szCs w:val="20"/>
              </w:rPr>
            </w:pPr>
            <w:r w:rsidRPr="00055F3B">
              <w:rPr>
                <w:rFonts w:cs="Arial"/>
                <w:b/>
                <w:sz w:val="20"/>
                <w:szCs w:val="20"/>
              </w:rPr>
              <w:t>Calificación:</w:t>
            </w:r>
          </w:p>
          <w:p w14:paraId="2CAAAAF7" w14:textId="77777777" w:rsidR="00F64869" w:rsidRPr="00055F3B" w:rsidRDefault="00F64869" w:rsidP="00AD688C">
            <w:pPr>
              <w:spacing w:after="0" w:line="360" w:lineRule="auto"/>
              <w:jc w:val="center"/>
              <w:rPr>
                <w:rFonts w:cs="Arial"/>
                <w:bCs/>
                <w:sz w:val="20"/>
                <w:szCs w:val="20"/>
              </w:rPr>
            </w:pPr>
            <w:r w:rsidRPr="00055F3B">
              <w:rPr>
                <w:rFonts w:cs="Arial"/>
                <w:bCs/>
                <w:sz w:val="20"/>
                <w:szCs w:val="20"/>
              </w:rPr>
              <w:t>Sobre 7,5 puntos</w:t>
            </w:r>
          </w:p>
        </w:tc>
      </w:tr>
      <w:tr w:rsidR="00F64869" w:rsidRPr="00055F3B" w14:paraId="7A8EEFD3" w14:textId="77777777" w:rsidTr="00340592">
        <w:trPr>
          <w:trHeight w:val="475"/>
          <w:jc w:val="center"/>
        </w:trPr>
        <w:tc>
          <w:tcPr>
            <w:tcW w:w="7792" w:type="dxa"/>
            <w:gridSpan w:val="2"/>
            <w:vAlign w:val="center"/>
          </w:tcPr>
          <w:p w14:paraId="4598EEDF" w14:textId="43FEDFDF" w:rsidR="00F64869" w:rsidRPr="00843C89" w:rsidRDefault="00F64869" w:rsidP="00AD688C">
            <w:pPr>
              <w:spacing w:after="0" w:line="360" w:lineRule="auto"/>
              <w:rPr>
                <w:rFonts w:cs="Arial"/>
                <w:b/>
                <w:sz w:val="20"/>
                <w:szCs w:val="20"/>
              </w:rPr>
            </w:pPr>
            <w:r w:rsidRPr="00843C89">
              <w:rPr>
                <w:rFonts w:cs="Arial"/>
                <w:b/>
                <w:sz w:val="20"/>
                <w:szCs w:val="20"/>
              </w:rPr>
              <w:t xml:space="preserve">Fecha del informe: </w:t>
            </w:r>
            <w:r w:rsidR="00843C89">
              <w:rPr>
                <w:rFonts w:cs="Arial"/>
                <w:bCs/>
                <w:sz w:val="20"/>
                <w:szCs w:val="20"/>
              </w:rPr>
              <w:t>15-09-2026</w:t>
            </w:r>
          </w:p>
        </w:tc>
        <w:tc>
          <w:tcPr>
            <w:tcW w:w="1990" w:type="dxa"/>
            <w:vMerge/>
          </w:tcPr>
          <w:p w14:paraId="1710CCD6" w14:textId="77777777" w:rsidR="00F64869" w:rsidRPr="00055F3B" w:rsidRDefault="00F64869" w:rsidP="00AD688C">
            <w:pPr>
              <w:spacing w:after="0" w:line="360" w:lineRule="auto"/>
              <w:rPr>
                <w:rFonts w:cs="Arial"/>
                <w:b/>
                <w:sz w:val="20"/>
                <w:szCs w:val="20"/>
              </w:rPr>
            </w:pPr>
          </w:p>
        </w:tc>
      </w:tr>
      <w:tr w:rsidR="00F64869" w:rsidRPr="00055F3B" w14:paraId="1F37591B" w14:textId="77777777" w:rsidTr="00340592">
        <w:trPr>
          <w:trHeight w:val="437"/>
          <w:jc w:val="center"/>
        </w:trPr>
        <w:tc>
          <w:tcPr>
            <w:tcW w:w="7792" w:type="dxa"/>
            <w:gridSpan w:val="2"/>
            <w:vAlign w:val="center"/>
          </w:tcPr>
          <w:p w14:paraId="589379CC" w14:textId="4598419A" w:rsidR="00F64869" w:rsidRPr="00843C89" w:rsidRDefault="00F64869" w:rsidP="00AD688C">
            <w:pPr>
              <w:spacing w:after="0" w:line="240" w:lineRule="auto"/>
              <w:rPr>
                <w:rFonts w:cs="Arial"/>
                <w:b/>
                <w:sz w:val="20"/>
                <w:szCs w:val="20"/>
              </w:rPr>
            </w:pPr>
            <w:proofErr w:type="spellStart"/>
            <w:r w:rsidRPr="00843C89">
              <w:rPr>
                <w:rFonts w:cs="Arial"/>
                <w:b/>
                <w:sz w:val="20"/>
                <w:szCs w:val="20"/>
              </w:rPr>
              <w:t>N°</w:t>
            </w:r>
            <w:proofErr w:type="spellEnd"/>
            <w:r w:rsidRPr="00843C89">
              <w:rPr>
                <w:rFonts w:cs="Arial"/>
                <w:b/>
                <w:sz w:val="20"/>
                <w:szCs w:val="20"/>
              </w:rPr>
              <w:t xml:space="preserve"> Práctica: </w:t>
            </w:r>
            <w:r w:rsidR="00843C89">
              <w:rPr>
                <w:rFonts w:cs="Arial"/>
                <w:bCs/>
                <w:sz w:val="20"/>
                <w:szCs w:val="20"/>
              </w:rPr>
              <w:t>4</w:t>
            </w:r>
          </w:p>
        </w:tc>
        <w:tc>
          <w:tcPr>
            <w:tcW w:w="1990" w:type="dxa"/>
            <w:vMerge/>
          </w:tcPr>
          <w:p w14:paraId="2CB46299" w14:textId="77777777" w:rsidR="00F64869" w:rsidRPr="00055F3B" w:rsidRDefault="00F64869" w:rsidP="00AD688C">
            <w:pPr>
              <w:spacing w:after="0" w:line="360" w:lineRule="auto"/>
              <w:rPr>
                <w:rFonts w:cs="Arial"/>
                <w:sz w:val="20"/>
                <w:szCs w:val="20"/>
              </w:rPr>
            </w:pPr>
          </w:p>
        </w:tc>
      </w:tr>
      <w:tr w:rsidR="00F64869" w:rsidRPr="00055F3B" w14:paraId="244BBC34" w14:textId="77777777" w:rsidTr="00340592">
        <w:trPr>
          <w:trHeight w:val="437"/>
          <w:jc w:val="center"/>
        </w:trPr>
        <w:tc>
          <w:tcPr>
            <w:tcW w:w="7792" w:type="dxa"/>
            <w:gridSpan w:val="2"/>
            <w:vAlign w:val="center"/>
          </w:tcPr>
          <w:p w14:paraId="29622C43" w14:textId="6CC72E1D" w:rsidR="00F64869" w:rsidRPr="00843C89" w:rsidRDefault="00F64869" w:rsidP="00AD688C">
            <w:pPr>
              <w:spacing w:after="0" w:line="240" w:lineRule="auto"/>
              <w:rPr>
                <w:rFonts w:cs="Arial"/>
                <w:b/>
                <w:sz w:val="20"/>
                <w:szCs w:val="20"/>
              </w:rPr>
            </w:pPr>
            <w:r w:rsidRPr="00843C89">
              <w:rPr>
                <w:rFonts w:cs="Arial"/>
                <w:b/>
                <w:sz w:val="20"/>
                <w:szCs w:val="20"/>
              </w:rPr>
              <w:t xml:space="preserve">Título de la Práctica: </w:t>
            </w:r>
            <w:r w:rsidR="00843C89" w:rsidRPr="00843C89">
              <w:rPr>
                <w:rFonts w:cs="Arial"/>
                <w:bCs/>
                <w:sz w:val="20"/>
                <w:szCs w:val="20"/>
              </w:rPr>
              <w:t>Elaboración de un plan de negocios</w:t>
            </w:r>
          </w:p>
        </w:tc>
        <w:tc>
          <w:tcPr>
            <w:tcW w:w="1990" w:type="dxa"/>
            <w:vMerge/>
          </w:tcPr>
          <w:p w14:paraId="3648DCCF" w14:textId="77777777" w:rsidR="00F64869" w:rsidRPr="00055F3B" w:rsidRDefault="00F64869" w:rsidP="00AD688C">
            <w:pPr>
              <w:spacing w:after="0" w:line="360" w:lineRule="auto"/>
              <w:rPr>
                <w:rFonts w:cs="Arial"/>
                <w:sz w:val="20"/>
                <w:szCs w:val="20"/>
              </w:rPr>
            </w:pPr>
          </w:p>
        </w:tc>
      </w:tr>
      <w:tr w:rsidR="00F64869" w:rsidRPr="00055F3B" w14:paraId="067FFAA7" w14:textId="77777777" w:rsidTr="00C44AC0">
        <w:tblPrEx>
          <w:tblCellMar>
            <w:left w:w="108" w:type="dxa"/>
            <w:right w:w="108" w:type="dxa"/>
          </w:tblCellMar>
          <w:tblLook w:val="04A0" w:firstRow="1" w:lastRow="0" w:firstColumn="1" w:lastColumn="0" w:noHBand="0" w:noVBand="1"/>
        </w:tblPrEx>
        <w:trPr>
          <w:trHeight w:val="924"/>
          <w:jc w:val="center"/>
        </w:trPr>
        <w:tc>
          <w:tcPr>
            <w:tcW w:w="1838" w:type="dxa"/>
            <w:vAlign w:val="center"/>
          </w:tcPr>
          <w:p w14:paraId="087FE9EA" w14:textId="77777777" w:rsidR="00F64869" w:rsidRPr="00055F3B" w:rsidRDefault="00F64869" w:rsidP="00055F3B">
            <w:pPr>
              <w:spacing w:after="0" w:line="240" w:lineRule="auto"/>
              <w:jc w:val="left"/>
              <w:rPr>
                <w:rFonts w:ascii="Times New Roman" w:hAnsi="Times New Roman" w:cs="Times New Roman"/>
                <w:b/>
                <w:sz w:val="20"/>
                <w:szCs w:val="20"/>
              </w:rPr>
            </w:pPr>
            <w:r w:rsidRPr="00055F3B">
              <w:rPr>
                <w:rFonts w:ascii="Times New Roman" w:hAnsi="Times New Roman" w:cs="Times New Roman"/>
                <w:b/>
                <w:sz w:val="20"/>
                <w:szCs w:val="20"/>
              </w:rPr>
              <w:t>Introducción</w:t>
            </w:r>
          </w:p>
        </w:tc>
        <w:tc>
          <w:tcPr>
            <w:tcW w:w="7944" w:type="dxa"/>
            <w:gridSpan w:val="2"/>
            <w:vAlign w:val="center"/>
          </w:tcPr>
          <w:p w14:paraId="547CA105" w14:textId="77777777" w:rsidR="00055F3B" w:rsidRPr="00055F3B" w:rsidRDefault="00055F3B" w:rsidP="00055F3B">
            <w:pPr>
              <w:pStyle w:val="NormalWeb"/>
              <w:rPr>
                <w:sz w:val="20"/>
                <w:szCs w:val="20"/>
              </w:rPr>
            </w:pPr>
            <w:r w:rsidRPr="00055F3B">
              <w:rPr>
                <w:sz w:val="20"/>
                <w:szCs w:val="20"/>
              </w:rPr>
              <w:t xml:space="preserve">El presente informe reorganiza y unifica los contenidos de los Prácticos Experimentales 1, 2, 3 y 4 en el formato institucional de la Universidad Estatal Amazónica. El emprendimiento seleccionado es </w:t>
            </w:r>
            <w:proofErr w:type="spellStart"/>
            <w:r w:rsidRPr="00055F3B">
              <w:rPr>
                <w:sz w:val="20"/>
                <w:szCs w:val="20"/>
              </w:rPr>
              <w:t>MinSupport</w:t>
            </w:r>
            <w:proofErr w:type="spellEnd"/>
            <w:r w:rsidRPr="00055F3B">
              <w:rPr>
                <w:sz w:val="20"/>
                <w:szCs w:val="20"/>
              </w:rPr>
              <w:t>, una propuesta de soporte técnico especializado para computadoras de escritorio, laptops, impresoras, cámaras de seguridad y conexiones de red. El servicio está dirigido a hogares, estudiantes, trabajadores independientes, pequeños comercios y oficinas que requieren soluciones tecnológicas confiables sin mantener un departamento interno de tecnología.</w:t>
            </w:r>
          </w:p>
          <w:p w14:paraId="4C3A1575" w14:textId="77777777" w:rsidR="00055F3B" w:rsidRPr="00055F3B" w:rsidRDefault="00055F3B" w:rsidP="00055F3B">
            <w:pPr>
              <w:pStyle w:val="NormalWeb"/>
              <w:rPr>
                <w:sz w:val="20"/>
                <w:szCs w:val="20"/>
              </w:rPr>
            </w:pPr>
            <w:r w:rsidRPr="00055F3B">
              <w:rPr>
                <w:sz w:val="20"/>
                <w:szCs w:val="20"/>
              </w:rPr>
              <w:t>La oportunidad se relaciona con la dependencia creciente de las actividades académicas, laborales y comerciales respecto de equipos y servicios digitales. La digitalización permite a las pequeñas empresas mejorar sus operaciones, innovación y competitividad cuando se acompaña de capacidades y procesos adecuados (</w:t>
            </w:r>
            <w:proofErr w:type="spellStart"/>
            <w:r w:rsidRPr="00055F3B">
              <w:rPr>
                <w:sz w:val="20"/>
                <w:szCs w:val="20"/>
              </w:rPr>
              <w:t>Organisation</w:t>
            </w:r>
            <w:proofErr w:type="spellEnd"/>
            <w:r w:rsidRPr="00055F3B">
              <w:rPr>
                <w:sz w:val="20"/>
                <w:szCs w:val="20"/>
              </w:rPr>
              <w:t xml:space="preserve"> </w:t>
            </w:r>
            <w:proofErr w:type="spellStart"/>
            <w:r w:rsidRPr="00055F3B">
              <w:rPr>
                <w:sz w:val="20"/>
                <w:szCs w:val="20"/>
              </w:rPr>
              <w:t>for</w:t>
            </w:r>
            <w:proofErr w:type="spellEnd"/>
            <w:r w:rsidRPr="00055F3B">
              <w:rPr>
                <w:sz w:val="20"/>
                <w:szCs w:val="20"/>
              </w:rPr>
              <w:t xml:space="preserve"> </w:t>
            </w:r>
            <w:proofErr w:type="spellStart"/>
            <w:r w:rsidRPr="00055F3B">
              <w:rPr>
                <w:sz w:val="20"/>
                <w:szCs w:val="20"/>
              </w:rPr>
              <w:t>Economic</w:t>
            </w:r>
            <w:proofErr w:type="spellEnd"/>
            <w:r w:rsidRPr="00055F3B">
              <w:rPr>
                <w:sz w:val="20"/>
                <w:szCs w:val="20"/>
              </w:rPr>
              <w:t xml:space="preserve"> </w:t>
            </w:r>
            <w:proofErr w:type="spellStart"/>
            <w:r w:rsidRPr="00055F3B">
              <w:rPr>
                <w:sz w:val="20"/>
                <w:szCs w:val="20"/>
              </w:rPr>
              <w:t>Co-operation</w:t>
            </w:r>
            <w:proofErr w:type="spellEnd"/>
            <w:r w:rsidRPr="00055F3B">
              <w:rPr>
                <w:sz w:val="20"/>
                <w:szCs w:val="20"/>
              </w:rPr>
              <w:t xml:space="preserve"> and </w:t>
            </w:r>
            <w:proofErr w:type="spellStart"/>
            <w:r w:rsidRPr="00055F3B">
              <w:rPr>
                <w:sz w:val="20"/>
                <w:szCs w:val="20"/>
              </w:rPr>
              <w:t>Development</w:t>
            </w:r>
            <w:proofErr w:type="spellEnd"/>
            <w:r w:rsidRPr="00055F3B">
              <w:rPr>
                <w:sz w:val="20"/>
                <w:szCs w:val="20"/>
              </w:rPr>
              <w:t xml:space="preserve"> [OECD], 2024, 2025). En este contexto, </w:t>
            </w:r>
            <w:proofErr w:type="spellStart"/>
            <w:r w:rsidRPr="00055F3B">
              <w:rPr>
                <w:sz w:val="20"/>
                <w:szCs w:val="20"/>
              </w:rPr>
              <w:t>MinSupport</w:t>
            </w:r>
            <w:proofErr w:type="spellEnd"/>
            <w:r w:rsidRPr="00055F3B">
              <w:rPr>
                <w:sz w:val="20"/>
                <w:szCs w:val="20"/>
              </w:rPr>
              <w:t xml:space="preserve"> propone convertir el soporte técnico en una experiencia transparente, documentada y orientada a la prevención.</w:t>
            </w:r>
          </w:p>
          <w:p w14:paraId="1B9FE6D2" w14:textId="77777777" w:rsidR="00F64869" w:rsidRPr="00055F3B" w:rsidRDefault="00055F3B" w:rsidP="00055F3B">
            <w:pPr>
              <w:pStyle w:val="NormalWeb"/>
              <w:rPr>
                <w:sz w:val="20"/>
                <w:szCs w:val="20"/>
              </w:rPr>
            </w:pPr>
            <w:r w:rsidRPr="00055F3B">
              <w:rPr>
                <w:sz w:val="20"/>
                <w:szCs w:val="20"/>
              </w:rPr>
              <w:t xml:space="preserve">El objetivo general es formular un plan de negocios viable y sostenible para </w:t>
            </w:r>
            <w:proofErr w:type="spellStart"/>
            <w:r w:rsidRPr="00055F3B">
              <w:rPr>
                <w:sz w:val="20"/>
                <w:szCs w:val="20"/>
              </w:rPr>
              <w:t>MinSupport</w:t>
            </w:r>
            <w:proofErr w:type="spellEnd"/>
            <w:r w:rsidRPr="00055F3B">
              <w:rPr>
                <w:sz w:val="20"/>
                <w:szCs w:val="20"/>
              </w:rPr>
              <w:t xml:space="preserve">, integrando la identificación de la oportunidad, la gestión administrativa, el enfoque en el cliente, la oferta financiera, la cultura de innovación, la administración del talento y las estrategias de financiación y salida. Como objetivos específicos se plantean: identificar necesidades del mercado mediante un </w:t>
            </w:r>
            <w:proofErr w:type="spellStart"/>
            <w:r w:rsidRPr="00055F3B">
              <w:rPr>
                <w:sz w:val="20"/>
                <w:szCs w:val="20"/>
              </w:rPr>
              <w:t>focus</w:t>
            </w:r>
            <w:proofErr w:type="spellEnd"/>
            <w:r w:rsidRPr="00055F3B">
              <w:rPr>
                <w:sz w:val="20"/>
                <w:szCs w:val="20"/>
              </w:rPr>
              <w:t xml:space="preserve"> </w:t>
            </w:r>
            <w:proofErr w:type="spellStart"/>
            <w:r w:rsidRPr="00055F3B">
              <w:rPr>
                <w:sz w:val="20"/>
                <w:szCs w:val="20"/>
              </w:rPr>
              <w:t>group</w:t>
            </w:r>
            <w:proofErr w:type="spellEnd"/>
            <w:r w:rsidRPr="00055F3B">
              <w:rPr>
                <w:sz w:val="20"/>
                <w:szCs w:val="20"/>
              </w:rPr>
              <w:t>; definir la estructura organizacional y el recorrido de atención; estimar la inversión, las ventas y la rentabilidad; y establecer controles para la innovación responsable y la protección de la información.</w:t>
            </w:r>
          </w:p>
          <w:p w14:paraId="2E3D7360" w14:textId="6C6D5971" w:rsidR="00055F3B" w:rsidRPr="00055F3B" w:rsidRDefault="00055F3B" w:rsidP="00055F3B">
            <w:pPr>
              <w:pStyle w:val="NormalWeb"/>
              <w:rPr>
                <w:sz w:val="20"/>
                <w:szCs w:val="20"/>
              </w:rPr>
            </w:pPr>
            <w:r w:rsidRPr="00055F3B">
              <w:rPr>
                <w:sz w:val="20"/>
                <w:szCs w:val="20"/>
              </w:rPr>
              <w:t xml:space="preserve">La propuesta incorpora el uso prudente de inteligencia artificial para tareas de bajo riesgo. Este uso se fundamenta en la gestión de riesgos, la supervisión humana, la transparencia y la responsabilidad recomendadas por el </w:t>
            </w:r>
            <w:proofErr w:type="spellStart"/>
            <w:r w:rsidRPr="00055F3B">
              <w:rPr>
                <w:sz w:val="20"/>
                <w:szCs w:val="20"/>
              </w:rPr>
              <w:t>National</w:t>
            </w:r>
            <w:proofErr w:type="spellEnd"/>
            <w:r w:rsidRPr="00055F3B">
              <w:rPr>
                <w:sz w:val="20"/>
                <w:szCs w:val="20"/>
              </w:rPr>
              <w:t xml:space="preserve"> </w:t>
            </w:r>
            <w:proofErr w:type="spellStart"/>
            <w:r w:rsidRPr="00055F3B">
              <w:rPr>
                <w:sz w:val="20"/>
                <w:szCs w:val="20"/>
              </w:rPr>
              <w:t>Institute</w:t>
            </w:r>
            <w:proofErr w:type="spellEnd"/>
            <w:r w:rsidRPr="00055F3B">
              <w:rPr>
                <w:sz w:val="20"/>
                <w:szCs w:val="20"/>
              </w:rPr>
              <w:t xml:space="preserve"> of </w:t>
            </w:r>
            <w:proofErr w:type="spellStart"/>
            <w:r w:rsidRPr="00055F3B">
              <w:rPr>
                <w:sz w:val="20"/>
                <w:szCs w:val="20"/>
              </w:rPr>
              <w:t>Standards</w:t>
            </w:r>
            <w:proofErr w:type="spellEnd"/>
            <w:r w:rsidRPr="00055F3B">
              <w:rPr>
                <w:sz w:val="20"/>
                <w:szCs w:val="20"/>
              </w:rPr>
              <w:t xml:space="preserve"> and </w:t>
            </w:r>
            <w:proofErr w:type="spellStart"/>
            <w:r w:rsidRPr="00055F3B">
              <w:rPr>
                <w:sz w:val="20"/>
                <w:szCs w:val="20"/>
              </w:rPr>
              <w:t>Technology</w:t>
            </w:r>
            <w:proofErr w:type="spellEnd"/>
            <w:r w:rsidRPr="00055F3B">
              <w:rPr>
                <w:sz w:val="20"/>
                <w:szCs w:val="20"/>
              </w:rPr>
              <w:t xml:space="preserve"> (NIST, 2023). Las cifras, hallazgos preliminares y formatos de campo se presentan con finalidad académica y deberán completarse con evidencias reales del equipo antes de la entrega definitiva.</w:t>
            </w:r>
          </w:p>
        </w:tc>
      </w:tr>
      <w:tr w:rsidR="00F64869" w:rsidRPr="00055F3B" w14:paraId="0E575DA5" w14:textId="77777777" w:rsidTr="00C44AC0">
        <w:tblPrEx>
          <w:tblCellMar>
            <w:left w:w="108" w:type="dxa"/>
            <w:right w:w="108" w:type="dxa"/>
          </w:tblCellMar>
          <w:tblLook w:val="04A0" w:firstRow="1" w:lastRow="0" w:firstColumn="1" w:lastColumn="0" w:noHBand="0" w:noVBand="1"/>
        </w:tblPrEx>
        <w:trPr>
          <w:trHeight w:val="924"/>
          <w:jc w:val="center"/>
        </w:trPr>
        <w:tc>
          <w:tcPr>
            <w:tcW w:w="1838" w:type="dxa"/>
            <w:vAlign w:val="center"/>
          </w:tcPr>
          <w:p w14:paraId="76BF84CC" w14:textId="77777777" w:rsidR="00F64869" w:rsidRPr="00055F3B" w:rsidRDefault="00F64869" w:rsidP="00055F3B">
            <w:pPr>
              <w:spacing w:after="0" w:line="240" w:lineRule="auto"/>
              <w:jc w:val="left"/>
              <w:rPr>
                <w:rFonts w:ascii="Times New Roman" w:hAnsi="Times New Roman" w:cs="Times New Roman"/>
                <w:b/>
                <w:sz w:val="20"/>
                <w:szCs w:val="20"/>
              </w:rPr>
            </w:pPr>
            <w:r w:rsidRPr="00055F3B">
              <w:rPr>
                <w:rFonts w:ascii="Times New Roman" w:hAnsi="Times New Roman" w:cs="Times New Roman"/>
                <w:b/>
                <w:sz w:val="20"/>
                <w:szCs w:val="20"/>
              </w:rPr>
              <w:lastRenderedPageBreak/>
              <w:t>Desarrollo o procedimiento</w:t>
            </w:r>
          </w:p>
        </w:tc>
        <w:tc>
          <w:tcPr>
            <w:tcW w:w="7944" w:type="dxa"/>
            <w:gridSpan w:val="2"/>
            <w:vAlign w:val="center"/>
          </w:tcPr>
          <w:p w14:paraId="058C57C4" w14:textId="4515F734" w:rsidR="00055F3B" w:rsidRPr="00055F3B" w:rsidRDefault="00055F3B" w:rsidP="00055F3B">
            <w:pPr>
              <w:spacing w:after="0" w:line="240" w:lineRule="auto"/>
              <w:jc w:val="left"/>
              <w:rPr>
                <w:rFonts w:ascii="Times New Roman" w:eastAsia="Times New Roman" w:hAnsi="Times New Roman" w:cs="Times New Roman"/>
                <w:b/>
                <w:sz w:val="20"/>
                <w:szCs w:val="20"/>
              </w:rPr>
            </w:pPr>
            <w:r w:rsidRPr="00055F3B">
              <w:rPr>
                <w:rFonts w:ascii="Times New Roman" w:eastAsia="Times New Roman" w:hAnsi="Times New Roman" w:cs="Times New Roman"/>
                <w:b/>
                <w:sz w:val="20"/>
                <w:szCs w:val="20"/>
              </w:rPr>
              <w:tab/>
              <w:t>1. Identificación de la oportunidad y metodología de trabajo</w:t>
            </w:r>
          </w:p>
          <w:p w14:paraId="740FBAB7"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 xml:space="preserve">El trabajo se desarrolló mediante revisión de la guía institucional, análisis del entorno de servicios tecnológicos y diseño de un </w:t>
            </w:r>
            <w:proofErr w:type="spellStart"/>
            <w:r w:rsidRPr="00055F3B">
              <w:rPr>
                <w:rFonts w:ascii="Times New Roman" w:eastAsia="Times New Roman" w:hAnsi="Times New Roman" w:cs="Times New Roman"/>
                <w:sz w:val="20"/>
                <w:szCs w:val="20"/>
              </w:rPr>
              <w:t>focus</w:t>
            </w:r>
            <w:proofErr w:type="spellEnd"/>
            <w:r w:rsidRPr="00055F3B">
              <w:rPr>
                <w:rFonts w:ascii="Times New Roman" w:eastAsia="Times New Roman" w:hAnsi="Times New Roman" w:cs="Times New Roman"/>
                <w:sz w:val="20"/>
                <w:szCs w:val="20"/>
              </w:rPr>
              <w:t xml:space="preserve"> </w:t>
            </w:r>
            <w:proofErr w:type="spellStart"/>
            <w:r w:rsidRPr="00055F3B">
              <w:rPr>
                <w:rFonts w:ascii="Times New Roman" w:eastAsia="Times New Roman" w:hAnsi="Times New Roman" w:cs="Times New Roman"/>
                <w:sz w:val="20"/>
                <w:szCs w:val="20"/>
              </w:rPr>
              <w:t>group</w:t>
            </w:r>
            <w:proofErr w:type="spellEnd"/>
            <w:r w:rsidRPr="00055F3B">
              <w:rPr>
                <w:rFonts w:ascii="Times New Roman" w:eastAsia="Times New Roman" w:hAnsi="Times New Roman" w:cs="Times New Roman"/>
                <w:sz w:val="20"/>
                <w:szCs w:val="20"/>
              </w:rPr>
              <w:t xml:space="preserve"> exploratorio. El escenario de trabajo corresponde a un entorno académico y de planificación empresarial, complementado con observación de las necesidades habituales de hogares y microempresas. La propuesta debe validarse en el entorno local del grupo mediante entrevistas, cotizaciones y observación directa.</w:t>
            </w:r>
          </w:p>
          <w:p w14:paraId="3BB0BBCC" w14:textId="77777777" w:rsidR="00055F3B" w:rsidRPr="00055F3B" w:rsidRDefault="00055F3B" w:rsidP="00055F3B">
            <w:pPr>
              <w:spacing w:after="0" w:line="240" w:lineRule="auto"/>
              <w:jc w:val="left"/>
              <w:rPr>
                <w:rFonts w:ascii="Times New Roman" w:eastAsia="Times New Roman" w:hAnsi="Times New Roman" w:cs="Times New Roman"/>
                <w:b/>
                <w:sz w:val="20"/>
                <w:szCs w:val="20"/>
              </w:rPr>
            </w:pPr>
          </w:p>
          <w:p w14:paraId="1A7AE762" w14:textId="6A47188E" w:rsidR="00055F3B" w:rsidRPr="00843C89" w:rsidRDefault="00055F3B" w:rsidP="00843C89">
            <w:pPr>
              <w:pStyle w:val="Prrafodelista"/>
              <w:numPr>
                <w:ilvl w:val="1"/>
                <w:numId w:val="3"/>
              </w:numPr>
              <w:spacing w:after="0" w:line="240" w:lineRule="auto"/>
              <w:jc w:val="left"/>
              <w:rPr>
                <w:rFonts w:ascii="Times New Roman" w:eastAsia="Times New Roman" w:hAnsi="Times New Roman" w:cs="Times New Roman"/>
                <w:b/>
                <w:sz w:val="20"/>
                <w:szCs w:val="20"/>
              </w:rPr>
            </w:pPr>
            <w:r w:rsidRPr="00843C89">
              <w:rPr>
                <w:rFonts w:ascii="Times New Roman" w:eastAsia="Times New Roman" w:hAnsi="Times New Roman" w:cs="Times New Roman"/>
                <w:b/>
                <w:sz w:val="20"/>
                <w:szCs w:val="20"/>
              </w:rPr>
              <w:t>Problema y propuesta de solución</w:t>
            </w:r>
          </w:p>
          <w:p w14:paraId="2ECF85A7" w14:textId="77777777" w:rsidR="00843C89" w:rsidRPr="00843C89" w:rsidRDefault="00843C89" w:rsidP="00843C89">
            <w:pPr>
              <w:spacing w:after="0" w:line="240" w:lineRule="auto"/>
              <w:jc w:val="left"/>
              <w:rPr>
                <w:rFonts w:ascii="Times New Roman" w:eastAsia="Times New Roman" w:hAnsi="Times New Roman" w:cs="Times New Roman"/>
                <w:b/>
                <w:sz w:val="20"/>
                <w:szCs w:val="20"/>
              </w:rPr>
            </w:pPr>
          </w:p>
          <w:tbl>
            <w:tblPr>
              <w:tblStyle w:val="Tablanormal1"/>
              <w:tblW w:w="7684" w:type="dxa"/>
              <w:tblLook w:val="04A0" w:firstRow="1" w:lastRow="0" w:firstColumn="1" w:lastColumn="0" w:noHBand="0" w:noVBand="1"/>
            </w:tblPr>
            <w:tblGrid>
              <w:gridCol w:w="2156"/>
              <w:gridCol w:w="2835"/>
              <w:gridCol w:w="2693"/>
            </w:tblGrid>
            <w:tr w:rsidR="00055F3B" w:rsidRPr="00055F3B" w14:paraId="4336C08E" w14:textId="77777777" w:rsidTr="00055F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hideMark/>
                </w:tcPr>
                <w:p w14:paraId="780B5977"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Problema identificado</w:t>
                  </w:r>
                </w:p>
              </w:tc>
              <w:tc>
                <w:tcPr>
                  <w:tcW w:w="2835" w:type="dxa"/>
                  <w:hideMark/>
                </w:tcPr>
                <w:p w14:paraId="66741347" w14:textId="77777777" w:rsidR="00055F3B" w:rsidRPr="00055F3B" w:rsidRDefault="00055F3B" w:rsidP="00055F3B">
                  <w:pPr>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Consecuencia para el usuario</w:t>
                  </w:r>
                </w:p>
              </w:tc>
              <w:tc>
                <w:tcPr>
                  <w:tcW w:w="2693" w:type="dxa"/>
                  <w:hideMark/>
                </w:tcPr>
                <w:p w14:paraId="0E147E1C" w14:textId="77777777" w:rsidR="00055F3B" w:rsidRPr="00055F3B" w:rsidRDefault="00055F3B" w:rsidP="00055F3B">
                  <w:pPr>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 xml:space="preserve">Respuesta de </w:t>
                  </w:r>
                  <w:proofErr w:type="spellStart"/>
                  <w:r w:rsidRPr="00055F3B">
                    <w:rPr>
                      <w:rFonts w:ascii="Times New Roman" w:eastAsia="Times New Roman" w:hAnsi="Times New Roman" w:cs="Times New Roman"/>
                      <w:sz w:val="20"/>
                      <w:szCs w:val="20"/>
                    </w:rPr>
                    <w:t>MinSupport</w:t>
                  </w:r>
                  <w:proofErr w:type="spellEnd"/>
                </w:p>
              </w:tc>
            </w:tr>
            <w:tr w:rsidR="00055F3B" w:rsidRPr="00055F3B" w14:paraId="1010F340" w14:textId="77777777" w:rsidTr="000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hideMark/>
                </w:tcPr>
                <w:p w14:paraId="2685CCE6"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Fallas de hardware o software</w:t>
                  </w:r>
                </w:p>
              </w:tc>
              <w:tc>
                <w:tcPr>
                  <w:tcW w:w="2835" w:type="dxa"/>
                  <w:hideMark/>
                </w:tcPr>
                <w:p w14:paraId="761247B4"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Pérdida de tiempo, información y productividad</w:t>
                  </w:r>
                </w:p>
              </w:tc>
              <w:tc>
                <w:tcPr>
                  <w:tcW w:w="2693" w:type="dxa"/>
                  <w:hideMark/>
                </w:tcPr>
                <w:p w14:paraId="3655AE6A"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Diagnóstico, reparación y mantenimiento preventivo.</w:t>
                  </w:r>
                </w:p>
              </w:tc>
            </w:tr>
            <w:tr w:rsidR="00055F3B" w:rsidRPr="00055F3B" w14:paraId="2ED8F0A8" w14:textId="77777777" w:rsidTr="00055F3B">
              <w:tc>
                <w:tcPr>
                  <w:cnfStyle w:val="001000000000" w:firstRow="0" w:lastRow="0" w:firstColumn="1" w:lastColumn="0" w:oddVBand="0" w:evenVBand="0" w:oddHBand="0" w:evenHBand="0" w:firstRowFirstColumn="0" w:firstRowLastColumn="0" w:lastRowFirstColumn="0" w:lastRowLastColumn="0"/>
                  <w:tcW w:w="2156" w:type="dxa"/>
                  <w:hideMark/>
                </w:tcPr>
                <w:p w14:paraId="75509073"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 xml:space="preserve">Red </w:t>
                  </w:r>
                  <w:proofErr w:type="spellStart"/>
                  <w:r w:rsidRPr="00055F3B">
                    <w:rPr>
                      <w:rFonts w:ascii="Times New Roman" w:eastAsia="Times New Roman" w:hAnsi="Times New Roman" w:cs="Times New Roman"/>
                      <w:sz w:val="20"/>
                      <w:szCs w:val="20"/>
                    </w:rPr>
                    <w:t>Wi</w:t>
                  </w:r>
                  <w:proofErr w:type="spellEnd"/>
                  <w:r w:rsidRPr="00055F3B">
                    <w:rPr>
                      <w:rFonts w:ascii="Times New Roman" w:eastAsia="Times New Roman" w:hAnsi="Times New Roman" w:cs="Times New Roman"/>
                      <w:sz w:val="20"/>
                      <w:szCs w:val="20"/>
                    </w:rPr>
                    <w:t>-Fi inestable</w:t>
                  </w:r>
                </w:p>
              </w:tc>
              <w:tc>
                <w:tcPr>
                  <w:tcW w:w="2835" w:type="dxa"/>
                  <w:hideMark/>
                </w:tcPr>
                <w:p w14:paraId="2EC28071"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Interrupción del estudio, trabajo o ventas</w:t>
                  </w:r>
                </w:p>
              </w:tc>
              <w:tc>
                <w:tcPr>
                  <w:tcW w:w="2693" w:type="dxa"/>
                  <w:hideMark/>
                </w:tcPr>
                <w:p w14:paraId="76C641D8"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Configuración, pruebas y documentación de red.</w:t>
                  </w:r>
                </w:p>
              </w:tc>
            </w:tr>
            <w:tr w:rsidR="00055F3B" w:rsidRPr="00055F3B" w14:paraId="49E04EE1" w14:textId="77777777" w:rsidTr="000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hideMark/>
                </w:tcPr>
                <w:p w14:paraId="53953A2B"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Impresoras sin mantenimiento</w:t>
                  </w:r>
                </w:p>
              </w:tc>
              <w:tc>
                <w:tcPr>
                  <w:tcW w:w="2835" w:type="dxa"/>
                  <w:hideMark/>
                </w:tcPr>
                <w:p w14:paraId="1EE554FF"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Retrasos, desperdicio de insumos y costos</w:t>
                  </w:r>
                </w:p>
              </w:tc>
              <w:tc>
                <w:tcPr>
                  <w:tcW w:w="2693" w:type="dxa"/>
                  <w:hideMark/>
                </w:tcPr>
                <w:p w14:paraId="5EFA7827"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Limpieza, controladores, configuración y pruebas.</w:t>
                  </w:r>
                </w:p>
              </w:tc>
            </w:tr>
            <w:tr w:rsidR="00055F3B" w:rsidRPr="00055F3B" w14:paraId="4E4E3751" w14:textId="77777777" w:rsidTr="00055F3B">
              <w:tc>
                <w:tcPr>
                  <w:cnfStyle w:val="001000000000" w:firstRow="0" w:lastRow="0" w:firstColumn="1" w:lastColumn="0" w:oddVBand="0" w:evenVBand="0" w:oddHBand="0" w:evenHBand="0" w:firstRowFirstColumn="0" w:firstRowLastColumn="0" w:lastRowFirstColumn="0" w:lastRowLastColumn="0"/>
                  <w:tcW w:w="2156" w:type="dxa"/>
                  <w:hideMark/>
                </w:tcPr>
                <w:p w14:paraId="3D3ED7FE"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Baja protección de locales</w:t>
                  </w:r>
                </w:p>
              </w:tc>
              <w:tc>
                <w:tcPr>
                  <w:tcW w:w="2835" w:type="dxa"/>
                  <w:hideMark/>
                </w:tcPr>
                <w:p w14:paraId="2EF10557"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Riesgo de pérdidas y falta de evidencia</w:t>
                  </w:r>
                </w:p>
              </w:tc>
              <w:tc>
                <w:tcPr>
                  <w:tcW w:w="2693" w:type="dxa"/>
                  <w:hideMark/>
                </w:tcPr>
                <w:p w14:paraId="6F669AD1"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Instalación y configuración de cámaras.</w:t>
                  </w:r>
                </w:p>
              </w:tc>
            </w:tr>
            <w:tr w:rsidR="00055F3B" w:rsidRPr="00055F3B" w14:paraId="4AD3588A" w14:textId="77777777" w:rsidTr="000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hideMark/>
                </w:tcPr>
                <w:p w14:paraId="29ACEDC7"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Desconfianza frente al técnico</w:t>
                  </w:r>
                </w:p>
              </w:tc>
              <w:tc>
                <w:tcPr>
                  <w:tcW w:w="2835" w:type="dxa"/>
                  <w:hideMark/>
                </w:tcPr>
                <w:p w14:paraId="6A2AAC7A"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Temor a sobrecostos o pérdida de datos</w:t>
                  </w:r>
                </w:p>
              </w:tc>
              <w:tc>
                <w:tcPr>
                  <w:tcW w:w="2693" w:type="dxa"/>
                  <w:hideMark/>
                </w:tcPr>
                <w:p w14:paraId="0227C593"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Cotización previa, autorización, registro y garantía.</w:t>
                  </w:r>
                </w:p>
              </w:tc>
            </w:tr>
          </w:tbl>
          <w:p w14:paraId="28F8928F"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p>
          <w:p w14:paraId="631B3C0F" w14:textId="76B9698B" w:rsidR="00055F3B" w:rsidRPr="00055F3B" w:rsidRDefault="00055F3B" w:rsidP="00055F3B">
            <w:pPr>
              <w:spacing w:after="0" w:line="240" w:lineRule="auto"/>
              <w:jc w:val="left"/>
              <w:rPr>
                <w:rFonts w:ascii="Times New Roman" w:eastAsia="Times New Roman" w:hAnsi="Times New Roman" w:cs="Times New Roman"/>
                <w:b/>
                <w:sz w:val="20"/>
                <w:szCs w:val="20"/>
              </w:rPr>
            </w:pPr>
            <w:r w:rsidRPr="00055F3B">
              <w:rPr>
                <w:rFonts w:ascii="Times New Roman" w:eastAsia="Times New Roman" w:hAnsi="Times New Roman" w:cs="Times New Roman"/>
                <w:b/>
                <w:sz w:val="20"/>
                <w:szCs w:val="20"/>
              </w:rPr>
              <w:tab/>
              <w:t xml:space="preserve">1.2 Focus </w:t>
            </w:r>
            <w:proofErr w:type="spellStart"/>
            <w:r w:rsidRPr="00055F3B">
              <w:rPr>
                <w:rFonts w:ascii="Times New Roman" w:eastAsia="Times New Roman" w:hAnsi="Times New Roman" w:cs="Times New Roman"/>
                <w:b/>
                <w:sz w:val="20"/>
                <w:szCs w:val="20"/>
              </w:rPr>
              <w:t>group</w:t>
            </w:r>
            <w:proofErr w:type="spellEnd"/>
            <w:r w:rsidRPr="00055F3B">
              <w:rPr>
                <w:rFonts w:ascii="Times New Roman" w:eastAsia="Times New Roman" w:hAnsi="Times New Roman" w:cs="Times New Roman"/>
                <w:b/>
                <w:sz w:val="20"/>
                <w:szCs w:val="20"/>
              </w:rPr>
              <w:t xml:space="preserve"> exploratorio</w:t>
            </w:r>
          </w:p>
          <w:p w14:paraId="26DBE990"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Se diseñó un grupo focal de ocho participantes: tres usuarios de hogar, dos estudiantes, un profesional independiente y dos propietarios de microempresas. Las preguntas deben explorar fallas recientes, criterios para escoger técnicos, canales preferidos, disposición a pagar por mantenimiento, importancia de la garantía y necesidades de cámaras o redes. Los resultados siguientes son preliminares y deben reemplazarse o confirmarse con respuestas reales, fecha, lugar, moderador y evidencia autorizada.</w:t>
            </w:r>
          </w:p>
          <w:p w14:paraId="3D15BCA7"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p>
          <w:tbl>
            <w:tblPr>
              <w:tblStyle w:val="Tablanormal1"/>
              <w:tblW w:w="7687" w:type="dxa"/>
              <w:tblLook w:val="04A0" w:firstRow="1" w:lastRow="0" w:firstColumn="1" w:lastColumn="0" w:noHBand="0" w:noVBand="1"/>
            </w:tblPr>
            <w:tblGrid>
              <w:gridCol w:w="2156"/>
              <w:gridCol w:w="2410"/>
              <w:gridCol w:w="3121"/>
            </w:tblGrid>
            <w:tr w:rsidR="00055F3B" w:rsidRPr="00055F3B" w14:paraId="0B2B3A26" w14:textId="77777777" w:rsidTr="00055F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hideMark/>
                </w:tcPr>
                <w:p w14:paraId="5D9BF22E"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Hallazgo preliminar</w:t>
                  </w:r>
                </w:p>
              </w:tc>
              <w:tc>
                <w:tcPr>
                  <w:tcW w:w="2410" w:type="dxa"/>
                  <w:hideMark/>
                </w:tcPr>
                <w:p w14:paraId="42A6C9BE" w14:textId="77777777" w:rsidR="00055F3B" w:rsidRPr="00055F3B" w:rsidRDefault="00055F3B" w:rsidP="00055F3B">
                  <w:pPr>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Resultado de referencia</w:t>
                  </w:r>
                </w:p>
              </w:tc>
              <w:tc>
                <w:tcPr>
                  <w:tcW w:w="3121" w:type="dxa"/>
                  <w:hideMark/>
                </w:tcPr>
                <w:p w14:paraId="1396619B" w14:textId="77777777" w:rsidR="00055F3B" w:rsidRPr="00055F3B" w:rsidRDefault="00055F3B" w:rsidP="00055F3B">
                  <w:pPr>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Decisión empresarial</w:t>
                  </w:r>
                </w:p>
              </w:tc>
            </w:tr>
            <w:tr w:rsidR="00055F3B" w:rsidRPr="00055F3B" w14:paraId="01359272" w14:textId="77777777" w:rsidTr="000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hideMark/>
                </w:tcPr>
                <w:p w14:paraId="1462782F"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Rapidez</w:t>
                  </w:r>
                </w:p>
              </w:tc>
              <w:tc>
                <w:tcPr>
                  <w:tcW w:w="2410" w:type="dxa"/>
                  <w:hideMark/>
                </w:tcPr>
                <w:p w14:paraId="20A95547"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6 de 8 participantes</w:t>
                  </w:r>
                </w:p>
              </w:tc>
              <w:tc>
                <w:tcPr>
                  <w:tcW w:w="3121" w:type="dxa"/>
                  <w:hideMark/>
                </w:tcPr>
                <w:p w14:paraId="1B395318"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Respuesta inicial en máximo 30 minutos en horario laboral.</w:t>
                  </w:r>
                </w:p>
              </w:tc>
            </w:tr>
            <w:tr w:rsidR="00055F3B" w:rsidRPr="00055F3B" w14:paraId="1B49F57A" w14:textId="77777777" w:rsidTr="00055F3B">
              <w:tc>
                <w:tcPr>
                  <w:cnfStyle w:val="001000000000" w:firstRow="0" w:lastRow="0" w:firstColumn="1" w:lastColumn="0" w:oddVBand="0" w:evenVBand="0" w:oddHBand="0" w:evenHBand="0" w:firstRowFirstColumn="0" w:firstRowLastColumn="0" w:lastRowFirstColumn="0" w:lastRowLastColumn="0"/>
                  <w:tcW w:w="2156" w:type="dxa"/>
                  <w:hideMark/>
                </w:tcPr>
                <w:p w14:paraId="7F3FC0E7"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Transparencia</w:t>
                  </w:r>
                </w:p>
              </w:tc>
              <w:tc>
                <w:tcPr>
                  <w:tcW w:w="2410" w:type="dxa"/>
                  <w:hideMark/>
                </w:tcPr>
                <w:p w14:paraId="4BD8658A"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7 de 8</w:t>
                  </w:r>
                </w:p>
              </w:tc>
              <w:tc>
                <w:tcPr>
                  <w:tcW w:w="3121" w:type="dxa"/>
                  <w:hideMark/>
                </w:tcPr>
                <w:p w14:paraId="47BC3BAB"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Diagnóstico y cotización antes de reparar.</w:t>
                  </w:r>
                </w:p>
              </w:tc>
            </w:tr>
            <w:tr w:rsidR="00055F3B" w:rsidRPr="00055F3B" w14:paraId="2112F829" w14:textId="77777777" w:rsidTr="000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hideMark/>
                </w:tcPr>
                <w:p w14:paraId="7F5B0170"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Garantía</w:t>
                  </w:r>
                </w:p>
              </w:tc>
              <w:tc>
                <w:tcPr>
                  <w:tcW w:w="2410" w:type="dxa"/>
                  <w:hideMark/>
                </w:tcPr>
                <w:p w14:paraId="615327C3"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7 de 8</w:t>
                  </w:r>
                </w:p>
              </w:tc>
              <w:tc>
                <w:tcPr>
                  <w:tcW w:w="3121" w:type="dxa"/>
                  <w:hideMark/>
                </w:tcPr>
                <w:p w14:paraId="4E294A44"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Garantía escrita de 30 días sobre mano de obra.</w:t>
                  </w:r>
                </w:p>
              </w:tc>
            </w:tr>
            <w:tr w:rsidR="00055F3B" w:rsidRPr="00055F3B" w14:paraId="2035BF60" w14:textId="77777777" w:rsidTr="00055F3B">
              <w:tc>
                <w:tcPr>
                  <w:cnfStyle w:val="001000000000" w:firstRow="0" w:lastRow="0" w:firstColumn="1" w:lastColumn="0" w:oddVBand="0" w:evenVBand="0" w:oddHBand="0" w:evenHBand="0" w:firstRowFirstColumn="0" w:firstRowLastColumn="0" w:lastRowFirstColumn="0" w:lastRowLastColumn="0"/>
                  <w:tcW w:w="2156" w:type="dxa"/>
                  <w:hideMark/>
                </w:tcPr>
                <w:p w14:paraId="6FC6EE1F"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Atención a domicilio</w:t>
                  </w:r>
                </w:p>
              </w:tc>
              <w:tc>
                <w:tcPr>
                  <w:tcW w:w="2410" w:type="dxa"/>
                  <w:hideMark/>
                </w:tcPr>
                <w:p w14:paraId="3DAA0210"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6 de 8</w:t>
                  </w:r>
                </w:p>
              </w:tc>
              <w:tc>
                <w:tcPr>
                  <w:tcW w:w="3121" w:type="dxa"/>
                  <w:hideMark/>
                </w:tcPr>
                <w:p w14:paraId="3E1E01BF"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Visita programada con tarifa informada.</w:t>
                  </w:r>
                </w:p>
              </w:tc>
            </w:tr>
            <w:tr w:rsidR="00055F3B" w:rsidRPr="00055F3B" w14:paraId="0418F296" w14:textId="77777777" w:rsidTr="000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6" w:type="dxa"/>
                  <w:hideMark/>
                </w:tcPr>
                <w:p w14:paraId="48FB8830"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Mantenimiento preventivo</w:t>
                  </w:r>
                </w:p>
              </w:tc>
              <w:tc>
                <w:tcPr>
                  <w:tcW w:w="2410" w:type="dxa"/>
                  <w:hideMark/>
                </w:tcPr>
                <w:p w14:paraId="74A469C2"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4 de 8</w:t>
                  </w:r>
                </w:p>
              </w:tc>
              <w:tc>
                <w:tcPr>
                  <w:tcW w:w="3121" w:type="dxa"/>
                  <w:hideMark/>
                </w:tcPr>
                <w:p w14:paraId="627A2CE3"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 xml:space="preserve">Plan </w:t>
                  </w:r>
                  <w:proofErr w:type="spellStart"/>
                  <w:r w:rsidRPr="00055F3B">
                    <w:rPr>
                      <w:rFonts w:ascii="Times New Roman" w:eastAsia="Times New Roman" w:hAnsi="Times New Roman" w:cs="Times New Roman"/>
                      <w:sz w:val="20"/>
                      <w:szCs w:val="20"/>
                    </w:rPr>
                    <w:t>MinSupport</w:t>
                  </w:r>
                  <w:proofErr w:type="spellEnd"/>
                  <w:r w:rsidRPr="00055F3B">
                    <w:rPr>
                      <w:rFonts w:ascii="Times New Roman" w:eastAsia="Times New Roman" w:hAnsi="Times New Roman" w:cs="Times New Roman"/>
                      <w:sz w:val="20"/>
                      <w:szCs w:val="20"/>
                    </w:rPr>
                    <w:t xml:space="preserve"> Care mensual o trimestral.</w:t>
                  </w:r>
                </w:p>
              </w:tc>
            </w:tr>
          </w:tbl>
          <w:p w14:paraId="4A66610C" w14:textId="77777777" w:rsidR="00843C89" w:rsidRDefault="00843C89" w:rsidP="00055F3B">
            <w:pPr>
              <w:spacing w:after="0" w:line="240" w:lineRule="auto"/>
              <w:jc w:val="left"/>
              <w:rPr>
                <w:rFonts w:ascii="Times New Roman" w:eastAsia="Times New Roman" w:hAnsi="Times New Roman" w:cs="Times New Roman"/>
                <w:b/>
                <w:sz w:val="20"/>
                <w:szCs w:val="20"/>
              </w:rPr>
            </w:pPr>
          </w:p>
          <w:p w14:paraId="7590B4E1" w14:textId="77777777" w:rsidR="00843C89" w:rsidRDefault="00843C89" w:rsidP="00055F3B">
            <w:pPr>
              <w:spacing w:after="0" w:line="240" w:lineRule="auto"/>
              <w:jc w:val="left"/>
              <w:rPr>
                <w:rFonts w:ascii="Times New Roman" w:eastAsia="Times New Roman" w:hAnsi="Times New Roman" w:cs="Times New Roman"/>
                <w:b/>
                <w:sz w:val="20"/>
                <w:szCs w:val="20"/>
              </w:rPr>
            </w:pPr>
          </w:p>
          <w:p w14:paraId="57DAD50F" w14:textId="77777777" w:rsidR="00843C89" w:rsidRDefault="00843C89" w:rsidP="00055F3B">
            <w:pPr>
              <w:spacing w:after="0" w:line="240" w:lineRule="auto"/>
              <w:jc w:val="left"/>
              <w:rPr>
                <w:rFonts w:ascii="Times New Roman" w:eastAsia="Times New Roman" w:hAnsi="Times New Roman" w:cs="Times New Roman"/>
                <w:b/>
                <w:sz w:val="20"/>
                <w:szCs w:val="20"/>
              </w:rPr>
            </w:pPr>
          </w:p>
          <w:p w14:paraId="22CC5583" w14:textId="77777777" w:rsidR="00843C89" w:rsidRDefault="00843C89" w:rsidP="00055F3B">
            <w:pPr>
              <w:spacing w:after="0" w:line="240" w:lineRule="auto"/>
              <w:jc w:val="left"/>
              <w:rPr>
                <w:rFonts w:ascii="Times New Roman" w:eastAsia="Times New Roman" w:hAnsi="Times New Roman" w:cs="Times New Roman"/>
                <w:b/>
                <w:sz w:val="20"/>
                <w:szCs w:val="20"/>
              </w:rPr>
            </w:pPr>
          </w:p>
          <w:p w14:paraId="5F33B274" w14:textId="77777777" w:rsidR="00843C89" w:rsidRDefault="00843C89" w:rsidP="00055F3B">
            <w:pPr>
              <w:spacing w:after="0" w:line="240" w:lineRule="auto"/>
              <w:jc w:val="left"/>
              <w:rPr>
                <w:rFonts w:ascii="Times New Roman" w:eastAsia="Times New Roman" w:hAnsi="Times New Roman" w:cs="Times New Roman"/>
                <w:b/>
                <w:sz w:val="20"/>
                <w:szCs w:val="20"/>
              </w:rPr>
            </w:pPr>
          </w:p>
          <w:p w14:paraId="2C70330B" w14:textId="77777777" w:rsidR="00843C89" w:rsidRDefault="00843C89" w:rsidP="00055F3B">
            <w:pPr>
              <w:spacing w:after="0" w:line="240" w:lineRule="auto"/>
              <w:jc w:val="left"/>
              <w:rPr>
                <w:rFonts w:ascii="Times New Roman" w:eastAsia="Times New Roman" w:hAnsi="Times New Roman" w:cs="Times New Roman"/>
                <w:b/>
                <w:sz w:val="20"/>
                <w:szCs w:val="20"/>
              </w:rPr>
            </w:pPr>
          </w:p>
          <w:p w14:paraId="5D0451AC" w14:textId="77777777" w:rsidR="00843C89" w:rsidRDefault="00843C89" w:rsidP="00055F3B">
            <w:pPr>
              <w:spacing w:after="0" w:line="240" w:lineRule="auto"/>
              <w:jc w:val="left"/>
              <w:rPr>
                <w:rFonts w:ascii="Times New Roman" w:eastAsia="Times New Roman" w:hAnsi="Times New Roman" w:cs="Times New Roman"/>
                <w:b/>
                <w:sz w:val="20"/>
                <w:szCs w:val="20"/>
              </w:rPr>
            </w:pPr>
          </w:p>
          <w:p w14:paraId="5DD38EB0" w14:textId="676306AF" w:rsidR="00055F3B" w:rsidRPr="00055F3B" w:rsidRDefault="00055F3B" w:rsidP="00055F3B">
            <w:pPr>
              <w:spacing w:after="0" w:line="240" w:lineRule="auto"/>
              <w:jc w:val="left"/>
              <w:rPr>
                <w:rFonts w:ascii="Times New Roman" w:eastAsia="Times New Roman" w:hAnsi="Times New Roman" w:cs="Times New Roman"/>
                <w:b/>
                <w:sz w:val="20"/>
                <w:szCs w:val="20"/>
              </w:rPr>
            </w:pPr>
            <w:r w:rsidRPr="00055F3B">
              <w:rPr>
                <w:rFonts w:ascii="Times New Roman" w:eastAsia="Times New Roman" w:hAnsi="Times New Roman" w:cs="Times New Roman"/>
                <w:b/>
                <w:sz w:val="20"/>
                <w:szCs w:val="20"/>
              </w:rPr>
              <w:lastRenderedPageBreak/>
              <w:tab/>
              <w:t>2. Equipo gerencial y administración</w:t>
            </w:r>
          </w:p>
          <w:p w14:paraId="1815F0D3"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La estructura inicial será liviana para controlar costos y facilitar decisiones rápidas. La gerencia general dirigirá la estrategia, el presupuesto, las alianzas y el cumplimiento. La coordinación técnica controlará diagnósticos, reparaciones, instalaciones y pruebas. Atención y comercial administrará consultas, cotizaciones, agenda y postventa. Administración e inventario llevará compras, stock, facturación y archivo. En la fase inicial, una persona podrá desempeñar más de una función, pero cada proceso tendrá un responsable definido.</w:t>
            </w:r>
          </w:p>
          <w:p w14:paraId="6BAE777A"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p>
          <w:tbl>
            <w:tblPr>
              <w:tblStyle w:val="Tablanormal1"/>
              <w:tblW w:w="7375" w:type="dxa"/>
              <w:tblLook w:val="04A0" w:firstRow="1" w:lastRow="0" w:firstColumn="1" w:lastColumn="0" w:noHBand="0" w:noVBand="1"/>
            </w:tblPr>
            <w:tblGrid>
              <w:gridCol w:w="2131"/>
              <w:gridCol w:w="3121"/>
              <w:gridCol w:w="2123"/>
            </w:tblGrid>
            <w:tr w:rsidR="00055F3B" w:rsidRPr="00055F3B" w14:paraId="002F02E5" w14:textId="77777777" w:rsidTr="00055F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1" w:type="dxa"/>
                  <w:hideMark/>
                </w:tcPr>
                <w:p w14:paraId="1CC47DEF"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Área</w:t>
                  </w:r>
                </w:p>
              </w:tc>
              <w:tc>
                <w:tcPr>
                  <w:tcW w:w="3121" w:type="dxa"/>
                  <w:hideMark/>
                </w:tcPr>
                <w:p w14:paraId="392004E7" w14:textId="77777777" w:rsidR="00055F3B" w:rsidRPr="00055F3B" w:rsidRDefault="00055F3B" w:rsidP="00055F3B">
                  <w:pPr>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Funciones principales</w:t>
                  </w:r>
                </w:p>
              </w:tc>
              <w:tc>
                <w:tcPr>
                  <w:tcW w:w="2123" w:type="dxa"/>
                  <w:hideMark/>
                </w:tcPr>
                <w:p w14:paraId="1C68EBE9" w14:textId="77777777" w:rsidR="00055F3B" w:rsidRPr="00055F3B" w:rsidRDefault="00055F3B" w:rsidP="00055F3B">
                  <w:pPr>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Responsable inicial</w:t>
                  </w:r>
                </w:p>
              </w:tc>
            </w:tr>
            <w:tr w:rsidR="00055F3B" w:rsidRPr="00055F3B" w14:paraId="4A711C97" w14:textId="77777777" w:rsidTr="000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1" w:type="dxa"/>
                  <w:hideMark/>
                </w:tcPr>
                <w:p w14:paraId="268EB5FA"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Gerencia general</w:t>
                  </w:r>
                </w:p>
              </w:tc>
              <w:tc>
                <w:tcPr>
                  <w:tcW w:w="3121" w:type="dxa"/>
                  <w:hideMark/>
                </w:tcPr>
                <w:p w14:paraId="4BE806CC"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Dirección, presupuesto, alianzas e indicadores</w:t>
                  </w:r>
                </w:p>
              </w:tc>
              <w:tc>
                <w:tcPr>
                  <w:tcW w:w="2123" w:type="dxa"/>
                  <w:hideMark/>
                </w:tcPr>
                <w:p w14:paraId="1F599335"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Emprendedor fundador</w:t>
                  </w:r>
                </w:p>
              </w:tc>
            </w:tr>
            <w:tr w:rsidR="00055F3B" w:rsidRPr="00055F3B" w14:paraId="129A2922" w14:textId="77777777" w:rsidTr="00055F3B">
              <w:tc>
                <w:tcPr>
                  <w:cnfStyle w:val="001000000000" w:firstRow="0" w:lastRow="0" w:firstColumn="1" w:lastColumn="0" w:oddVBand="0" w:evenVBand="0" w:oddHBand="0" w:evenHBand="0" w:firstRowFirstColumn="0" w:firstRowLastColumn="0" w:lastRowFirstColumn="0" w:lastRowLastColumn="0"/>
                  <w:tcW w:w="2131" w:type="dxa"/>
                  <w:hideMark/>
                </w:tcPr>
                <w:p w14:paraId="70629981"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Coordinación técnica</w:t>
                  </w:r>
                </w:p>
              </w:tc>
              <w:tc>
                <w:tcPr>
                  <w:tcW w:w="3121" w:type="dxa"/>
                  <w:hideMark/>
                </w:tcPr>
                <w:p w14:paraId="11A7E31A"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Diagnóstico, reparación, redes, CCTV y calidad</w:t>
                  </w:r>
                </w:p>
              </w:tc>
              <w:tc>
                <w:tcPr>
                  <w:tcW w:w="2123" w:type="dxa"/>
                  <w:hideMark/>
                </w:tcPr>
                <w:p w14:paraId="70C00C06"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Técnico líder</w:t>
                  </w:r>
                </w:p>
              </w:tc>
            </w:tr>
            <w:tr w:rsidR="00055F3B" w:rsidRPr="00055F3B" w14:paraId="5B170BC2" w14:textId="77777777" w:rsidTr="000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1" w:type="dxa"/>
                  <w:hideMark/>
                </w:tcPr>
                <w:p w14:paraId="3F28C702"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Atención y comercial</w:t>
                  </w:r>
                </w:p>
              </w:tc>
              <w:tc>
                <w:tcPr>
                  <w:tcW w:w="3121" w:type="dxa"/>
                  <w:hideMark/>
                </w:tcPr>
                <w:p w14:paraId="1A676069"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WhatsApp, cotizaciones, agenda y postventa</w:t>
                  </w:r>
                </w:p>
              </w:tc>
              <w:tc>
                <w:tcPr>
                  <w:tcW w:w="2123" w:type="dxa"/>
                  <w:hideMark/>
                </w:tcPr>
                <w:p w14:paraId="0AEA56F8"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Asesor de servicio</w:t>
                  </w:r>
                </w:p>
              </w:tc>
            </w:tr>
            <w:tr w:rsidR="00055F3B" w:rsidRPr="00055F3B" w14:paraId="3EF80C1C" w14:textId="77777777" w:rsidTr="00055F3B">
              <w:tc>
                <w:tcPr>
                  <w:cnfStyle w:val="001000000000" w:firstRow="0" w:lastRow="0" w:firstColumn="1" w:lastColumn="0" w:oddVBand="0" w:evenVBand="0" w:oddHBand="0" w:evenHBand="0" w:firstRowFirstColumn="0" w:firstRowLastColumn="0" w:lastRowFirstColumn="0" w:lastRowLastColumn="0"/>
                  <w:tcW w:w="2131" w:type="dxa"/>
                  <w:hideMark/>
                </w:tcPr>
                <w:p w14:paraId="1E2AFD00"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Administración e inventario</w:t>
                  </w:r>
                </w:p>
              </w:tc>
              <w:tc>
                <w:tcPr>
                  <w:tcW w:w="3121" w:type="dxa"/>
                  <w:hideMark/>
                </w:tcPr>
                <w:p w14:paraId="7238B593"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Compras, stock, facturación y órdenes</w:t>
                  </w:r>
                </w:p>
              </w:tc>
              <w:tc>
                <w:tcPr>
                  <w:tcW w:w="2123" w:type="dxa"/>
                  <w:hideMark/>
                </w:tcPr>
                <w:p w14:paraId="049ABAAC"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Auxiliar administrativo</w:t>
                  </w:r>
                </w:p>
              </w:tc>
            </w:tr>
            <w:tr w:rsidR="00055F3B" w:rsidRPr="00055F3B" w14:paraId="6CA7BB6B" w14:textId="77777777" w:rsidTr="000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1" w:type="dxa"/>
                  <w:hideMark/>
                </w:tcPr>
                <w:p w14:paraId="4CF56DC8"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Especialistas externos</w:t>
                  </w:r>
                </w:p>
              </w:tc>
              <w:tc>
                <w:tcPr>
                  <w:tcW w:w="3121" w:type="dxa"/>
                  <w:hideMark/>
                </w:tcPr>
                <w:p w14:paraId="7E8162CD"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Apoyo en proyectos complejos</w:t>
                  </w:r>
                </w:p>
              </w:tc>
              <w:tc>
                <w:tcPr>
                  <w:tcW w:w="2123" w:type="dxa"/>
                  <w:hideMark/>
                </w:tcPr>
                <w:p w14:paraId="44B847CF"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Profesionales por servicio</w:t>
                  </w:r>
                </w:p>
              </w:tc>
            </w:tr>
          </w:tbl>
          <w:p w14:paraId="79CDF54C"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p>
          <w:p w14:paraId="6D486782" w14:textId="05F31A4E" w:rsidR="00055F3B" w:rsidRPr="00055F3B" w:rsidRDefault="00055F3B" w:rsidP="00055F3B">
            <w:pPr>
              <w:spacing w:after="0" w:line="240" w:lineRule="auto"/>
              <w:jc w:val="left"/>
              <w:rPr>
                <w:rFonts w:ascii="Times New Roman" w:eastAsia="Times New Roman" w:hAnsi="Times New Roman" w:cs="Times New Roman"/>
                <w:b/>
                <w:sz w:val="20"/>
                <w:szCs w:val="20"/>
              </w:rPr>
            </w:pPr>
            <w:r w:rsidRPr="00055F3B">
              <w:rPr>
                <w:rFonts w:ascii="Times New Roman" w:eastAsia="Times New Roman" w:hAnsi="Times New Roman" w:cs="Times New Roman"/>
                <w:b/>
                <w:sz w:val="20"/>
                <w:szCs w:val="20"/>
              </w:rPr>
              <w:tab/>
              <w:t>2.1 Reclutamiento, capacitación y desempeño</w:t>
            </w:r>
          </w:p>
          <w:p w14:paraId="0DB7CCA8"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El reclutamiento priorizará conocimientos técnicos verificables, honestidad, capacidad de explicar soluciones y disposición para documentar cada intervención. La selección incluirá revisión de experiencia, entrevista situacional y una prueba práctica controlada. El plan anual de capacitación abarcará redes, ciberseguridad básica, mantenimiento, cámaras, inteligencia artificial, comunicación y servicio al cliente. Se asignará un presupuesto inicial de USD 600 para capacitación y actualización, sujeto a cotizaciones.</w:t>
            </w:r>
          </w:p>
          <w:p w14:paraId="65C57358"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p>
          <w:tbl>
            <w:tblPr>
              <w:tblStyle w:val="Tablanormal1"/>
              <w:tblW w:w="6946" w:type="dxa"/>
              <w:tblLook w:val="04A0" w:firstRow="1" w:lastRow="0" w:firstColumn="1" w:lastColumn="0" w:noHBand="0" w:noVBand="1"/>
            </w:tblPr>
            <w:tblGrid>
              <w:gridCol w:w="1276"/>
              <w:gridCol w:w="3121"/>
              <w:gridCol w:w="2549"/>
            </w:tblGrid>
            <w:tr w:rsidR="00055F3B" w:rsidRPr="00055F3B" w14:paraId="411899C5" w14:textId="77777777" w:rsidTr="00055F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5F330832"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Elemento</w:t>
                  </w:r>
                </w:p>
              </w:tc>
              <w:tc>
                <w:tcPr>
                  <w:tcW w:w="3121" w:type="dxa"/>
                  <w:hideMark/>
                </w:tcPr>
                <w:p w14:paraId="43CE44B9" w14:textId="77777777" w:rsidR="00055F3B" w:rsidRPr="00055F3B" w:rsidRDefault="00055F3B" w:rsidP="00055F3B">
                  <w:pPr>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Aplicación</w:t>
                  </w:r>
                </w:p>
              </w:tc>
              <w:tc>
                <w:tcPr>
                  <w:tcW w:w="2549" w:type="dxa"/>
                  <w:hideMark/>
                </w:tcPr>
                <w:p w14:paraId="5B2F4FE3" w14:textId="77777777" w:rsidR="00055F3B" w:rsidRPr="00055F3B" w:rsidRDefault="00055F3B" w:rsidP="00055F3B">
                  <w:pPr>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Evidencia</w:t>
                  </w:r>
                </w:p>
              </w:tc>
            </w:tr>
            <w:tr w:rsidR="00055F3B" w:rsidRPr="00055F3B" w14:paraId="35986213" w14:textId="77777777" w:rsidTr="000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67D00064"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Trabajo en equipo</w:t>
                  </w:r>
                </w:p>
              </w:tc>
              <w:tc>
                <w:tcPr>
                  <w:tcW w:w="3121" w:type="dxa"/>
                  <w:hideMark/>
                </w:tcPr>
                <w:p w14:paraId="31ABF6C3"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 xml:space="preserve">Reunión semanal de 20 minutos, tablero de </w:t>
                  </w:r>
                  <w:proofErr w:type="gramStart"/>
                  <w:r w:rsidRPr="00055F3B">
                    <w:rPr>
                      <w:rFonts w:ascii="Times New Roman" w:eastAsia="Times New Roman" w:hAnsi="Times New Roman" w:cs="Times New Roman"/>
                      <w:sz w:val="20"/>
                      <w:szCs w:val="20"/>
                    </w:rPr>
                    <w:t>tickets</w:t>
                  </w:r>
                  <w:proofErr w:type="gramEnd"/>
                  <w:r w:rsidRPr="00055F3B">
                    <w:rPr>
                      <w:rFonts w:ascii="Times New Roman" w:eastAsia="Times New Roman" w:hAnsi="Times New Roman" w:cs="Times New Roman"/>
                      <w:sz w:val="20"/>
                      <w:szCs w:val="20"/>
                    </w:rPr>
                    <w:t xml:space="preserve"> y revisión de casos difíciles.</w:t>
                  </w:r>
                </w:p>
              </w:tc>
              <w:tc>
                <w:tcPr>
                  <w:tcW w:w="2549" w:type="dxa"/>
                  <w:hideMark/>
                </w:tcPr>
                <w:p w14:paraId="2D26690A"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 xml:space="preserve">Acta breve y </w:t>
                  </w:r>
                  <w:proofErr w:type="gramStart"/>
                  <w:r w:rsidRPr="00055F3B">
                    <w:rPr>
                      <w:rFonts w:ascii="Times New Roman" w:eastAsia="Times New Roman" w:hAnsi="Times New Roman" w:cs="Times New Roman"/>
                      <w:sz w:val="20"/>
                      <w:szCs w:val="20"/>
                    </w:rPr>
                    <w:t>tickets</w:t>
                  </w:r>
                  <w:proofErr w:type="gramEnd"/>
                  <w:r w:rsidRPr="00055F3B">
                    <w:rPr>
                      <w:rFonts w:ascii="Times New Roman" w:eastAsia="Times New Roman" w:hAnsi="Times New Roman" w:cs="Times New Roman"/>
                      <w:sz w:val="20"/>
                      <w:szCs w:val="20"/>
                    </w:rPr>
                    <w:t xml:space="preserve"> actualizados</w:t>
                  </w:r>
                </w:p>
              </w:tc>
            </w:tr>
            <w:tr w:rsidR="00055F3B" w:rsidRPr="00055F3B" w14:paraId="503765B5" w14:textId="77777777" w:rsidTr="00055F3B">
              <w:tc>
                <w:tcPr>
                  <w:cnfStyle w:val="001000000000" w:firstRow="0" w:lastRow="0" w:firstColumn="1" w:lastColumn="0" w:oddVBand="0" w:evenVBand="0" w:oddHBand="0" w:evenHBand="0" w:firstRowFirstColumn="0" w:firstRowLastColumn="0" w:lastRowFirstColumn="0" w:lastRowLastColumn="0"/>
                  <w:tcW w:w="1276" w:type="dxa"/>
                  <w:hideMark/>
                </w:tcPr>
                <w:p w14:paraId="31F74AA5"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Liderazgo</w:t>
                  </w:r>
                </w:p>
              </w:tc>
              <w:tc>
                <w:tcPr>
                  <w:tcW w:w="3121" w:type="dxa"/>
                  <w:hideMark/>
                </w:tcPr>
                <w:p w14:paraId="76F76A50"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Objetivos claros, escucha activa y decisiones explicadas.</w:t>
                  </w:r>
                </w:p>
              </w:tc>
              <w:tc>
                <w:tcPr>
                  <w:tcW w:w="2549" w:type="dxa"/>
                  <w:hideMark/>
                </w:tcPr>
                <w:p w14:paraId="0CB67F1E"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Reunión mensual y acuerdos</w:t>
                  </w:r>
                </w:p>
              </w:tc>
            </w:tr>
            <w:tr w:rsidR="00055F3B" w:rsidRPr="00055F3B" w14:paraId="61D4E862" w14:textId="77777777" w:rsidTr="000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7845B95A"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Motivación</w:t>
                  </w:r>
                </w:p>
              </w:tc>
              <w:tc>
                <w:tcPr>
                  <w:tcW w:w="3121" w:type="dxa"/>
                  <w:hideMark/>
                </w:tcPr>
                <w:p w14:paraId="25E4A16A"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Reconocimiento por calidad, puntualidad, aprendizaje y satisfacción.</w:t>
                  </w:r>
                </w:p>
              </w:tc>
              <w:tc>
                <w:tcPr>
                  <w:tcW w:w="2549" w:type="dxa"/>
                  <w:hideMark/>
                </w:tcPr>
                <w:p w14:paraId="4F1132C1"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Matriz de reconocimiento</w:t>
                  </w:r>
                </w:p>
              </w:tc>
            </w:tr>
            <w:tr w:rsidR="00055F3B" w:rsidRPr="00055F3B" w14:paraId="66C268A1" w14:textId="77777777" w:rsidTr="00055F3B">
              <w:tc>
                <w:tcPr>
                  <w:cnfStyle w:val="001000000000" w:firstRow="0" w:lastRow="0" w:firstColumn="1" w:lastColumn="0" w:oddVBand="0" w:evenVBand="0" w:oddHBand="0" w:evenHBand="0" w:firstRowFirstColumn="0" w:firstRowLastColumn="0" w:lastRowFirstColumn="0" w:lastRowLastColumn="0"/>
                  <w:tcW w:w="1276" w:type="dxa"/>
                  <w:hideMark/>
                </w:tcPr>
                <w:p w14:paraId="3FE3E260"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Desempeño</w:t>
                  </w:r>
                </w:p>
              </w:tc>
              <w:tc>
                <w:tcPr>
                  <w:tcW w:w="3121" w:type="dxa"/>
                  <w:hideMark/>
                </w:tcPr>
                <w:p w14:paraId="2470507F"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Evaluación trimestral de calidad, tiempo, documentación y reclamos.</w:t>
                  </w:r>
                </w:p>
              </w:tc>
              <w:tc>
                <w:tcPr>
                  <w:tcW w:w="2549" w:type="dxa"/>
                  <w:hideMark/>
                </w:tcPr>
                <w:p w14:paraId="03CCE6E4"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Ficha de desempeño</w:t>
                  </w:r>
                </w:p>
              </w:tc>
            </w:tr>
            <w:tr w:rsidR="00055F3B" w:rsidRPr="00055F3B" w14:paraId="7A98E34B" w14:textId="77777777" w:rsidTr="000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6" w:type="dxa"/>
                  <w:hideMark/>
                </w:tcPr>
                <w:p w14:paraId="4B34E458"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Desarrollo</w:t>
                  </w:r>
                </w:p>
              </w:tc>
              <w:tc>
                <w:tcPr>
                  <w:tcW w:w="3121" w:type="dxa"/>
                  <w:hideMark/>
                </w:tcPr>
                <w:p w14:paraId="4728E779"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Plan anual de capacitación y prácticas.</w:t>
                  </w:r>
                </w:p>
              </w:tc>
              <w:tc>
                <w:tcPr>
                  <w:tcW w:w="2549" w:type="dxa"/>
                  <w:hideMark/>
                </w:tcPr>
                <w:p w14:paraId="0744EF31"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Certificados y registros</w:t>
                  </w:r>
                </w:p>
              </w:tc>
            </w:tr>
          </w:tbl>
          <w:p w14:paraId="5654B2CD" w14:textId="77777777" w:rsidR="00055F3B" w:rsidRDefault="00055F3B" w:rsidP="00055F3B">
            <w:pPr>
              <w:spacing w:after="0" w:line="240" w:lineRule="auto"/>
              <w:jc w:val="left"/>
              <w:rPr>
                <w:rFonts w:ascii="Times New Roman" w:eastAsia="Times New Roman" w:hAnsi="Times New Roman" w:cs="Times New Roman"/>
                <w:sz w:val="20"/>
                <w:szCs w:val="20"/>
              </w:rPr>
            </w:pPr>
          </w:p>
          <w:p w14:paraId="5C3CED5F" w14:textId="77777777" w:rsidR="00843C89" w:rsidRDefault="00843C89" w:rsidP="00055F3B">
            <w:pPr>
              <w:spacing w:after="0" w:line="240" w:lineRule="auto"/>
              <w:jc w:val="left"/>
              <w:rPr>
                <w:rFonts w:ascii="Times New Roman" w:eastAsia="Times New Roman" w:hAnsi="Times New Roman" w:cs="Times New Roman"/>
                <w:sz w:val="20"/>
                <w:szCs w:val="20"/>
              </w:rPr>
            </w:pPr>
          </w:p>
          <w:p w14:paraId="37B5EB4F" w14:textId="77777777" w:rsidR="00843C89" w:rsidRDefault="00843C89" w:rsidP="00055F3B">
            <w:pPr>
              <w:spacing w:after="0" w:line="240" w:lineRule="auto"/>
              <w:jc w:val="left"/>
              <w:rPr>
                <w:rFonts w:ascii="Times New Roman" w:eastAsia="Times New Roman" w:hAnsi="Times New Roman" w:cs="Times New Roman"/>
                <w:sz w:val="20"/>
                <w:szCs w:val="20"/>
              </w:rPr>
            </w:pPr>
          </w:p>
          <w:p w14:paraId="7F0C6D1C" w14:textId="77777777" w:rsidR="00843C89" w:rsidRDefault="00843C89" w:rsidP="00055F3B">
            <w:pPr>
              <w:spacing w:after="0" w:line="240" w:lineRule="auto"/>
              <w:jc w:val="left"/>
              <w:rPr>
                <w:rFonts w:ascii="Times New Roman" w:eastAsia="Times New Roman" w:hAnsi="Times New Roman" w:cs="Times New Roman"/>
                <w:sz w:val="20"/>
                <w:szCs w:val="20"/>
              </w:rPr>
            </w:pPr>
          </w:p>
          <w:p w14:paraId="3F82224B" w14:textId="77777777" w:rsidR="00843C89" w:rsidRDefault="00843C89" w:rsidP="00055F3B">
            <w:pPr>
              <w:spacing w:after="0" w:line="240" w:lineRule="auto"/>
              <w:jc w:val="left"/>
              <w:rPr>
                <w:rFonts w:ascii="Times New Roman" w:eastAsia="Times New Roman" w:hAnsi="Times New Roman" w:cs="Times New Roman"/>
                <w:sz w:val="20"/>
                <w:szCs w:val="20"/>
              </w:rPr>
            </w:pPr>
          </w:p>
          <w:p w14:paraId="53369989" w14:textId="77777777" w:rsidR="00843C89" w:rsidRDefault="00843C89" w:rsidP="00055F3B">
            <w:pPr>
              <w:spacing w:after="0" w:line="240" w:lineRule="auto"/>
              <w:jc w:val="left"/>
              <w:rPr>
                <w:rFonts w:ascii="Times New Roman" w:eastAsia="Times New Roman" w:hAnsi="Times New Roman" w:cs="Times New Roman"/>
                <w:sz w:val="20"/>
                <w:szCs w:val="20"/>
              </w:rPr>
            </w:pPr>
          </w:p>
          <w:p w14:paraId="38777995" w14:textId="77777777" w:rsidR="00843C89" w:rsidRDefault="00843C89" w:rsidP="00055F3B">
            <w:pPr>
              <w:spacing w:after="0" w:line="240" w:lineRule="auto"/>
              <w:jc w:val="left"/>
              <w:rPr>
                <w:rFonts w:ascii="Times New Roman" w:eastAsia="Times New Roman" w:hAnsi="Times New Roman" w:cs="Times New Roman"/>
                <w:sz w:val="20"/>
                <w:szCs w:val="20"/>
              </w:rPr>
            </w:pPr>
          </w:p>
          <w:p w14:paraId="0A5C345F" w14:textId="4F2CC11B" w:rsidR="00055F3B" w:rsidRPr="00055F3B" w:rsidRDefault="00055F3B" w:rsidP="00055F3B">
            <w:pPr>
              <w:spacing w:after="0" w:line="240" w:lineRule="auto"/>
              <w:jc w:val="left"/>
              <w:rPr>
                <w:rFonts w:ascii="Times New Roman" w:eastAsia="Times New Roman" w:hAnsi="Times New Roman" w:cs="Times New Roman"/>
                <w:b/>
                <w:sz w:val="20"/>
                <w:szCs w:val="20"/>
              </w:rPr>
            </w:pPr>
            <w:r w:rsidRPr="00055F3B">
              <w:rPr>
                <w:rFonts w:ascii="Times New Roman" w:eastAsia="Times New Roman" w:hAnsi="Times New Roman" w:cs="Times New Roman"/>
                <w:b/>
                <w:sz w:val="20"/>
                <w:szCs w:val="20"/>
              </w:rPr>
              <w:lastRenderedPageBreak/>
              <w:tab/>
              <w:t>3. Enfoque en el cliente, marketing y postventa</w:t>
            </w:r>
          </w:p>
          <w:p w14:paraId="0E51E872"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 xml:space="preserve">La promesa de </w:t>
            </w:r>
            <w:proofErr w:type="spellStart"/>
            <w:r w:rsidRPr="00055F3B">
              <w:rPr>
                <w:rFonts w:ascii="Times New Roman" w:eastAsia="Times New Roman" w:hAnsi="Times New Roman" w:cs="Times New Roman"/>
                <w:sz w:val="20"/>
                <w:szCs w:val="20"/>
              </w:rPr>
              <w:t>MinSupport</w:t>
            </w:r>
            <w:proofErr w:type="spellEnd"/>
            <w:r w:rsidRPr="00055F3B">
              <w:rPr>
                <w:rFonts w:ascii="Times New Roman" w:eastAsia="Times New Roman" w:hAnsi="Times New Roman" w:cs="Times New Roman"/>
                <w:sz w:val="20"/>
                <w:szCs w:val="20"/>
              </w:rPr>
              <w:t xml:space="preserve"> será “Tecnología funcionando, explicada y protegida”. Cada orden tendrá número de </w:t>
            </w:r>
            <w:proofErr w:type="gramStart"/>
            <w:r w:rsidRPr="00055F3B">
              <w:rPr>
                <w:rFonts w:ascii="Times New Roman" w:eastAsia="Times New Roman" w:hAnsi="Times New Roman" w:cs="Times New Roman"/>
                <w:sz w:val="20"/>
                <w:szCs w:val="20"/>
              </w:rPr>
              <w:t>ticket</w:t>
            </w:r>
            <w:proofErr w:type="gramEnd"/>
            <w:r w:rsidRPr="00055F3B">
              <w:rPr>
                <w:rFonts w:ascii="Times New Roman" w:eastAsia="Times New Roman" w:hAnsi="Times New Roman" w:cs="Times New Roman"/>
                <w:sz w:val="20"/>
                <w:szCs w:val="20"/>
              </w:rPr>
              <w:t>, estado del equipo, diagnóstico, presupuesto, autorización, registro de piezas, pruebas de funcionamiento y recomendaciones. El servicio postventa incluirá una encuesta a las 48 horas, seguimiento a los siete días, garantía escrita y recordatorio de mantenimiento.</w:t>
            </w:r>
          </w:p>
          <w:p w14:paraId="5B9B54EF" w14:textId="77777777" w:rsidR="00055F3B" w:rsidRDefault="00055F3B" w:rsidP="00055F3B">
            <w:pPr>
              <w:spacing w:after="0" w:line="240" w:lineRule="auto"/>
              <w:jc w:val="left"/>
              <w:rPr>
                <w:rFonts w:ascii="Times New Roman" w:eastAsia="Times New Roman" w:hAnsi="Times New Roman" w:cs="Times New Roman"/>
                <w:sz w:val="20"/>
                <w:szCs w:val="20"/>
              </w:rPr>
            </w:pPr>
          </w:p>
          <w:tbl>
            <w:tblPr>
              <w:tblStyle w:val="Tablanormal1"/>
              <w:tblW w:w="7229" w:type="dxa"/>
              <w:tblLook w:val="04A0" w:firstRow="1" w:lastRow="0" w:firstColumn="1" w:lastColumn="0" w:noHBand="0" w:noVBand="1"/>
            </w:tblPr>
            <w:tblGrid>
              <w:gridCol w:w="1984"/>
              <w:gridCol w:w="3260"/>
              <w:gridCol w:w="1985"/>
            </w:tblGrid>
            <w:tr w:rsidR="00055F3B" w:rsidRPr="00055F3B" w14:paraId="051896BB" w14:textId="77777777" w:rsidTr="00055F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hideMark/>
                </w:tcPr>
                <w:p w14:paraId="774F1F46"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Etapa del recorrido</w:t>
                  </w:r>
                </w:p>
              </w:tc>
              <w:tc>
                <w:tcPr>
                  <w:tcW w:w="3260" w:type="dxa"/>
                  <w:hideMark/>
                </w:tcPr>
                <w:p w14:paraId="316FB3AC" w14:textId="77777777" w:rsidR="00055F3B" w:rsidRPr="00055F3B" w:rsidRDefault="00055F3B" w:rsidP="00055F3B">
                  <w:pPr>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Acción de atención</w:t>
                  </w:r>
                </w:p>
              </w:tc>
              <w:tc>
                <w:tcPr>
                  <w:tcW w:w="1985" w:type="dxa"/>
                  <w:hideMark/>
                </w:tcPr>
                <w:p w14:paraId="254C8F0C" w14:textId="77777777" w:rsidR="00055F3B" w:rsidRPr="00055F3B" w:rsidRDefault="00055F3B" w:rsidP="00055F3B">
                  <w:pPr>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Indicador</w:t>
                  </w:r>
                </w:p>
              </w:tc>
            </w:tr>
            <w:tr w:rsidR="00055F3B" w:rsidRPr="00055F3B" w14:paraId="5C312328" w14:textId="77777777" w:rsidTr="000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hideMark/>
                </w:tcPr>
                <w:p w14:paraId="1B5B2F78"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Descubrimiento</w:t>
                  </w:r>
                </w:p>
              </w:tc>
              <w:tc>
                <w:tcPr>
                  <w:tcW w:w="3260" w:type="dxa"/>
                  <w:hideMark/>
                </w:tcPr>
                <w:p w14:paraId="1438D687"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Perfil digital, recomendaciones y alianzas locales</w:t>
                  </w:r>
                </w:p>
              </w:tc>
              <w:tc>
                <w:tcPr>
                  <w:tcW w:w="1985" w:type="dxa"/>
                  <w:hideMark/>
                </w:tcPr>
                <w:p w14:paraId="638ABAE7"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Consultas recibidas</w:t>
                  </w:r>
                </w:p>
              </w:tc>
            </w:tr>
            <w:tr w:rsidR="00055F3B" w:rsidRPr="00055F3B" w14:paraId="2F87862C" w14:textId="77777777" w:rsidTr="00055F3B">
              <w:tc>
                <w:tcPr>
                  <w:cnfStyle w:val="001000000000" w:firstRow="0" w:lastRow="0" w:firstColumn="1" w:lastColumn="0" w:oddVBand="0" w:evenVBand="0" w:oddHBand="0" w:evenHBand="0" w:firstRowFirstColumn="0" w:firstRowLastColumn="0" w:lastRowFirstColumn="0" w:lastRowLastColumn="0"/>
                  <w:tcW w:w="1984" w:type="dxa"/>
                  <w:hideMark/>
                </w:tcPr>
                <w:p w14:paraId="641E9D4E"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Consulta</w:t>
                  </w:r>
                </w:p>
              </w:tc>
              <w:tc>
                <w:tcPr>
                  <w:tcW w:w="3260" w:type="dxa"/>
                  <w:hideMark/>
                </w:tcPr>
                <w:p w14:paraId="0585A922"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WhatsApp Business y respuesta inicial</w:t>
                  </w:r>
                </w:p>
              </w:tc>
              <w:tc>
                <w:tcPr>
                  <w:tcW w:w="1985" w:type="dxa"/>
                  <w:hideMark/>
                </w:tcPr>
                <w:p w14:paraId="73B63120"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Tiempo de respuesta</w:t>
                  </w:r>
                </w:p>
              </w:tc>
            </w:tr>
            <w:tr w:rsidR="00055F3B" w:rsidRPr="00055F3B" w14:paraId="7532450A" w14:textId="77777777" w:rsidTr="000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hideMark/>
                </w:tcPr>
                <w:p w14:paraId="7D330F09"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Diagnóstico</w:t>
                  </w:r>
                </w:p>
              </w:tc>
              <w:tc>
                <w:tcPr>
                  <w:tcW w:w="3260" w:type="dxa"/>
                  <w:hideMark/>
                </w:tcPr>
                <w:p w14:paraId="2AD4D04B"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Pruebas, explicación y cotización</w:t>
                  </w:r>
                </w:p>
              </w:tc>
              <w:tc>
                <w:tcPr>
                  <w:tcW w:w="1985" w:type="dxa"/>
                  <w:hideMark/>
                </w:tcPr>
                <w:p w14:paraId="4147A92F"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Órdenes autorizadas</w:t>
                  </w:r>
                </w:p>
              </w:tc>
            </w:tr>
            <w:tr w:rsidR="00055F3B" w:rsidRPr="00055F3B" w14:paraId="6BCF87A4" w14:textId="77777777" w:rsidTr="00055F3B">
              <w:tc>
                <w:tcPr>
                  <w:cnfStyle w:val="001000000000" w:firstRow="0" w:lastRow="0" w:firstColumn="1" w:lastColumn="0" w:oddVBand="0" w:evenVBand="0" w:oddHBand="0" w:evenHBand="0" w:firstRowFirstColumn="0" w:firstRowLastColumn="0" w:lastRowFirstColumn="0" w:lastRowLastColumn="0"/>
                  <w:tcW w:w="1984" w:type="dxa"/>
                  <w:hideMark/>
                </w:tcPr>
                <w:p w14:paraId="248F9016"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Solución</w:t>
                  </w:r>
                </w:p>
              </w:tc>
              <w:tc>
                <w:tcPr>
                  <w:tcW w:w="3260" w:type="dxa"/>
                  <w:hideMark/>
                </w:tcPr>
                <w:p w14:paraId="329774C9"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Intervención documentada y pruebas</w:t>
                  </w:r>
                </w:p>
              </w:tc>
              <w:tc>
                <w:tcPr>
                  <w:tcW w:w="1985" w:type="dxa"/>
                  <w:hideMark/>
                </w:tcPr>
                <w:p w14:paraId="7767FFDC"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Cumplimiento del plazo</w:t>
                  </w:r>
                </w:p>
              </w:tc>
            </w:tr>
            <w:tr w:rsidR="00055F3B" w:rsidRPr="00055F3B" w14:paraId="5673D1FA" w14:textId="77777777" w:rsidTr="000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hideMark/>
                </w:tcPr>
                <w:p w14:paraId="13938E00"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Postventa</w:t>
                  </w:r>
                </w:p>
              </w:tc>
              <w:tc>
                <w:tcPr>
                  <w:tcW w:w="3260" w:type="dxa"/>
                  <w:hideMark/>
                </w:tcPr>
                <w:p w14:paraId="1EBB4D60"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Garantía, encuesta y seguimiento</w:t>
                  </w:r>
                </w:p>
              </w:tc>
              <w:tc>
                <w:tcPr>
                  <w:tcW w:w="1985" w:type="dxa"/>
                  <w:hideMark/>
                </w:tcPr>
                <w:p w14:paraId="12941845"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CSAT y recompra</w:t>
                  </w:r>
                </w:p>
              </w:tc>
            </w:tr>
          </w:tbl>
          <w:p w14:paraId="344B4587"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p>
          <w:p w14:paraId="46B7207D"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 xml:space="preserve">La promoción combinará tarjetas con código QR, alianzas con comercios, visitas a microempresas, WhatsApp Business, perfil empresarial en Google y redes sociales. El </w:t>
            </w:r>
            <w:proofErr w:type="spellStart"/>
            <w:r w:rsidRPr="00055F3B">
              <w:rPr>
                <w:rFonts w:ascii="Times New Roman" w:eastAsia="Times New Roman" w:hAnsi="Times New Roman" w:cs="Times New Roman"/>
                <w:sz w:val="20"/>
                <w:szCs w:val="20"/>
              </w:rPr>
              <w:t>neomarketing</w:t>
            </w:r>
            <w:proofErr w:type="spellEnd"/>
            <w:r w:rsidRPr="00055F3B">
              <w:rPr>
                <w:rFonts w:ascii="Times New Roman" w:eastAsia="Times New Roman" w:hAnsi="Times New Roman" w:cs="Times New Roman"/>
                <w:sz w:val="20"/>
                <w:szCs w:val="20"/>
              </w:rPr>
              <w:t xml:space="preserve"> se aplicará de manera ética mediante mensajes claros, demostraciones visuales, reducción de la incertidumbre y testimonios autorizados. No se utilizarán urgencia artificial, promesas absolutas ni manipulación de datos personales. El contenido abordará respaldo de información, cuidado de impresoras, seguridad básica, redes y casos reales autorizados.</w:t>
            </w:r>
          </w:p>
          <w:p w14:paraId="7C81907C"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p>
          <w:p w14:paraId="7A662A15" w14:textId="02F91A7B" w:rsidR="00055F3B" w:rsidRPr="00055F3B" w:rsidRDefault="00055F3B" w:rsidP="00055F3B">
            <w:pPr>
              <w:spacing w:after="0" w:line="240" w:lineRule="auto"/>
              <w:jc w:val="left"/>
              <w:rPr>
                <w:rFonts w:ascii="Times New Roman" w:eastAsia="Times New Roman" w:hAnsi="Times New Roman" w:cs="Times New Roman"/>
                <w:b/>
                <w:sz w:val="20"/>
                <w:szCs w:val="20"/>
              </w:rPr>
            </w:pPr>
            <w:r w:rsidRPr="00055F3B">
              <w:rPr>
                <w:rFonts w:ascii="Times New Roman" w:eastAsia="Times New Roman" w:hAnsi="Times New Roman" w:cs="Times New Roman"/>
                <w:b/>
                <w:sz w:val="20"/>
                <w:szCs w:val="20"/>
              </w:rPr>
              <w:tab/>
              <w:t>4. Oferta e inversión inicial</w:t>
            </w:r>
          </w:p>
          <w:p w14:paraId="3C695D31"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El capital de arranque estimado asciende a USD 12.500. La inversión se destinará principalmente a herramientas, equipos, repuestos, demostradores de red y CCTV, adecuación, software, marketing y capital de trabajo. La cifra es académica y debe validarse con proveedores locales.</w:t>
            </w:r>
          </w:p>
          <w:p w14:paraId="7E3EDF6D"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p>
          <w:tbl>
            <w:tblPr>
              <w:tblStyle w:val="Tablanormal1"/>
              <w:tblW w:w="7229" w:type="dxa"/>
              <w:tblLook w:val="04A0" w:firstRow="1" w:lastRow="0" w:firstColumn="1" w:lastColumn="0" w:noHBand="0" w:noVBand="1"/>
            </w:tblPr>
            <w:tblGrid>
              <w:gridCol w:w="2131"/>
              <w:gridCol w:w="1417"/>
              <w:gridCol w:w="3681"/>
            </w:tblGrid>
            <w:tr w:rsidR="00055F3B" w:rsidRPr="00055F3B" w14:paraId="0E5DA067" w14:textId="77777777" w:rsidTr="00055F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1" w:type="dxa"/>
                  <w:hideMark/>
                </w:tcPr>
                <w:p w14:paraId="3128FA7E"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Rubro</w:t>
                  </w:r>
                </w:p>
              </w:tc>
              <w:tc>
                <w:tcPr>
                  <w:tcW w:w="1417" w:type="dxa"/>
                  <w:hideMark/>
                </w:tcPr>
                <w:p w14:paraId="0C1E7783" w14:textId="77777777" w:rsidR="00055F3B" w:rsidRPr="00055F3B" w:rsidRDefault="00055F3B" w:rsidP="00055F3B">
                  <w:pPr>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Monto (USD)</w:t>
                  </w:r>
                </w:p>
              </w:tc>
              <w:tc>
                <w:tcPr>
                  <w:tcW w:w="3681" w:type="dxa"/>
                  <w:hideMark/>
                </w:tcPr>
                <w:p w14:paraId="07DB97DD" w14:textId="77777777" w:rsidR="00055F3B" w:rsidRPr="00055F3B" w:rsidRDefault="00055F3B" w:rsidP="00055F3B">
                  <w:pPr>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Uso previsto</w:t>
                  </w:r>
                </w:p>
              </w:tc>
            </w:tr>
            <w:tr w:rsidR="00055F3B" w:rsidRPr="00055F3B" w14:paraId="0785FF04" w14:textId="77777777" w:rsidTr="000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1" w:type="dxa"/>
                  <w:hideMark/>
                </w:tcPr>
                <w:p w14:paraId="38DF3BDA"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Herramientas y diagnóstico</w:t>
                  </w:r>
                </w:p>
              </w:tc>
              <w:tc>
                <w:tcPr>
                  <w:tcW w:w="1417" w:type="dxa"/>
                  <w:hideMark/>
                </w:tcPr>
                <w:p w14:paraId="6707E905"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$2.400</w:t>
                  </w:r>
                </w:p>
              </w:tc>
              <w:tc>
                <w:tcPr>
                  <w:tcW w:w="3681" w:type="dxa"/>
                  <w:hideMark/>
                </w:tcPr>
                <w:p w14:paraId="358341F4"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Tester de red, multímetro, herramientas ESD y kit técnico.</w:t>
                  </w:r>
                </w:p>
              </w:tc>
            </w:tr>
            <w:tr w:rsidR="00055F3B" w:rsidRPr="00055F3B" w14:paraId="79A3D66B" w14:textId="77777777" w:rsidTr="00055F3B">
              <w:tc>
                <w:tcPr>
                  <w:cnfStyle w:val="001000000000" w:firstRow="0" w:lastRow="0" w:firstColumn="1" w:lastColumn="0" w:oddVBand="0" w:evenVBand="0" w:oddHBand="0" w:evenHBand="0" w:firstRowFirstColumn="0" w:firstRowLastColumn="0" w:lastRowFirstColumn="0" w:lastRowLastColumn="0"/>
                  <w:tcW w:w="2131" w:type="dxa"/>
                  <w:hideMark/>
                </w:tcPr>
                <w:p w14:paraId="3A94F9F8"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Equipo informático</w:t>
                  </w:r>
                </w:p>
              </w:tc>
              <w:tc>
                <w:tcPr>
                  <w:tcW w:w="1417" w:type="dxa"/>
                  <w:hideMark/>
                </w:tcPr>
                <w:p w14:paraId="00467DCF"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$1.500</w:t>
                  </w:r>
                </w:p>
              </w:tc>
              <w:tc>
                <w:tcPr>
                  <w:tcW w:w="3681" w:type="dxa"/>
                  <w:hideMark/>
                </w:tcPr>
                <w:p w14:paraId="2B551217"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Laptop, monitor y almacenamiento externo.</w:t>
                  </w:r>
                </w:p>
              </w:tc>
            </w:tr>
            <w:tr w:rsidR="00055F3B" w:rsidRPr="00055F3B" w14:paraId="64E96272" w14:textId="77777777" w:rsidTr="000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1" w:type="dxa"/>
                  <w:hideMark/>
                </w:tcPr>
                <w:p w14:paraId="1D65BBD6"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Repuestos iniciales</w:t>
                  </w:r>
                </w:p>
              </w:tc>
              <w:tc>
                <w:tcPr>
                  <w:tcW w:w="1417" w:type="dxa"/>
                  <w:hideMark/>
                </w:tcPr>
                <w:p w14:paraId="62E3C90C"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$1.800</w:t>
                  </w:r>
                </w:p>
              </w:tc>
              <w:tc>
                <w:tcPr>
                  <w:tcW w:w="3681" w:type="dxa"/>
                  <w:hideMark/>
                </w:tcPr>
                <w:p w14:paraId="57A4B610"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Memorias, discos, fuentes, cables y consumibles.</w:t>
                  </w:r>
                </w:p>
              </w:tc>
            </w:tr>
            <w:tr w:rsidR="00055F3B" w:rsidRPr="00055F3B" w14:paraId="401DCCA7" w14:textId="77777777" w:rsidTr="00055F3B">
              <w:tc>
                <w:tcPr>
                  <w:cnfStyle w:val="001000000000" w:firstRow="0" w:lastRow="0" w:firstColumn="1" w:lastColumn="0" w:oddVBand="0" w:evenVBand="0" w:oddHBand="0" w:evenHBand="0" w:firstRowFirstColumn="0" w:firstRowLastColumn="0" w:lastRowFirstColumn="0" w:lastRowLastColumn="0"/>
                  <w:tcW w:w="2131" w:type="dxa"/>
                  <w:hideMark/>
                </w:tcPr>
                <w:p w14:paraId="68729910"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Demostradores de red y CCTV</w:t>
                  </w:r>
                </w:p>
              </w:tc>
              <w:tc>
                <w:tcPr>
                  <w:tcW w:w="1417" w:type="dxa"/>
                  <w:hideMark/>
                </w:tcPr>
                <w:p w14:paraId="0F66D900"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$1.700</w:t>
                  </w:r>
                </w:p>
              </w:tc>
              <w:tc>
                <w:tcPr>
                  <w:tcW w:w="3681" w:type="dxa"/>
                  <w:hideMark/>
                </w:tcPr>
                <w:p w14:paraId="779F94D6"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spellStart"/>
                  <w:r w:rsidRPr="00055F3B">
                    <w:rPr>
                      <w:rFonts w:ascii="Times New Roman" w:eastAsia="Times New Roman" w:hAnsi="Times New Roman" w:cs="Times New Roman"/>
                      <w:sz w:val="20"/>
                      <w:szCs w:val="20"/>
                    </w:rPr>
                    <w:t>Router</w:t>
                  </w:r>
                  <w:proofErr w:type="spellEnd"/>
                  <w:r w:rsidRPr="00055F3B">
                    <w:rPr>
                      <w:rFonts w:ascii="Times New Roman" w:eastAsia="Times New Roman" w:hAnsi="Times New Roman" w:cs="Times New Roman"/>
                      <w:sz w:val="20"/>
                      <w:szCs w:val="20"/>
                    </w:rPr>
                    <w:t>, switch, cámaras y accesorios.</w:t>
                  </w:r>
                </w:p>
              </w:tc>
            </w:tr>
            <w:tr w:rsidR="00055F3B" w:rsidRPr="00055F3B" w14:paraId="2E6855B8" w14:textId="77777777" w:rsidTr="000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1" w:type="dxa"/>
                  <w:hideMark/>
                </w:tcPr>
                <w:p w14:paraId="524106B2"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Mobiliario y adecuación</w:t>
                  </w:r>
                </w:p>
              </w:tc>
              <w:tc>
                <w:tcPr>
                  <w:tcW w:w="1417" w:type="dxa"/>
                  <w:hideMark/>
                </w:tcPr>
                <w:p w14:paraId="23AAC750"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$900</w:t>
                  </w:r>
                </w:p>
              </w:tc>
              <w:tc>
                <w:tcPr>
                  <w:tcW w:w="3681" w:type="dxa"/>
                  <w:hideMark/>
                </w:tcPr>
                <w:p w14:paraId="69AD0A12"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Mesa técnica, estantería, iluminación y seguridad.</w:t>
                  </w:r>
                </w:p>
              </w:tc>
            </w:tr>
            <w:tr w:rsidR="00055F3B" w:rsidRPr="00055F3B" w14:paraId="1A8A9F5B" w14:textId="77777777" w:rsidTr="00055F3B">
              <w:tc>
                <w:tcPr>
                  <w:cnfStyle w:val="001000000000" w:firstRow="0" w:lastRow="0" w:firstColumn="1" w:lastColumn="0" w:oddVBand="0" w:evenVBand="0" w:oddHBand="0" w:evenHBand="0" w:firstRowFirstColumn="0" w:firstRowLastColumn="0" w:lastRowFirstColumn="0" w:lastRowLastColumn="0"/>
                  <w:tcW w:w="2131" w:type="dxa"/>
                  <w:hideMark/>
                </w:tcPr>
                <w:p w14:paraId="73AD2D03"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Software y marca</w:t>
                  </w:r>
                </w:p>
              </w:tc>
              <w:tc>
                <w:tcPr>
                  <w:tcW w:w="1417" w:type="dxa"/>
                  <w:hideMark/>
                </w:tcPr>
                <w:p w14:paraId="55A4BCA2"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$650</w:t>
                  </w:r>
                </w:p>
              </w:tc>
              <w:tc>
                <w:tcPr>
                  <w:tcW w:w="3681" w:type="dxa"/>
                  <w:hideMark/>
                </w:tcPr>
                <w:p w14:paraId="2BE56619"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Dominio, gestión, identidad visual y material digital.</w:t>
                  </w:r>
                </w:p>
              </w:tc>
            </w:tr>
            <w:tr w:rsidR="00055F3B" w:rsidRPr="00055F3B" w14:paraId="6ABA9119" w14:textId="77777777" w:rsidTr="000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1" w:type="dxa"/>
                  <w:hideMark/>
                </w:tcPr>
                <w:p w14:paraId="53102A78"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Formalización y contingencia</w:t>
                  </w:r>
                </w:p>
              </w:tc>
              <w:tc>
                <w:tcPr>
                  <w:tcW w:w="1417" w:type="dxa"/>
                  <w:hideMark/>
                </w:tcPr>
                <w:p w14:paraId="2E3A1137"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$550</w:t>
                  </w:r>
                </w:p>
              </w:tc>
              <w:tc>
                <w:tcPr>
                  <w:tcW w:w="3681" w:type="dxa"/>
                  <w:hideMark/>
                </w:tcPr>
                <w:p w14:paraId="04B339BC"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Trámites y eventualidades.</w:t>
                  </w:r>
                </w:p>
              </w:tc>
            </w:tr>
            <w:tr w:rsidR="00055F3B" w:rsidRPr="00055F3B" w14:paraId="1B7A3545" w14:textId="77777777" w:rsidTr="00055F3B">
              <w:tc>
                <w:tcPr>
                  <w:cnfStyle w:val="001000000000" w:firstRow="0" w:lastRow="0" w:firstColumn="1" w:lastColumn="0" w:oddVBand="0" w:evenVBand="0" w:oddHBand="0" w:evenHBand="0" w:firstRowFirstColumn="0" w:firstRowLastColumn="0" w:lastRowFirstColumn="0" w:lastRowLastColumn="0"/>
                  <w:tcW w:w="2131" w:type="dxa"/>
                  <w:hideMark/>
                </w:tcPr>
                <w:p w14:paraId="125D67F1"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Marketing inicial</w:t>
                  </w:r>
                </w:p>
              </w:tc>
              <w:tc>
                <w:tcPr>
                  <w:tcW w:w="1417" w:type="dxa"/>
                  <w:hideMark/>
                </w:tcPr>
                <w:p w14:paraId="246945B2"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$600</w:t>
                  </w:r>
                </w:p>
              </w:tc>
              <w:tc>
                <w:tcPr>
                  <w:tcW w:w="3681" w:type="dxa"/>
                  <w:hideMark/>
                </w:tcPr>
                <w:p w14:paraId="75A37987"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Pauta, impresos y campaña de apertura.</w:t>
                  </w:r>
                </w:p>
              </w:tc>
            </w:tr>
            <w:tr w:rsidR="00055F3B" w:rsidRPr="00055F3B" w14:paraId="0A900943" w14:textId="77777777" w:rsidTr="000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1" w:type="dxa"/>
                  <w:hideMark/>
                </w:tcPr>
                <w:p w14:paraId="3A5A4A0B"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Capital de trabajo</w:t>
                  </w:r>
                </w:p>
              </w:tc>
              <w:tc>
                <w:tcPr>
                  <w:tcW w:w="1417" w:type="dxa"/>
                  <w:hideMark/>
                </w:tcPr>
                <w:p w14:paraId="34D767C1"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$2.400</w:t>
                  </w:r>
                </w:p>
              </w:tc>
              <w:tc>
                <w:tcPr>
                  <w:tcW w:w="3681" w:type="dxa"/>
                  <w:hideMark/>
                </w:tcPr>
                <w:p w14:paraId="46B43632"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Transporte, comunicaciones y liquidez.</w:t>
                  </w:r>
                </w:p>
              </w:tc>
            </w:tr>
            <w:tr w:rsidR="00055F3B" w:rsidRPr="00055F3B" w14:paraId="2BEEC259" w14:textId="77777777" w:rsidTr="00055F3B">
              <w:tc>
                <w:tcPr>
                  <w:cnfStyle w:val="001000000000" w:firstRow="0" w:lastRow="0" w:firstColumn="1" w:lastColumn="0" w:oddVBand="0" w:evenVBand="0" w:oddHBand="0" w:evenHBand="0" w:firstRowFirstColumn="0" w:firstRowLastColumn="0" w:lastRowFirstColumn="0" w:lastRowLastColumn="0"/>
                  <w:tcW w:w="2131" w:type="dxa"/>
                  <w:hideMark/>
                </w:tcPr>
                <w:p w14:paraId="52C014CC"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TOTAL</w:t>
                  </w:r>
                </w:p>
              </w:tc>
              <w:tc>
                <w:tcPr>
                  <w:tcW w:w="1417" w:type="dxa"/>
                  <w:hideMark/>
                </w:tcPr>
                <w:p w14:paraId="2DEABE90"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$12.500</w:t>
                  </w:r>
                </w:p>
              </w:tc>
              <w:tc>
                <w:tcPr>
                  <w:tcW w:w="3681" w:type="dxa"/>
                  <w:hideMark/>
                </w:tcPr>
                <w:p w14:paraId="219D55BC"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Capital de arranque estimado.</w:t>
                  </w:r>
                </w:p>
              </w:tc>
            </w:tr>
          </w:tbl>
          <w:p w14:paraId="561CC60A" w14:textId="75913191" w:rsidR="00055F3B" w:rsidRPr="00055F3B" w:rsidRDefault="00055F3B" w:rsidP="00055F3B">
            <w:pPr>
              <w:spacing w:after="0" w:line="240" w:lineRule="auto"/>
              <w:jc w:val="left"/>
              <w:rPr>
                <w:rFonts w:ascii="Times New Roman" w:eastAsia="Times New Roman" w:hAnsi="Times New Roman" w:cs="Times New Roman"/>
                <w:b/>
                <w:sz w:val="20"/>
                <w:szCs w:val="20"/>
              </w:rPr>
            </w:pPr>
            <w:r w:rsidRPr="00055F3B">
              <w:rPr>
                <w:rFonts w:ascii="Times New Roman" w:eastAsia="Times New Roman" w:hAnsi="Times New Roman" w:cs="Times New Roman"/>
                <w:b/>
                <w:sz w:val="20"/>
                <w:szCs w:val="20"/>
              </w:rPr>
              <w:lastRenderedPageBreak/>
              <w:tab/>
              <w:t>4.1 Proyección financiera</w:t>
            </w:r>
          </w:p>
          <w:tbl>
            <w:tblPr>
              <w:tblStyle w:val="Tablanormal1"/>
              <w:tblW w:w="5958" w:type="dxa"/>
              <w:tblLook w:val="04A0" w:firstRow="1" w:lastRow="0" w:firstColumn="1" w:lastColumn="0" w:noHBand="0" w:noVBand="1"/>
            </w:tblPr>
            <w:tblGrid>
              <w:gridCol w:w="855"/>
              <w:gridCol w:w="992"/>
              <w:gridCol w:w="1134"/>
              <w:gridCol w:w="992"/>
              <w:gridCol w:w="993"/>
              <w:gridCol w:w="992"/>
            </w:tblGrid>
            <w:tr w:rsidR="00055F3B" w:rsidRPr="00055F3B" w14:paraId="0D4FC807" w14:textId="77777777" w:rsidTr="00055F3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hideMark/>
                </w:tcPr>
                <w:p w14:paraId="28E643BA"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Año</w:t>
                  </w:r>
                </w:p>
              </w:tc>
              <w:tc>
                <w:tcPr>
                  <w:tcW w:w="992" w:type="dxa"/>
                  <w:hideMark/>
                </w:tcPr>
                <w:p w14:paraId="24C11090" w14:textId="77777777" w:rsidR="00055F3B" w:rsidRPr="00055F3B" w:rsidRDefault="00055F3B" w:rsidP="00055F3B">
                  <w:pPr>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Ventas</w:t>
                  </w:r>
                </w:p>
              </w:tc>
              <w:tc>
                <w:tcPr>
                  <w:tcW w:w="1134" w:type="dxa"/>
                  <w:hideMark/>
                </w:tcPr>
                <w:p w14:paraId="1DA51D8F" w14:textId="77777777" w:rsidR="00055F3B" w:rsidRPr="00055F3B" w:rsidRDefault="00055F3B" w:rsidP="00055F3B">
                  <w:pPr>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Costos variables</w:t>
                  </w:r>
                </w:p>
              </w:tc>
              <w:tc>
                <w:tcPr>
                  <w:tcW w:w="992" w:type="dxa"/>
                  <w:hideMark/>
                </w:tcPr>
                <w:p w14:paraId="626BC818" w14:textId="77777777" w:rsidR="00055F3B" w:rsidRPr="00055F3B" w:rsidRDefault="00055F3B" w:rsidP="00055F3B">
                  <w:pPr>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Costos fijos</w:t>
                  </w:r>
                </w:p>
              </w:tc>
              <w:tc>
                <w:tcPr>
                  <w:tcW w:w="993" w:type="dxa"/>
                  <w:hideMark/>
                </w:tcPr>
                <w:p w14:paraId="5BE8360E" w14:textId="77777777" w:rsidR="00055F3B" w:rsidRPr="00055F3B" w:rsidRDefault="00055F3B" w:rsidP="00055F3B">
                  <w:pPr>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Utilidad neta</w:t>
                  </w:r>
                </w:p>
              </w:tc>
              <w:tc>
                <w:tcPr>
                  <w:tcW w:w="992" w:type="dxa"/>
                  <w:hideMark/>
                </w:tcPr>
                <w:p w14:paraId="766EA228" w14:textId="77777777" w:rsidR="00055F3B" w:rsidRPr="00055F3B" w:rsidRDefault="00055F3B" w:rsidP="00055F3B">
                  <w:pPr>
                    <w:jc w:val="lef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Margen</w:t>
                  </w:r>
                </w:p>
              </w:tc>
            </w:tr>
            <w:tr w:rsidR="00055F3B" w:rsidRPr="00055F3B" w14:paraId="2CBA36D9" w14:textId="77777777" w:rsidTr="000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hideMark/>
                </w:tcPr>
                <w:p w14:paraId="48B972CF"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2026</w:t>
                  </w:r>
                </w:p>
              </w:tc>
              <w:tc>
                <w:tcPr>
                  <w:tcW w:w="992" w:type="dxa"/>
                  <w:hideMark/>
                </w:tcPr>
                <w:p w14:paraId="0D7646DE"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$36.000</w:t>
                  </w:r>
                </w:p>
              </w:tc>
              <w:tc>
                <w:tcPr>
                  <w:tcW w:w="1134" w:type="dxa"/>
                  <w:hideMark/>
                </w:tcPr>
                <w:p w14:paraId="0D897A0F"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$12.600</w:t>
                  </w:r>
                </w:p>
              </w:tc>
              <w:tc>
                <w:tcPr>
                  <w:tcW w:w="992" w:type="dxa"/>
                  <w:hideMark/>
                </w:tcPr>
                <w:p w14:paraId="6E1C48E5"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$16.800</w:t>
                  </w:r>
                </w:p>
              </w:tc>
              <w:tc>
                <w:tcPr>
                  <w:tcW w:w="993" w:type="dxa"/>
                  <w:hideMark/>
                </w:tcPr>
                <w:p w14:paraId="4E2562EA"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$6.600</w:t>
                  </w:r>
                </w:p>
              </w:tc>
              <w:tc>
                <w:tcPr>
                  <w:tcW w:w="992" w:type="dxa"/>
                  <w:hideMark/>
                </w:tcPr>
                <w:p w14:paraId="0B50903D"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18,3 %</w:t>
                  </w:r>
                </w:p>
              </w:tc>
            </w:tr>
            <w:tr w:rsidR="00055F3B" w:rsidRPr="00055F3B" w14:paraId="695EDA2A" w14:textId="77777777" w:rsidTr="00055F3B">
              <w:tc>
                <w:tcPr>
                  <w:cnfStyle w:val="001000000000" w:firstRow="0" w:lastRow="0" w:firstColumn="1" w:lastColumn="0" w:oddVBand="0" w:evenVBand="0" w:oddHBand="0" w:evenHBand="0" w:firstRowFirstColumn="0" w:firstRowLastColumn="0" w:lastRowFirstColumn="0" w:lastRowLastColumn="0"/>
                  <w:tcW w:w="855" w:type="dxa"/>
                  <w:hideMark/>
                </w:tcPr>
                <w:p w14:paraId="7ED6EFA1"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2027</w:t>
                  </w:r>
                </w:p>
              </w:tc>
              <w:tc>
                <w:tcPr>
                  <w:tcW w:w="992" w:type="dxa"/>
                  <w:hideMark/>
                </w:tcPr>
                <w:p w14:paraId="16B3FAA9"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$45.000</w:t>
                  </w:r>
                </w:p>
              </w:tc>
              <w:tc>
                <w:tcPr>
                  <w:tcW w:w="1134" w:type="dxa"/>
                  <w:hideMark/>
                </w:tcPr>
                <w:p w14:paraId="11A3F2F3"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$15.750</w:t>
                  </w:r>
                </w:p>
              </w:tc>
              <w:tc>
                <w:tcPr>
                  <w:tcW w:w="992" w:type="dxa"/>
                  <w:hideMark/>
                </w:tcPr>
                <w:p w14:paraId="59AC07AD"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$18.000</w:t>
                  </w:r>
                </w:p>
              </w:tc>
              <w:tc>
                <w:tcPr>
                  <w:tcW w:w="993" w:type="dxa"/>
                  <w:hideMark/>
                </w:tcPr>
                <w:p w14:paraId="37AF68EA"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$11.250</w:t>
                  </w:r>
                </w:p>
              </w:tc>
              <w:tc>
                <w:tcPr>
                  <w:tcW w:w="992" w:type="dxa"/>
                  <w:hideMark/>
                </w:tcPr>
                <w:p w14:paraId="5F58B684"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25,0 %</w:t>
                  </w:r>
                </w:p>
              </w:tc>
            </w:tr>
            <w:tr w:rsidR="00055F3B" w:rsidRPr="00055F3B" w14:paraId="60942A5C" w14:textId="77777777" w:rsidTr="000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hideMark/>
                </w:tcPr>
                <w:p w14:paraId="76E472E4"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2028</w:t>
                  </w:r>
                </w:p>
              </w:tc>
              <w:tc>
                <w:tcPr>
                  <w:tcW w:w="992" w:type="dxa"/>
                  <w:hideMark/>
                </w:tcPr>
                <w:p w14:paraId="35189BC6"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$56.250</w:t>
                  </w:r>
                </w:p>
              </w:tc>
              <w:tc>
                <w:tcPr>
                  <w:tcW w:w="1134" w:type="dxa"/>
                  <w:hideMark/>
                </w:tcPr>
                <w:p w14:paraId="0C1CDA04"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$19.688</w:t>
                  </w:r>
                </w:p>
              </w:tc>
              <w:tc>
                <w:tcPr>
                  <w:tcW w:w="992" w:type="dxa"/>
                  <w:hideMark/>
                </w:tcPr>
                <w:p w14:paraId="49E4922F"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$19.800</w:t>
                  </w:r>
                </w:p>
              </w:tc>
              <w:tc>
                <w:tcPr>
                  <w:tcW w:w="993" w:type="dxa"/>
                  <w:hideMark/>
                </w:tcPr>
                <w:p w14:paraId="60C900E5"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$16.763</w:t>
                  </w:r>
                </w:p>
              </w:tc>
              <w:tc>
                <w:tcPr>
                  <w:tcW w:w="992" w:type="dxa"/>
                  <w:hideMark/>
                </w:tcPr>
                <w:p w14:paraId="1A3439A5"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29,8 %</w:t>
                  </w:r>
                </w:p>
              </w:tc>
            </w:tr>
            <w:tr w:rsidR="00055F3B" w:rsidRPr="00055F3B" w14:paraId="704C3F6F" w14:textId="77777777" w:rsidTr="00055F3B">
              <w:tc>
                <w:tcPr>
                  <w:cnfStyle w:val="001000000000" w:firstRow="0" w:lastRow="0" w:firstColumn="1" w:lastColumn="0" w:oddVBand="0" w:evenVBand="0" w:oddHBand="0" w:evenHBand="0" w:firstRowFirstColumn="0" w:firstRowLastColumn="0" w:lastRowFirstColumn="0" w:lastRowLastColumn="0"/>
                  <w:tcW w:w="855" w:type="dxa"/>
                  <w:hideMark/>
                </w:tcPr>
                <w:p w14:paraId="2F29E6D6"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2029</w:t>
                  </w:r>
                </w:p>
              </w:tc>
              <w:tc>
                <w:tcPr>
                  <w:tcW w:w="992" w:type="dxa"/>
                  <w:hideMark/>
                </w:tcPr>
                <w:p w14:paraId="75896A4B"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$67.500</w:t>
                  </w:r>
                </w:p>
              </w:tc>
              <w:tc>
                <w:tcPr>
                  <w:tcW w:w="1134" w:type="dxa"/>
                  <w:hideMark/>
                </w:tcPr>
                <w:p w14:paraId="33BFB52F"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$23.625</w:t>
                  </w:r>
                </w:p>
              </w:tc>
              <w:tc>
                <w:tcPr>
                  <w:tcW w:w="992" w:type="dxa"/>
                  <w:hideMark/>
                </w:tcPr>
                <w:p w14:paraId="5C96A251"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$21.800</w:t>
                  </w:r>
                </w:p>
              </w:tc>
              <w:tc>
                <w:tcPr>
                  <w:tcW w:w="993" w:type="dxa"/>
                  <w:hideMark/>
                </w:tcPr>
                <w:p w14:paraId="19DDD9E4"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$22.075</w:t>
                  </w:r>
                </w:p>
              </w:tc>
              <w:tc>
                <w:tcPr>
                  <w:tcW w:w="992" w:type="dxa"/>
                  <w:hideMark/>
                </w:tcPr>
                <w:p w14:paraId="6EFCB8D9" w14:textId="77777777" w:rsidR="00055F3B" w:rsidRPr="00055F3B" w:rsidRDefault="00055F3B" w:rsidP="00055F3B">
                  <w:pPr>
                    <w:jc w:val="lef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32,7 %</w:t>
                  </w:r>
                </w:p>
              </w:tc>
            </w:tr>
            <w:tr w:rsidR="00055F3B" w:rsidRPr="00055F3B" w14:paraId="0DA0086E" w14:textId="77777777" w:rsidTr="00055F3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55" w:type="dxa"/>
                  <w:hideMark/>
                </w:tcPr>
                <w:p w14:paraId="382A8707"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2030</w:t>
                  </w:r>
                </w:p>
              </w:tc>
              <w:tc>
                <w:tcPr>
                  <w:tcW w:w="992" w:type="dxa"/>
                  <w:hideMark/>
                </w:tcPr>
                <w:p w14:paraId="528ADB34"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$81.000</w:t>
                  </w:r>
                </w:p>
              </w:tc>
              <w:tc>
                <w:tcPr>
                  <w:tcW w:w="1134" w:type="dxa"/>
                  <w:hideMark/>
                </w:tcPr>
                <w:p w14:paraId="3408348E"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$28.350</w:t>
                  </w:r>
                </w:p>
              </w:tc>
              <w:tc>
                <w:tcPr>
                  <w:tcW w:w="992" w:type="dxa"/>
                  <w:hideMark/>
                </w:tcPr>
                <w:p w14:paraId="39D4FD2F"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$24.000</w:t>
                  </w:r>
                </w:p>
              </w:tc>
              <w:tc>
                <w:tcPr>
                  <w:tcW w:w="993" w:type="dxa"/>
                  <w:hideMark/>
                </w:tcPr>
                <w:p w14:paraId="3B01C67F"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$28.650</w:t>
                  </w:r>
                </w:p>
              </w:tc>
              <w:tc>
                <w:tcPr>
                  <w:tcW w:w="992" w:type="dxa"/>
                  <w:hideMark/>
                </w:tcPr>
                <w:p w14:paraId="4E28C87B" w14:textId="77777777" w:rsidR="00055F3B" w:rsidRPr="00055F3B" w:rsidRDefault="00055F3B" w:rsidP="00055F3B">
                  <w:pPr>
                    <w:jc w:val="lef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35,4 %</w:t>
                  </w:r>
                </w:p>
              </w:tc>
            </w:tr>
          </w:tbl>
          <w:p w14:paraId="4F700D19"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p>
          <w:p w14:paraId="18B34736" w14:textId="693FC3A0" w:rsidR="00055F3B" w:rsidRPr="00055F3B" w:rsidRDefault="00055F3B" w:rsidP="00843C89">
            <w:pPr>
              <w:spacing w:after="0" w:line="240" w:lineRule="auto"/>
              <w:jc w:val="center"/>
              <w:rPr>
                <w:rFonts w:ascii="Times New Roman" w:eastAsia="Times New Roman" w:hAnsi="Times New Roman" w:cs="Times New Roman"/>
                <w:sz w:val="20"/>
                <w:szCs w:val="20"/>
              </w:rPr>
            </w:pPr>
            <w:r w:rsidRPr="00055F3B">
              <w:rPr>
                <w:rFonts w:ascii="Times New Roman" w:eastAsia="Times New Roman" w:hAnsi="Times New Roman" w:cs="Times New Roman"/>
                <w:noProof/>
                <w:sz w:val="20"/>
                <w:szCs w:val="20"/>
              </w:rPr>
              <w:drawing>
                <wp:inline distT="0" distB="0" distL="0" distR="0" wp14:anchorId="0B81970C" wp14:editId="21E1A7C6">
                  <wp:extent cx="4178595" cy="2085513"/>
                  <wp:effectExtent l="0" t="0" r="0" b="0"/>
                  <wp:docPr id="10541801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209672" cy="2101023"/>
                          </a:xfrm>
                          <a:prstGeom prst="rect">
                            <a:avLst/>
                          </a:prstGeom>
                          <a:noFill/>
                          <a:ln>
                            <a:noFill/>
                          </a:ln>
                        </pic:spPr>
                      </pic:pic>
                    </a:graphicData>
                  </a:graphic>
                </wp:inline>
              </w:drawing>
            </w:r>
          </w:p>
          <w:p w14:paraId="30BF8EE7" w14:textId="77777777" w:rsidR="00055F3B" w:rsidRPr="00055F3B" w:rsidRDefault="00055F3B" w:rsidP="00055F3B">
            <w:pPr>
              <w:spacing w:after="0" w:line="240" w:lineRule="auto"/>
              <w:jc w:val="left"/>
              <w:rPr>
                <w:rFonts w:ascii="Times New Roman" w:eastAsia="Times New Roman" w:hAnsi="Times New Roman" w:cs="Times New Roman"/>
                <w:i/>
                <w:sz w:val="20"/>
                <w:szCs w:val="20"/>
              </w:rPr>
            </w:pPr>
            <w:r w:rsidRPr="00055F3B">
              <w:rPr>
                <w:rFonts w:ascii="Times New Roman" w:eastAsia="Times New Roman" w:hAnsi="Times New Roman" w:cs="Times New Roman"/>
                <w:i/>
                <w:sz w:val="20"/>
                <w:szCs w:val="20"/>
              </w:rPr>
              <w:t xml:space="preserve">Figura 1. Proyección académica de ventas y utilidad neta de </w:t>
            </w:r>
            <w:proofErr w:type="spellStart"/>
            <w:r w:rsidRPr="00055F3B">
              <w:rPr>
                <w:rFonts w:ascii="Times New Roman" w:eastAsia="Times New Roman" w:hAnsi="Times New Roman" w:cs="Times New Roman"/>
                <w:i/>
                <w:sz w:val="20"/>
                <w:szCs w:val="20"/>
              </w:rPr>
              <w:t>MinSupport</w:t>
            </w:r>
            <w:proofErr w:type="spellEnd"/>
            <w:r w:rsidRPr="00055F3B">
              <w:rPr>
                <w:rFonts w:ascii="Times New Roman" w:eastAsia="Times New Roman" w:hAnsi="Times New Roman" w:cs="Times New Roman"/>
                <w:i/>
                <w:sz w:val="20"/>
                <w:szCs w:val="20"/>
              </w:rPr>
              <w:t>, 2026–2030. Fuente: elaboración propia.</w:t>
            </w:r>
          </w:p>
          <w:p w14:paraId="069F11CF"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p>
          <w:p w14:paraId="3FD9F4CE" w14:textId="77777777" w:rsidR="00055F3B" w:rsidRDefault="00055F3B" w:rsidP="00055F3B">
            <w:pPr>
              <w:spacing w:after="0" w:line="240" w:lineRule="auto"/>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Con base en la proyección, la utilidad neta acumulada estimada para 2026–2030 es de USD 85.338. El retorno simple del capital inicial, calculado como utilidad neta del primer año dividida para la inversión inicial, sería de 52,8 % en 2026. Este indicador no equivale a una garantía de recuperación, pues depende de ventas reales, impuestos, reinversión, morosidad y costos no previstos.</w:t>
            </w:r>
          </w:p>
          <w:p w14:paraId="37BBCF66"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p>
          <w:p w14:paraId="27916837" w14:textId="57A1500D" w:rsidR="00055F3B" w:rsidRPr="00055F3B" w:rsidRDefault="00055F3B" w:rsidP="00055F3B">
            <w:pPr>
              <w:spacing w:after="0" w:line="240" w:lineRule="auto"/>
              <w:jc w:val="left"/>
              <w:rPr>
                <w:rFonts w:ascii="Times New Roman" w:eastAsia="Times New Roman" w:hAnsi="Times New Roman" w:cs="Times New Roman"/>
                <w:b/>
                <w:sz w:val="20"/>
                <w:szCs w:val="20"/>
              </w:rPr>
            </w:pPr>
            <w:r>
              <w:rPr>
                <w:rFonts w:ascii="Times New Roman" w:eastAsia="Times New Roman" w:hAnsi="Times New Roman" w:cs="Times New Roman"/>
                <w:b/>
                <w:sz w:val="20"/>
                <w:szCs w:val="20"/>
              </w:rPr>
              <w:tab/>
            </w:r>
            <w:r w:rsidRPr="00055F3B">
              <w:rPr>
                <w:rFonts w:ascii="Times New Roman" w:eastAsia="Times New Roman" w:hAnsi="Times New Roman" w:cs="Times New Roman"/>
                <w:b/>
                <w:sz w:val="20"/>
                <w:szCs w:val="20"/>
              </w:rPr>
              <w:t>5. Cultura de innovación, inteligencia artificial y mejora continua</w:t>
            </w:r>
          </w:p>
          <w:p w14:paraId="1057D69B" w14:textId="77777777" w:rsidR="00055F3B" w:rsidRDefault="00055F3B" w:rsidP="00055F3B">
            <w:pPr>
              <w:spacing w:after="0" w:line="240" w:lineRule="auto"/>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 xml:space="preserve">La innovación de </w:t>
            </w:r>
            <w:proofErr w:type="spellStart"/>
            <w:r w:rsidRPr="00055F3B">
              <w:rPr>
                <w:rFonts w:ascii="Times New Roman" w:eastAsia="Times New Roman" w:hAnsi="Times New Roman" w:cs="Times New Roman"/>
                <w:sz w:val="20"/>
                <w:szCs w:val="20"/>
              </w:rPr>
              <w:t>MinSupport</w:t>
            </w:r>
            <w:proofErr w:type="spellEnd"/>
            <w:r w:rsidRPr="00055F3B">
              <w:rPr>
                <w:rFonts w:ascii="Times New Roman" w:eastAsia="Times New Roman" w:hAnsi="Times New Roman" w:cs="Times New Roman"/>
                <w:sz w:val="20"/>
                <w:szCs w:val="20"/>
              </w:rPr>
              <w:t xml:space="preserve"> será práctica, participativa y medible. Innovar no significa adquirir tecnología por moda, sino identificar una necesidad, probar una solución a pequeña escala, medir el efecto y decidir si se adopta, ajusta o descarta. Se establecerá un ciclo trimestral con participación del personal técnico y de atención.</w:t>
            </w:r>
          </w:p>
          <w:p w14:paraId="7BD04E77" w14:textId="77777777" w:rsidR="00055F3B" w:rsidRDefault="00055F3B" w:rsidP="00055F3B">
            <w:pPr>
              <w:spacing w:after="0" w:line="240" w:lineRule="auto"/>
              <w:jc w:val="left"/>
              <w:rPr>
                <w:rFonts w:ascii="Times New Roman" w:eastAsia="Times New Roman" w:hAnsi="Times New Roman" w:cs="Times New Roman"/>
                <w:sz w:val="20"/>
                <w:szCs w:val="20"/>
              </w:rPr>
            </w:pPr>
          </w:p>
          <w:tbl>
            <w:tblPr>
              <w:tblStyle w:val="Tablaconcuadrculaclara"/>
              <w:tblW w:w="7259" w:type="dxa"/>
              <w:tblLook w:val="04A0" w:firstRow="1" w:lastRow="0" w:firstColumn="1" w:lastColumn="0" w:noHBand="0" w:noVBand="1"/>
            </w:tblPr>
            <w:tblGrid>
              <w:gridCol w:w="1731"/>
              <w:gridCol w:w="2340"/>
              <w:gridCol w:w="1771"/>
              <w:gridCol w:w="1417"/>
            </w:tblGrid>
            <w:tr w:rsidR="00055F3B" w:rsidRPr="00055F3B" w14:paraId="30AE3CEE" w14:textId="77777777" w:rsidTr="00055F3B">
              <w:tc>
                <w:tcPr>
                  <w:tcW w:w="1731" w:type="dxa"/>
                  <w:hideMark/>
                </w:tcPr>
                <w:p w14:paraId="14D0BCDF"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b/>
                      <w:sz w:val="20"/>
                      <w:szCs w:val="20"/>
                    </w:rPr>
                    <w:t>Línea de acción</w:t>
                  </w:r>
                </w:p>
              </w:tc>
              <w:tc>
                <w:tcPr>
                  <w:tcW w:w="2340" w:type="dxa"/>
                  <w:hideMark/>
                </w:tcPr>
                <w:p w14:paraId="26EA7235"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b/>
                      <w:sz w:val="20"/>
                      <w:szCs w:val="20"/>
                    </w:rPr>
                    <w:t>Actividad concreta</w:t>
                  </w:r>
                </w:p>
              </w:tc>
              <w:tc>
                <w:tcPr>
                  <w:tcW w:w="1771" w:type="dxa"/>
                  <w:hideMark/>
                </w:tcPr>
                <w:p w14:paraId="0B2C21C4"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b/>
                      <w:sz w:val="20"/>
                      <w:szCs w:val="20"/>
                    </w:rPr>
                    <w:t>Indicador</w:t>
                  </w:r>
                </w:p>
              </w:tc>
              <w:tc>
                <w:tcPr>
                  <w:tcW w:w="1417" w:type="dxa"/>
                  <w:hideMark/>
                </w:tcPr>
                <w:p w14:paraId="37180CC2"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b/>
                      <w:sz w:val="20"/>
                      <w:szCs w:val="20"/>
                    </w:rPr>
                    <w:t>Periodicidad</w:t>
                  </w:r>
                </w:p>
              </w:tc>
            </w:tr>
            <w:tr w:rsidR="00055F3B" w:rsidRPr="00055F3B" w14:paraId="2726AA37" w14:textId="77777777" w:rsidTr="00055F3B">
              <w:tc>
                <w:tcPr>
                  <w:tcW w:w="1731" w:type="dxa"/>
                  <w:hideMark/>
                </w:tcPr>
                <w:p w14:paraId="276430C2"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Vigilancia tecnológica</w:t>
                  </w:r>
                </w:p>
              </w:tc>
              <w:tc>
                <w:tcPr>
                  <w:tcW w:w="2340" w:type="dxa"/>
                  <w:hideMark/>
                </w:tcPr>
                <w:p w14:paraId="49AF4217"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Revisar tendencias de IA, redes, CCTV, nube y soporte.</w:t>
                  </w:r>
                </w:p>
              </w:tc>
              <w:tc>
                <w:tcPr>
                  <w:tcW w:w="1771" w:type="dxa"/>
                  <w:hideMark/>
                </w:tcPr>
                <w:p w14:paraId="63874E5C"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Boletín de cinco tendencias</w:t>
                  </w:r>
                </w:p>
              </w:tc>
              <w:tc>
                <w:tcPr>
                  <w:tcW w:w="1417" w:type="dxa"/>
                  <w:hideMark/>
                </w:tcPr>
                <w:p w14:paraId="58D60FBD"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Mensual</w:t>
                  </w:r>
                </w:p>
              </w:tc>
            </w:tr>
            <w:tr w:rsidR="00055F3B" w:rsidRPr="00055F3B" w14:paraId="535EFE20" w14:textId="77777777" w:rsidTr="00055F3B">
              <w:tc>
                <w:tcPr>
                  <w:tcW w:w="1731" w:type="dxa"/>
                  <w:hideMark/>
                </w:tcPr>
                <w:p w14:paraId="115CD0AE"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Laboratorio interno</w:t>
                  </w:r>
                </w:p>
              </w:tc>
              <w:tc>
                <w:tcPr>
                  <w:tcW w:w="2340" w:type="dxa"/>
                  <w:hideMark/>
                </w:tcPr>
                <w:p w14:paraId="30BE6EBD"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Probar herramientas en ambiente controlado.</w:t>
                  </w:r>
                </w:p>
              </w:tc>
              <w:tc>
                <w:tcPr>
                  <w:tcW w:w="1771" w:type="dxa"/>
                  <w:hideMark/>
                </w:tcPr>
                <w:p w14:paraId="14AB2619"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Pruebas documentadas</w:t>
                  </w:r>
                </w:p>
              </w:tc>
              <w:tc>
                <w:tcPr>
                  <w:tcW w:w="1417" w:type="dxa"/>
                  <w:hideMark/>
                </w:tcPr>
                <w:p w14:paraId="04E153F8"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Trimestral</w:t>
                  </w:r>
                </w:p>
              </w:tc>
            </w:tr>
            <w:tr w:rsidR="00055F3B" w:rsidRPr="00055F3B" w14:paraId="1CD6581C" w14:textId="77777777" w:rsidTr="00055F3B">
              <w:tc>
                <w:tcPr>
                  <w:tcW w:w="1731" w:type="dxa"/>
                  <w:hideMark/>
                </w:tcPr>
                <w:p w14:paraId="7E47F1D4"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IA responsable</w:t>
                  </w:r>
                </w:p>
              </w:tc>
              <w:tc>
                <w:tcPr>
                  <w:tcW w:w="2340" w:type="dxa"/>
                  <w:hideMark/>
                </w:tcPr>
                <w:p w14:paraId="29155AE9"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 xml:space="preserve">Clasificar </w:t>
                  </w:r>
                  <w:proofErr w:type="gramStart"/>
                  <w:r w:rsidRPr="00055F3B">
                    <w:rPr>
                      <w:rFonts w:ascii="Times New Roman" w:eastAsia="Times New Roman" w:hAnsi="Times New Roman" w:cs="Times New Roman"/>
                      <w:sz w:val="20"/>
                      <w:szCs w:val="20"/>
                    </w:rPr>
                    <w:t>tickets</w:t>
                  </w:r>
                  <w:proofErr w:type="gramEnd"/>
                  <w:r w:rsidRPr="00055F3B">
                    <w:rPr>
                      <w:rFonts w:ascii="Times New Roman" w:eastAsia="Times New Roman" w:hAnsi="Times New Roman" w:cs="Times New Roman"/>
                      <w:sz w:val="20"/>
                      <w:szCs w:val="20"/>
                    </w:rPr>
                    <w:t xml:space="preserve"> y redactar borradores con revisión humana.</w:t>
                  </w:r>
                </w:p>
              </w:tc>
              <w:tc>
                <w:tcPr>
                  <w:tcW w:w="1771" w:type="dxa"/>
                  <w:hideMark/>
                </w:tcPr>
                <w:p w14:paraId="334D7117"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Tiempo ahorrado y errores</w:t>
                  </w:r>
                </w:p>
              </w:tc>
              <w:tc>
                <w:tcPr>
                  <w:tcW w:w="1417" w:type="dxa"/>
                  <w:hideMark/>
                </w:tcPr>
                <w:p w14:paraId="3CF84E08"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Mensual</w:t>
                  </w:r>
                </w:p>
              </w:tc>
            </w:tr>
            <w:tr w:rsidR="00055F3B" w:rsidRPr="00055F3B" w14:paraId="747846DA" w14:textId="77777777" w:rsidTr="00055F3B">
              <w:tc>
                <w:tcPr>
                  <w:tcW w:w="1731" w:type="dxa"/>
                  <w:hideMark/>
                </w:tcPr>
                <w:p w14:paraId="65FEDD6C"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lastRenderedPageBreak/>
                    <w:t>Comercio electrónico</w:t>
                  </w:r>
                </w:p>
              </w:tc>
              <w:tc>
                <w:tcPr>
                  <w:tcW w:w="2340" w:type="dxa"/>
                  <w:hideMark/>
                </w:tcPr>
                <w:p w14:paraId="7D815B5C"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Catálogo digital, agenda y solicitud en línea.</w:t>
                  </w:r>
                </w:p>
              </w:tc>
              <w:tc>
                <w:tcPr>
                  <w:tcW w:w="1771" w:type="dxa"/>
                  <w:hideMark/>
                </w:tcPr>
                <w:p w14:paraId="669AE489"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Solicitudes digitales</w:t>
                  </w:r>
                </w:p>
              </w:tc>
              <w:tc>
                <w:tcPr>
                  <w:tcW w:w="1417" w:type="dxa"/>
                  <w:hideMark/>
                </w:tcPr>
                <w:p w14:paraId="5F3E4F62"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Mensual</w:t>
                  </w:r>
                </w:p>
              </w:tc>
            </w:tr>
            <w:tr w:rsidR="00055F3B" w:rsidRPr="00055F3B" w14:paraId="15AF89E5" w14:textId="77777777" w:rsidTr="00055F3B">
              <w:tc>
                <w:tcPr>
                  <w:tcW w:w="1731" w:type="dxa"/>
                  <w:hideMark/>
                </w:tcPr>
                <w:p w14:paraId="45431ABF"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Marketing digital</w:t>
                  </w:r>
                </w:p>
              </w:tc>
              <w:tc>
                <w:tcPr>
                  <w:tcW w:w="2340" w:type="dxa"/>
                  <w:hideMark/>
                </w:tcPr>
                <w:p w14:paraId="3A65ED79"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Contenido educativo y campañas geolocalizadas.</w:t>
                  </w:r>
                </w:p>
              </w:tc>
              <w:tc>
                <w:tcPr>
                  <w:tcW w:w="1771" w:type="dxa"/>
                  <w:hideMark/>
                </w:tcPr>
                <w:p w14:paraId="73541DDC"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Alcance, leads y conversión</w:t>
                  </w:r>
                </w:p>
              </w:tc>
              <w:tc>
                <w:tcPr>
                  <w:tcW w:w="1417" w:type="dxa"/>
                  <w:hideMark/>
                </w:tcPr>
                <w:p w14:paraId="7D0A7821"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Mensual</w:t>
                  </w:r>
                </w:p>
              </w:tc>
            </w:tr>
            <w:tr w:rsidR="00055F3B" w:rsidRPr="00055F3B" w14:paraId="1DB0AC1D" w14:textId="77777777" w:rsidTr="00055F3B">
              <w:tc>
                <w:tcPr>
                  <w:tcW w:w="1731" w:type="dxa"/>
                  <w:hideMark/>
                </w:tcPr>
                <w:p w14:paraId="0A49CC12"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Retroalimentación</w:t>
                  </w:r>
                </w:p>
              </w:tc>
              <w:tc>
                <w:tcPr>
                  <w:tcW w:w="2340" w:type="dxa"/>
                  <w:hideMark/>
                </w:tcPr>
                <w:p w14:paraId="4C2672A7"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Analizar reclamos, fallas repetidas y encuestas.</w:t>
                  </w:r>
                </w:p>
              </w:tc>
              <w:tc>
                <w:tcPr>
                  <w:tcW w:w="1771" w:type="dxa"/>
                  <w:hideMark/>
                </w:tcPr>
                <w:p w14:paraId="7A095FA2"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Acciones cerradas</w:t>
                  </w:r>
                </w:p>
              </w:tc>
              <w:tc>
                <w:tcPr>
                  <w:tcW w:w="1417" w:type="dxa"/>
                  <w:hideMark/>
                </w:tcPr>
                <w:p w14:paraId="54A6CA6D"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Mensual</w:t>
                  </w:r>
                </w:p>
              </w:tc>
            </w:tr>
            <w:tr w:rsidR="00055F3B" w:rsidRPr="00055F3B" w14:paraId="7CF5E462" w14:textId="77777777" w:rsidTr="00055F3B">
              <w:tc>
                <w:tcPr>
                  <w:tcW w:w="1731" w:type="dxa"/>
                  <w:hideMark/>
                </w:tcPr>
                <w:p w14:paraId="1DC79952"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Estandarización</w:t>
                  </w:r>
                </w:p>
              </w:tc>
              <w:tc>
                <w:tcPr>
                  <w:tcW w:w="2340" w:type="dxa"/>
                  <w:hideMark/>
                </w:tcPr>
                <w:p w14:paraId="0D51AEE4"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Actualizar procedimientos y listas de chequeo.</w:t>
                  </w:r>
                </w:p>
              </w:tc>
              <w:tc>
                <w:tcPr>
                  <w:tcW w:w="1771" w:type="dxa"/>
                  <w:hideMark/>
                </w:tcPr>
                <w:p w14:paraId="11AF1AFA"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Procedimientos revisados</w:t>
                  </w:r>
                </w:p>
              </w:tc>
              <w:tc>
                <w:tcPr>
                  <w:tcW w:w="1417" w:type="dxa"/>
                  <w:hideMark/>
                </w:tcPr>
                <w:p w14:paraId="05AA9A80"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Trimestral</w:t>
                  </w:r>
                </w:p>
              </w:tc>
            </w:tr>
          </w:tbl>
          <w:p w14:paraId="0047732D"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p>
          <w:p w14:paraId="501A244B" w14:textId="77777777" w:rsidR="00055F3B" w:rsidRDefault="00055F3B" w:rsidP="00055F3B">
            <w:pPr>
              <w:spacing w:after="0" w:line="240" w:lineRule="auto"/>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La inteligencia artificial se utilizará únicamente en tareas de bajo riesgo: clasificación inicial de solicitudes, borradores de respuesta, contenido educativo, síntesis de encuestas y listas de verificación. No se cargarán contraseñas, imágenes privadas de cámaras, documentos personales ni información confidencial en herramientas no autorizadas. Toda salida generada por IA será revisada por una persona competente. Los controles serán: definir el propósito, minimizar datos, revisar resultados y registrar incidentes o correcciones (NIST, 2023).</w:t>
            </w:r>
          </w:p>
          <w:p w14:paraId="398D5CDC"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p>
          <w:p w14:paraId="15EF2BC4" w14:textId="7F303E0F" w:rsidR="00055F3B" w:rsidRPr="00055F3B" w:rsidRDefault="00055F3B" w:rsidP="00055F3B">
            <w:pPr>
              <w:spacing w:after="0" w:line="240" w:lineRule="auto"/>
              <w:jc w:val="left"/>
              <w:rPr>
                <w:rFonts w:ascii="Times New Roman" w:eastAsia="Times New Roman" w:hAnsi="Times New Roman" w:cs="Times New Roman"/>
                <w:b/>
                <w:sz w:val="20"/>
                <w:szCs w:val="20"/>
              </w:rPr>
            </w:pPr>
            <w:r>
              <w:rPr>
                <w:rFonts w:ascii="Times New Roman" w:eastAsia="Times New Roman" w:hAnsi="Times New Roman" w:cs="Times New Roman"/>
                <w:b/>
                <w:sz w:val="20"/>
                <w:szCs w:val="20"/>
              </w:rPr>
              <w:tab/>
            </w:r>
            <w:r w:rsidRPr="00055F3B">
              <w:rPr>
                <w:rFonts w:ascii="Times New Roman" w:eastAsia="Times New Roman" w:hAnsi="Times New Roman" w:cs="Times New Roman"/>
                <w:b/>
                <w:sz w:val="20"/>
                <w:szCs w:val="20"/>
              </w:rPr>
              <w:t>6. Financiación y estrategias de salida</w:t>
            </w:r>
          </w:p>
          <w:p w14:paraId="136EA9E4" w14:textId="77777777" w:rsidR="00055F3B" w:rsidRDefault="00055F3B" w:rsidP="00055F3B">
            <w:pPr>
              <w:spacing w:after="0" w:line="240" w:lineRule="auto"/>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La financiación inicial propuesta es mixta: 80 % aportado por el fundador y 20 % por un inversionista externo o familiar. El acuerdo deberá constar por escrito, definir porcentajes, obligaciones, reportes, derechos de información, distribución de utilidades y mecanismos de retiro. No se recomienda aceptar deuda costosa o comprometer participaciones sin presupuesto, contrato y validación de ventas.</w:t>
            </w:r>
          </w:p>
          <w:p w14:paraId="6CE4A9B0"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p>
          <w:tbl>
            <w:tblPr>
              <w:tblStyle w:val="Tablaconcuadrculaclara"/>
              <w:tblW w:w="7443" w:type="dxa"/>
              <w:tblLook w:val="04A0" w:firstRow="1" w:lastRow="0" w:firstColumn="1" w:lastColumn="0" w:noHBand="0" w:noVBand="1"/>
            </w:tblPr>
            <w:tblGrid>
              <w:gridCol w:w="1564"/>
              <w:gridCol w:w="1417"/>
              <w:gridCol w:w="2122"/>
              <w:gridCol w:w="2340"/>
            </w:tblGrid>
            <w:tr w:rsidR="00055F3B" w:rsidRPr="00055F3B" w14:paraId="2E0B0CE6" w14:textId="77777777" w:rsidTr="00055F3B">
              <w:tc>
                <w:tcPr>
                  <w:tcW w:w="1564" w:type="dxa"/>
                  <w:hideMark/>
                </w:tcPr>
                <w:p w14:paraId="17783F56"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b/>
                      <w:sz w:val="20"/>
                      <w:szCs w:val="20"/>
                    </w:rPr>
                    <w:t>Fuente</w:t>
                  </w:r>
                </w:p>
              </w:tc>
              <w:tc>
                <w:tcPr>
                  <w:tcW w:w="1417" w:type="dxa"/>
                  <w:hideMark/>
                </w:tcPr>
                <w:p w14:paraId="7B227FDC"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b/>
                      <w:sz w:val="20"/>
                      <w:szCs w:val="20"/>
                    </w:rPr>
                    <w:t>Monto</w:t>
                  </w:r>
                </w:p>
              </w:tc>
              <w:tc>
                <w:tcPr>
                  <w:tcW w:w="2122" w:type="dxa"/>
                  <w:hideMark/>
                </w:tcPr>
                <w:p w14:paraId="75900EE8"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b/>
                      <w:sz w:val="20"/>
                      <w:szCs w:val="20"/>
                    </w:rPr>
                    <w:t>Condición propuesta</w:t>
                  </w:r>
                </w:p>
              </w:tc>
              <w:tc>
                <w:tcPr>
                  <w:tcW w:w="2340" w:type="dxa"/>
                  <w:hideMark/>
                </w:tcPr>
                <w:p w14:paraId="3298E161"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b/>
                      <w:sz w:val="20"/>
                      <w:szCs w:val="20"/>
                    </w:rPr>
                    <w:t>Destino</w:t>
                  </w:r>
                </w:p>
              </w:tc>
            </w:tr>
            <w:tr w:rsidR="00055F3B" w:rsidRPr="00055F3B" w14:paraId="12D2D95E" w14:textId="77777777" w:rsidTr="00055F3B">
              <w:tc>
                <w:tcPr>
                  <w:tcW w:w="1564" w:type="dxa"/>
                  <w:hideMark/>
                </w:tcPr>
                <w:p w14:paraId="78FA920B"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Aporte fundador</w:t>
                  </w:r>
                </w:p>
              </w:tc>
              <w:tc>
                <w:tcPr>
                  <w:tcW w:w="1417" w:type="dxa"/>
                  <w:hideMark/>
                </w:tcPr>
                <w:p w14:paraId="3FC19C91"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$10.000</w:t>
                  </w:r>
                </w:p>
              </w:tc>
              <w:tc>
                <w:tcPr>
                  <w:tcW w:w="2122" w:type="dxa"/>
                  <w:hideMark/>
                </w:tcPr>
                <w:p w14:paraId="01A04829"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Capital propio y reinversión inicial.</w:t>
                  </w:r>
                </w:p>
              </w:tc>
              <w:tc>
                <w:tcPr>
                  <w:tcW w:w="2340" w:type="dxa"/>
                  <w:hideMark/>
                </w:tcPr>
                <w:p w14:paraId="7CFD0C6E"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Herramientas, stock y capital de trabajo.</w:t>
                  </w:r>
                </w:p>
              </w:tc>
            </w:tr>
            <w:tr w:rsidR="00055F3B" w:rsidRPr="00055F3B" w14:paraId="419F8096" w14:textId="77777777" w:rsidTr="00055F3B">
              <w:tc>
                <w:tcPr>
                  <w:tcW w:w="1564" w:type="dxa"/>
                  <w:hideMark/>
                </w:tcPr>
                <w:p w14:paraId="3DE99E7A"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Inversionista externo</w:t>
                  </w:r>
                </w:p>
              </w:tc>
              <w:tc>
                <w:tcPr>
                  <w:tcW w:w="1417" w:type="dxa"/>
                  <w:hideMark/>
                </w:tcPr>
                <w:p w14:paraId="4671720E"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$2.500</w:t>
                  </w:r>
                </w:p>
              </w:tc>
              <w:tc>
                <w:tcPr>
                  <w:tcW w:w="2122" w:type="dxa"/>
                  <w:hideMark/>
                </w:tcPr>
                <w:p w14:paraId="093164B9"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Acuerdo escrito, reportes trimestrales y salida pactada.</w:t>
                  </w:r>
                </w:p>
              </w:tc>
              <w:tc>
                <w:tcPr>
                  <w:tcW w:w="2340" w:type="dxa"/>
                  <w:hideMark/>
                </w:tcPr>
                <w:p w14:paraId="46F1B452"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Demostradores CCTV/redes y marketing.</w:t>
                  </w:r>
                </w:p>
              </w:tc>
            </w:tr>
            <w:tr w:rsidR="00055F3B" w:rsidRPr="00055F3B" w14:paraId="408DEF97" w14:textId="77777777" w:rsidTr="00055F3B">
              <w:tc>
                <w:tcPr>
                  <w:tcW w:w="1564" w:type="dxa"/>
                  <w:hideMark/>
                </w:tcPr>
                <w:p w14:paraId="1F14C952"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Reinversión</w:t>
                  </w:r>
                </w:p>
              </w:tc>
              <w:tc>
                <w:tcPr>
                  <w:tcW w:w="1417" w:type="dxa"/>
                  <w:hideMark/>
                </w:tcPr>
                <w:p w14:paraId="7B7C058F"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$1.980 aprox. primer año</w:t>
                  </w:r>
                </w:p>
              </w:tc>
              <w:tc>
                <w:tcPr>
                  <w:tcW w:w="2122" w:type="dxa"/>
                  <w:hideMark/>
                </w:tcPr>
                <w:p w14:paraId="5FEE36AF"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30 % de la utilidad neta estimada.</w:t>
                  </w:r>
                </w:p>
              </w:tc>
              <w:tc>
                <w:tcPr>
                  <w:tcW w:w="2340" w:type="dxa"/>
                  <w:hideMark/>
                </w:tcPr>
                <w:p w14:paraId="50B4BB9A"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Capacitación, movilidad y herramientas.</w:t>
                  </w:r>
                </w:p>
              </w:tc>
            </w:tr>
            <w:tr w:rsidR="00055F3B" w:rsidRPr="00055F3B" w14:paraId="64B6909A" w14:textId="77777777" w:rsidTr="00055F3B">
              <w:tc>
                <w:tcPr>
                  <w:tcW w:w="1564" w:type="dxa"/>
                  <w:hideMark/>
                </w:tcPr>
                <w:p w14:paraId="202D5C3C"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Ingresos operativos</w:t>
                  </w:r>
                </w:p>
              </w:tc>
              <w:tc>
                <w:tcPr>
                  <w:tcW w:w="1417" w:type="dxa"/>
                  <w:hideMark/>
                </w:tcPr>
                <w:p w14:paraId="07381E40"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Según ventas</w:t>
                  </w:r>
                </w:p>
              </w:tc>
              <w:tc>
                <w:tcPr>
                  <w:tcW w:w="2122" w:type="dxa"/>
                  <w:hideMark/>
                </w:tcPr>
                <w:p w14:paraId="0EED366C"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Financian costos y crecimiento progresivo.</w:t>
                  </w:r>
                </w:p>
              </w:tc>
              <w:tc>
                <w:tcPr>
                  <w:tcW w:w="2340" w:type="dxa"/>
                  <w:hideMark/>
                </w:tcPr>
                <w:p w14:paraId="3D4D976A"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Operación y expansión.</w:t>
                  </w:r>
                </w:p>
              </w:tc>
            </w:tr>
          </w:tbl>
          <w:p w14:paraId="4AD64EA5" w14:textId="77777777" w:rsidR="00055F3B" w:rsidRDefault="00055F3B" w:rsidP="00055F3B">
            <w:pPr>
              <w:spacing w:after="0" w:line="240" w:lineRule="auto"/>
              <w:jc w:val="left"/>
              <w:rPr>
                <w:rFonts w:ascii="Times New Roman" w:eastAsia="Times New Roman" w:hAnsi="Times New Roman" w:cs="Times New Roman"/>
                <w:sz w:val="20"/>
                <w:szCs w:val="20"/>
              </w:rPr>
            </w:pPr>
          </w:p>
          <w:tbl>
            <w:tblPr>
              <w:tblStyle w:val="Tablaconcuadrculaclara"/>
              <w:tblW w:w="7684" w:type="dxa"/>
              <w:tblLook w:val="04A0" w:firstRow="1" w:lastRow="0" w:firstColumn="1" w:lastColumn="0" w:noHBand="0" w:noVBand="1"/>
            </w:tblPr>
            <w:tblGrid>
              <w:gridCol w:w="2131"/>
              <w:gridCol w:w="2765"/>
              <w:gridCol w:w="2788"/>
            </w:tblGrid>
            <w:tr w:rsidR="00055F3B" w:rsidRPr="00055F3B" w14:paraId="3515E8D2" w14:textId="77777777" w:rsidTr="00055F3B">
              <w:tc>
                <w:tcPr>
                  <w:tcW w:w="2131" w:type="dxa"/>
                  <w:hideMark/>
                </w:tcPr>
                <w:p w14:paraId="1A93DC98"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b/>
                      <w:sz w:val="20"/>
                      <w:szCs w:val="20"/>
                    </w:rPr>
                    <w:t>Mecanismo de salida</w:t>
                  </w:r>
                </w:p>
              </w:tc>
              <w:tc>
                <w:tcPr>
                  <w:tcW w:w="2765" w:type="dxa"/>
                  <w:hideMark/>
                </w:tcPr>
                <w:p w14:paraId="35828617"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b/>
                      <w:sz w:val="20"/>
                      <w:szCs w:val="20"/>
                    </w:rPr>
                    <w:t>Procedimiento</w:t>
                  </w:r>
                </w:p>
              </w:tc>
              <w:tc>
                <w:tcPr>
                  <w:tcW w:w="2788" w:type="dxa"/>
                  <w:hideMark/>
                </w:tcPr>
                <w:p w14:paraId="6B5EF625"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b/>
                      <w:sz w:val="20"/>
                      <w:szCs w:val="20"/>
                    </w:rPr>
                    <w:t>Recuperación y beneficio</w:t>
                  </w:r>
                </w:p>
              </w:tc>
            </w:tr>
            <w:tr w:rsidR="00055F3B" w:rsidRPr="00055F3B" w14:paraId="7E70306B" w14:textId="77777777" w:rsidTr="00055F3B">
              <w:tc>
                <w:tcPr>
                  <w:tcW w:w="2131" w:type="dxa"/>
                  <w:hideMark/>
                </w:tcPr>
                <w:p w14:paraId="2491920A"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Recompra por el emprendedor</w:t>
                  </w:r>
                </w:p>
              </w:tc>
              <w:tc>
                <w:tcPr>
                  <w:tcW w:w="2765" w:type="dxa"/>
                  <w:hideMark/>
                </w:tcPr>
                <w:p w14:paraId="7F9C43A0"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Aviso con 60 días; valoración por utilidad o flujo; pago hasta 12 meses.</w:t>
                  </w:r>
                </w:p>
              </w:tc>
              <w:tc>
                <w:tcPr>
                  <w:tcW w:w="2788" w:type="dxa"/>
                  <w:hideMark/>
                </w:tcPr>
                <w:p w14:paraId="28DB4198"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Capital aportado más prima por crecimiento, descontando obligaciones.</w:t>
                  </w:r>
                </w:p>
              </w:tc>
            </w:tr>
            <w:tr w:rsidR="00055F3B" w:rsidRPr="00055F3B" w14:paraId="7DF5E4C9" w14:textId="77777777" w:rsidTr="00055F3B">
              <w:tc>
                <w:tcPr>
                  <w:tcW w:w="2131" w:type="dxa"/>
                  <w:hideMark/>
                </w:tcPr>
                <w:p w14:paraId="30FE6EA9"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Retiro programado</w:t>
                  </w:r>
                </w:p>
              </w:tc>
              <w:tc>
                <w:tcPr>
                  <w:tcW w:w="2765" w:type="dxa"/>
                  <w:hideMark/>
                </w:tcPr>
                <w:p w14:paraId="2BE8118D"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Desde el mes 18 si se cumplen metas de ventas y caja.</w:t>
                  </w:r>
                </w:p>
              </w:tc>
              <w:tc>
                <w:tcPr>
                  <w:tcW w:w="2788" w:type="dxa"/>
                  <w:hideMark/>
                </w:tcPr>
                <w:p w14:paraId="00F624FE"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Devolución proporcional del capital y utilidad pactada.</w:t>
                  </w:r>
                </w:p>
              </w:tc>
            </w:tr>
            <w:tr w:rsidR="00055F3B" w:rsidRPr="00055F3B" w14:paraId="0F85C7D2" w14:textId="77777777" w:rsidTr="00055F3B">
              <w:tc>
                <w:tcPr>
                  <w:tcW w:w="2131" w:type="dxa"/>
                  <w:hideMark/>
                </w:tcPr>
                <w:p w14:paraId="5D56DBEB"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Venta de participación</w:t>
                  </w:r>
                </w:p>
              </w:tc>
              <w:tc>
                <w:tcPr>
                  <w:tcW w:w="2765" w:type="dxa"/>
                  <w:hideMark/>
                </w:tcPr>
                <w:p w14:paraId="683FB723"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Oferta preferente al fundador; luego a tercero aprobado.</w:t>
                  </w:r>
                </w:p>
              </w:tc>
              <w:tc>
                <w:tcPr>
                  <w:tcW w:w="2788" w:type="dxa"/>
                  <w:hideMark/>
                </w:tcPr>
                <w:p w14:paraId="6F61A1B6"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Precio basado en estados financieros y activos verificables.</w:t>
                  </w:r>
                </w:p>
              </w:tc>
            </w:tr>
            <w:tr w:rsidR="00055F3B" w:rsidRPr="00055F3B" w14:paraId="725D8D0F" w14:textId="77777777" w:rsidTr="00055F3B">
              <w:tc>
                <w:tcPr>
                  <w:tcW w:w="2131" w:type="dxa"/>
                  <w:hideMark/>
                </w:tcPr>
                <w:p w14:paraId="1A4F6AC7"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Venta total</w:t>
                  </w:r>
                </w:p>
              </w:tc>
              <w:tc>
                <w:tcPr>
                  <w:tcW w:w="2765" w:type="dxa"/>
                  <w:hideMark/>
                </w:tcPr>
                <w:p w14:paraId="73C02390"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Valoración independiente y revisión de clientes, activos, contratos y deudas.</w:t>
                  </w:r>
                </w:p>
              </w:tc>
              <w:tc>
                <w:tcPr>
                  <w:tcW w:w="2788" w:type="dxa"/>
                  <w:hideMark/>
                </w:tcPr>
                <w:p w14:paraId="2D215243"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Distribución del precio según porcentaje de propiedad.</w:t>
                  </w:r>
                </w:p>
              </w:tc>
            </w:tr>
            <w:tr w:rsidR="00055F3B" w:rsidRPr="00055F3B" w14:paraId="6AF02B27" w14:textId="77777777" w:rsidTr="00055F3B">
              <w:tc>
                <w:tcPr>
                  <w:tcW w:w="2131" w:type="dxa"/>
                  <w:hideMark/>
                </w:tcPr>
                <w:p w14:paraId="09F9658C"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lastRenderedPageBreak/>
                    <w:t>Liquidación ordenada</w:t>
                  </w:r>
                </w:p>
              </w:tc>
              <w:tc>
                <w:tcPr>
                  <w:tcW w:w="2765" w:type="dxa"/>
                  <w:hideMark/>
                </w:tcPr>
                <w:p w14:paraId="3FB97151"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Solo por inviabilidad, incumplimiento grave o acuerdo unánime.</w:t>
                  </w:r>
                </w:p>
              </w:tc>
              <w:tc>
                <w:tcPr>
                  <w:tcW w:w="2788" w:type="dxa"/>
                  <w:hideMark/>
                </w:tcPr>
                <w:p w14:paraId="483D18E0"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Pago de obligaciones y reparto del remanente.</w:t>
                  </w:r>
                </w:p>
              </w:tc>
            </w:tr>
            <w:tr w:rsidR="00055F3B" w:rsidRPr="00055F3B" w14:paraId="75855CB6" w14:textId="77777777" w:rsidTr="00055F3B">
              <w:tc>
                <w:tcPr>
                  <w:tcW w:w="2131" w:type="dxa"/>
                  <w:hideMark/>
                </w:tcPr>
                <w:p w14:paraId="1AB478F2"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Salida del fundador</w:t>
                  </w:r>
                </w:p>
              </w:tc>
              <w:tc>
                <w:tcPr>
                  <w:tcW w:w="2765" w:type="dxa"/>
                  <w:hideMark/>
                </w:tcPr>
                <w:p w14:paraId="1890A678"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Transferencia progresiva o venta a otro técnico.</w:t>
                  </w:r>
                </w:p>
              </w:tc>
              <w:tc>
                <w:tcPr>
                  <w:tcW w:w="2788" w:type="dxa"/>
                  <w:hideMark/>
                </w:tcPr>
                <w:p w14:paraId="004F192C" w14:textId="77777777" w:rsidR="00055F3B" w:rsidRPr="00055F3B" w:rsidRDefault="00055F3B" w:rsidP="00055F3B">
                  <w:pPr>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Recuperación del aporte y valor de marca y clientela.</w:t>
                  </w:r>
                </w:p>
              </w:tc>
            </w:tr>
          </w:tbl>
          <w:p w14:paraId="1842A702"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p>
          <w:p w14:paraId="500DC760"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Como referencia académica, después del segundo año podría utilizarse una valoración combinada basada en activos, utilidad neta de los últimos doce meses y contratos recurrentes. También podría aplicarse un múltiplo referencial de 2,0 a 3,0 veces la utilidad neta anual, ajustado por deudas, concentración de clientes y dependencia del fundador. La valoración definitiva deberá ser revisada por un profesional contable o financiero.</w:t>
            </w:r>
          </w:p>
          <w:p w14:paraId="2C5685CA" w14:textId="2FFAC9FB" w:rsidR="00625A77" w:rsidRPr="00055F3B" w:rsidRDefault="00055F3B" w:rsidP="00055F3B">
            <w:pPr>
              <w:spacing w:after="0" w:line="240" w:lineRule="auto"/>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 xml:space="preserve">Ejemplo de recuperación: si un inversionista aporta USD 2.500 por el 20 % y </w:t>
            </w:r>
            <w:proofErr w:type="spellStart"/>
            <w:r w:rsidRPr="00055F3B">
              <w:rPr>
                <w:rFonts w:ascii="Times New Roman" w:eastAsia="Times New Roman" w:hAnsi="Times New Roman" w:cs="Times New Roman"/>
                <w:sz w:val="20"/>
                <w:szCs w:val="20"/>
              </w:rPr>
              <w:t>MinSupport</w:t>
            </w:r>
            <w:proofErr w:type="spellEnd"/>
            <w:r w:rsidRPr="00055F3B">
              <w:rPr>
                <w:rFonts w:ascii="Times New Roman" w:eastAsia="Times New Roman" w:hAnsi="Times New Roman" w:cs="Times New Roman"/>
                <w:sz w:val="20"/>
                <w:szCs w:val="20"/>
              </w:rPr>
              <w:t xml:space="preserve"> alcanza en 2028 una valoración referencial de USD 45.000, la participación tendría un valor de USD 9.000. La ganancia bruta estimada sería de USD 6.500 antes de impuestos y costos. El ejemplo no garantiza resultados y solo será válido si los porcentajes, la valoración y las condiciones se formalizan por escrito.</w:t>
            </w:r>
          </w:p>
        </w:tc>
      </w:tr>
      <w:tr w:rsidR="00F64869" w:rsidRPr="00055F3B" w14:paraId="669C426D" w14:textId="77777777" w:rsidTr="000A0382">
        <w:tblPrEx>
          <w:tblCellMar>
            <w:left w:w="108" w:type="dxa"/>
            <w:right w:w="108" w:type="dxa"/>
          </w:tblCellMar>
          <w:tblLook w:val="04A0" w:firstRow="1" w:lastRow="0" w:firstColumn="1" w:lastColumn="0" w:noHBand="0" w:noVBand="1"/>
        </w:tblPrEx>
        <w:trPr>
          <w:trHeight w:val="1360"/>
          <w:jc w:val="center"/>
        </w:trPr>
        <w:tc>
          <w:tcPr>
            <w:tcW w:w="1838" w:type="dxa"/>
            <w:vAlign w:val="center"/>
          </w:tcPr>
          <w:p w14:paraId="48B02C74" w14:textId="77777777" w:rsidR="00F64869" w:rsidRPr="00055F3B" w:rsidRDefault="00F64869" w:rsidP="00055F3B">
            <w:pPr>
              <w:spacing w:after="0" w:line="240" w:lineRule="auto"/>
              <w:jc w:val="left"/>
              <w:rPr>
                <w:rFonts w:ascii="Times New Roman" w:hAnsi="Times New Roman" w:cs="Times New Roman"/>
                <w:b/>
                <w:sz w:val="20"/>
                <w:szCs w:val="20"/>
              </w:rPr>
            </w:pPr>
            <w:r w:rsidRPr="00055F3B">
              <w:rPr>
                <w:rFonts w:ascii="Times New Roman" w:hAnsi="Times New Roman" w:cs="Times New Roman"/>
                <w:b/>
                <w:sz w:val="20"/>
                <w:szCs w:val="20"/>
              </w:rPr>
              <w:lastRenderedPageBreak/>
              <w:t>Resultados</w:t>
            </w:r>
          </w:p>
        </w:tc>
        <w:tc>
          <w:tcPr>
            <w:tcW w:w="7944" w:type="dxa"/>
            <w:gridSpan w:val="2"/>
            <w:vAlign w:val="center"/>
          </w:tcPr>
          <w:p w14:paraId="07949F5C"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 xml:space="preserve">La integración de los cuatro prácticos produjo un modelo de negocio coherente para </w:t>
            </w:r>
            <w:proofErr w:type="spellStart"/>
            <w:r w:rsidRPr="00055F3B">
              <w:rPr>
                <w:rFonts w:ascii="Times New Roman" w:eastAsia="Times New Roman" w:hAnsi="Times New Roman" w:cs="Times New Roman"/>
                <w:sz w:val="20"/>
                <w:szCs w:val="20"/>
              </w:rPr>
              <w:t>MinSupport</w:t>
            </w:r>
            <w:proofErr w:type="spellEnd"/>
            <w:r w:rsidRPr="00055F3B">
              <w:rPr>
                <w:rFonts w:ascii="Times New Roman" w:eastAsia="Times New Roman" w:hAnsi="Times New Roman" w:cs="Times New Roman"/>
                <w:sz w:val="20"/>
                <w:szCs w:val="20"/>
              </w:rPr>
              <w:t xml:space="preserve">. En primer lugar, se identificó una necesidad concreta: hogares y microempresas requieren soporte técnico confiable para mantener la continuidad de sus actividades. En segundo lugar, se definió una estructura administrativa básica con responsabilidades separadas y posibilidad de crecimiento progresivo. En tercer lugar, se diseñó un recorrido de atención que reduce la incertidumbre mediante </w:t>
            </w:r>
            <w:proofErr w:type="gramStart"/>
            <w:r w:rsidRPr="00055F3B">
              <w:rPr>
                <w:rFonts w:ascii="Times New Roman" w:eastAsia="Times New Roman" w:hAnsi="Times New Roman" w:cs="Times New Roman"/>
                <w:sz w:val="20"/>
                <w:szCs w:val="20"/>
              </w:rPr>
              <w:t>tickets</w:t>
            </w:r>
            <w:proofErr w:type="gramEnd"/>
            <w:r w:rsidRPr="00055F3B">
              <w:rPr>
                <w:rFonts w:ascii="Times New Roman" w:eastAsia="Times New Roman" w:hAnsi="Times New Roman" w:cs="Times New Roman"/>
                <w:sz w:val="20"/>
                <w:szCs w:val="20"/>
              </w:rPr>
              <w:t>, diagnósticos, cotizaciones, autorizaciones, pruebas y garantía.</w:t>
            </w:r>
          </w:p>
          <w:p w14:paraId="6BB234CE"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En el componente financiero se estimó una inversión inicial de USD 12.500. Bajo el escenario proyectado, las ventas crecerían de USD 36.000 en 2026 a USD 81.000 en 2030, mientras que la utilidad neta aumentaría de USD 6.600 a USD 28.650. El margen pasaría de 18,3 % a 35,4 %. Estas cifras muestran potencial de crecimiento, pero deben validarse con precios, demanda, costos, obligaciones tributarias y capacidad operativa reales.</w:t>
            </w:r>
          </w:p>
          <w:p w14:paraId="2EA0BF5E" w14:textId="77777777" w:rsidR="00055F3B" w:rsidRPr="00055F3B" w:rsidRDefault="00055F3B" w:rsidP="00055F3B">
            <w:pPr>
              <w:spacing w:after="0" w:line="240" w:lineRule="auto"/>
              <w:jc w:val="left"/>
              <w:rPr>
                <w:rFonts w:ascii="Times New Roman" w:eastAsia="Times New Roman" w:hAnsi="Times New Roman" w:cs="Times New Roman"/>
                <w:sz w:val="20"/>
                <w:szCs w:val="20"/>
              </w:rPr>
            </w:pPr>
            <w:r w:rsidRPr="00055F3B">
              <w:rPr>
                <w:rFonts w:ascii="Times New Roman" w:eastAsia="Times New Roman" w:hAnsi="Times New Roman" w:cs="Times New Roman"/>
                <w:sz w:val="20"/>
                <w:szCs w:val="20"/>
              </w:rPr>
              <w:t>En innovación y talento se obtuvo un sistema de mejora continua con indicadores mensuales y trimestrales. La IA queda limitada a actividades de apoyo y siempre bajo revisión humana. En financiación y salida se establecieron mecanismos para que el inversionista pueda recuperar su capital mediante recompra, retiro programado, venta de participación o venta total, sin descuidar las obligaciones de la empresa y la continuidad del servicio.</w:t>
            </w:r>
          </w:p>
          <w:p w14:paraId="29A629BF" w14:textId="1D1346EC" w:rsidR="00F64869" w:rsidRPr="00055F3B" w:rsidRDefault="00F64869" w:rsidP="00055F3B">
            <w:pPr>
              <w:spacing w:after="0" w:line="240" w:lineRule="auto"/>
              <w:jc w:val="left"/>
              <w:rPr>
                <w:rFonts w:ascii="Times New Roman" w:eastAsia="Times New Roman" w:hAnsi="Times New Roman" w:cs="Times New Roman"/>
                <w:sz w:val="20"/>
                <w:szCs w:val="20"/>
              </w:rPr>
            </w:pPr>
          </w:p>
        </w:tc>
      </w:tr>
      <w:tr w:rsidR="00F64869" w:rsidRPr="00055F3B" w14:paraId="1B0E2782" w14:textId="77777777" w:rsidTr="00C44AC0">
        <w:tblPrEx>
          <w:tblCellMar>
            <w:left w:w="108" w:type="dxa"/>
            <w:right w:w="108" w:type="dxa"/>
          </w:tblCellMar>
          <w:tblLook w:val="04A0" w:firstRow="1" w:lastRow="0" w:firstColumn="1" w:lastColumn="0" w:noHBand="0" w:noVBand="1"/>
        </w:tblPrEx>
        <w:trPr>
          <w:trHeight w:val="871"/>
          <w:jc w:val="center"/>
        </w:trPr>
        <w:tc>
          <w:tcPr>
            <w:tcW w:w="1838" w:type="dxa"/>
            <w:vAlign w:val="center"/>
          </w:tcPr>
          <w:p w14:paraId="13AD38BA" w14:textId="77777777" w:rsidR="00F64869" w:rsidRPr="00055F3B" w:rsidRDefault="00F64869" w:rsidP="00055F3B">
            <w:pPr>
              <w:spacing w:after="0" w:line="240" w:lineRule="auto"/>
              <w:jc w:val="left"/>
              <w:rPr>
                <w:rFonts w:ascii="Times New Roman" w:hAnsi="Times New Roman" w:cs="Times New Roman"/>
                <w:b/>
                <w:sz w:val="20"/>
                <w:szCs w:val="20"/>
              </w:rPr>
            </w:pPr>
            <w:r w:rsidRPr="00055F3B">
              <w:rPr>
                <w:rFonts w:ascii="Times New Roman" w:hAnsi="Times New Roman" w:cs="Times New Roman"/>
                <w:b/>
                <w:sz w:val="20"/>
                <w:szCs w:val="20"/>
              </w:rPr>
              <w:t>Conclusiones</w:t>
            </w:r>
          </w:p>
        </w:tc>
        <w:tc>
          <w:tcPr>
            <w:tcW w:w="7944" w:type="dxa"/>
            <w:gridSpan w:val="2"/>
            <w:vAlign w:val="center"/>
          </w:tcPr>
          <w:p w14:paraId="63DC5A56" w14:textId="77777777" w:rsidR="00055F3B" w:rsidRPr="00055F3B" w:rsidRDefault="00055F3B" w:rsidP="00055F3B">
            <w:pPr>
              <w:pStyle w:val="NormalWeb"/>
              <w:rPr>
                <w:sz w:val="20"/>
                <w:szCs w:val="20"/>
              </w:rPr>
            </w:pPr>
            <w:proofErr w:type="spellStart"/>
            <w:r w:rsidRPr="00055F3B">
              <w:rPr>
                <w:sz w:val="20"/>
                <w:szCs w:val="20"/>
              </w:rPr>
              <w:t>MinSupport</w:t>
            </w:r>
            <w:proofErr w:type="spellEnd"/>
            <w:r w:rsidRPr="00055F3B">
              <w:rPr>
                <w:sz w:val="20"/>
                <w:szCs w:val="20"/>
              </w:rPr>
              <w:t xml:space="preserve"> constituye una oportunidad de emprendimiento relacionada con una necesidad cotidiana y verificable: mantener operativos los equipos, las redes, las impresoras y los sistemas de videovigilancia que sostienen el estudio, el trabajo y las actividades comerciales. Su propuesta de valor se diferencia por la transparencia, la documentación, la atención postventa y la prevención.</w:t>
            </w:r>
          </w:p>
          <w:p w14:paraId="178274A1" w14:textId="77777777" w:rsidR="00055F3B" w:rsidRPr="00055F3B" w:rsidRDefault="00055F3B" w:rsidP="00055F3B">
            <w:pPr>
              <w:pStyle w:val="NormalWeb"/>
              <w:rPr>
                <w:sz w:val="20"/>
                <w:szCs w:val="20"/>
              </w:rPr>
            </w:pPr>
            <w:r w:rsidRPr="00055F3B">
              <w:rPr>
                <w:sz w:val="20"/>
                <w:szCs w:val="20"/>
              </w:rPr>
              <w:t>La estructura organizacional propuesta es adecuada para una fase inicial porque asigna funciones esenciales sin generar una carga fija excesiva. La capacitación y la evaluación del desempeño deberán priorizar la calidad técnica, la comunicación, la seguridad de la información y la satisfacción del cliente, no únicamente el número de reparaciones.</w:t>
            </w:r>
          </w:p>
          <w:p w14:paraId="02C100BC" w14:textId="77777777" w:rsidR="00055F3B" w:rsidRPr="00055F3B" w:rsidRDefault="00055F3B" w:rsidP="00055F3B">
            <w:pPr>
              <w:pStyle w:val="NormalWeb"/>
              <w:rPr>
                <w:sz w:val="20"/>
                <w:szCs w:val="20"/>
              </w:rPr>
            </w:pPr>
            <w:r w:rsidRPr="00055F3B">
              <w:rPr>
                <w:sz w:val="20"/>
                <w:szCs w:val="20"/>
              </w:rPr>
              <w:t xml:space="preserve">La proyección financiera muestra una posibilidad de rentabilidad y crecimiento, pero no sustituye la validación de mercado. Antes de invertir se deben obtener cotizaciones, confirmar la </w:t>
            </w:r>
            <w:r w:rsidRPr="00055F3B">
              <w:rPr>
                <w:sz w:val="20"/>
                <w:szCs w:val="20"/>
              </w:rPr>
              <w:lastRenderedPageBreak/>
              <w:t>disposición a pagar, medir la demanda real, formalizar la relación con cualquier inversionista y actualizar el presupuesto con impuestos, transporte y costos locales.</w:t>
            </w:r>
          </w:p>
          <w:p w14:paraId="7765E4F9" w14:textId="0130B593" w:rsidR="00F64869" w:rsidRPr="00055F3B" w:rsidRDefault="00055F3B" w:rsidP="00055F3B">
            <w:pPr>
              <w:pStyle w:val="NormalWeb"/>
              <w:rPr>
                <w:sz w:val="20"/>
                <w:szCs w:val="20"/>
              </w:rPr>
            </w:pPr>
            <w:r w:rsidRPr="00055F3B">
              <w:rPr>
                <w:sz w:val="20"/>
                <w:szCs w:val="20"/>
              </w:rPr>
              <w:t>La innovación debe gestionarse como un proceso controlado. El uso de inteligencia artificial puede mejorar la eficiencia, pero requiere minimización de datos, revisión humana, registro de incidentes y límites claros. Finalmente, las estrategias de salida protegen tanto al inversionista como al emprendedor cuando se acuerdan por escrito y se vinculan con información financiera verificable.</w:t>
            </w:r>
          </w:p>
        </w:tc>
      </w:tr>
      <w:tr w:rsidR="00F64869" w:rsidRPr="00055F3B" w14:paraId="78FD4C7E" w14:textId="77777777" w:rsidTr="00C44AC0">
        <w:tblPrEx>
          <w:tblCellMar>
            <w:left w:w="108" w:type="dxa"/>
            <w:right w:w="108" w:type="dxa"/>
          </w:tblCellMar>
          <w:tblLook w:val="04A0" w:firstRow="1" w:lastRow="0" w:firstColumn="1" w:lastColumn="0" w:noHBand="0" w:noVBand="1"/>
        </w:tblPrEx>
        <w:trPr>
          <w:trHeight w:val="924"/>
          <w:jc w:val="center"/>
        </w:trPr>
        <w:tc>
          <w:tcPr>
            <w:tcW w:w="1838" w:type="dxa"/>
            <w:vAlign w:val="center"/>
          </w:tcPr>
          <w:p w14:paraId="090E743B" w14:textId="77777777" w:rsidR="00F64869" w:rsidRPr="00055F3B" w:rsidRDefault="00F64869" w:rsidP="00055F3B">
            <w:pPr>
              <w:spacing w:after="0" w:line="240" w:lineRule="auto"/>
              <w:jc w:val="left"/>
              <w:rPr>
                <w:rFonts w:ascii="Times New Roman" w:hAnsi="Times New Roman" w:cs="Times New Roman"/>
                <w:b/>
                <w:sz w:val="20"/>
                <w:szCs w:val="20"/>
              </w:rPr>
            </w:pPr>
            <w:r w:rsidRPr="00055F3B">
              <w:rPr>
                <w:rFonts w:ascii="Times New Roman" w:hAnsi="Times New Roman" w:cs="Times New Roman"/>
                <w:b/>
                <w:sz w:val="20"/>
                <w:szCs w:val="20"/>
              </w:rPr>
              <w:lastRenderedPageBreak/>
              <w:t>Bibliografía</w:t>
            </w:r>
          </w:p>
        </w:tc>
        <w:tc>
          <w:tcPr>
            <w:tcW w:w="7944" w:type="dxa"/>
            <w:gridSpan w:val="2"/>
            <w:vAlign w:val="center"/>
          </w:tcPr>
          <w:p w14:paraId="7CA10C87" w14:textId="05D3FD74" w:rsidR="00055F3B" w:rsidRPr="00055F3B" w:rsidRDefault="00055F3B" w:rsidP="00055F3B">
            <w:pPr>
              <w:pStyle w:val="NormalWeb"/>
              <w:rPr>
                <w:sz w:val="20"/>
                <w:szCs w:val="20"/>
              </w:rPr>
            </w:pPr>
            <w:proofErr w:type="spellStart"/>
            <w:r w:rsidRPr="00055F3B">
              <w:rPr>
                <w:sz w:val="20"/>
                <w:szCs w:val="20"/>
              </w:rPr>
              <w:t>National</w:t>
            </w:r>
            <w:proofErr w:type="spellEnd"/>
            <w:r w:rsidRPr="00055F3B">
              <w:rPr>
                <w:sz w:val="20"/>
                <w:szCs w:val="20"/>
              </w:rPr>
              <w:t xml:space="preserve"> </w:t>
            </w:r>
            <w:proofErr w:type="spellStart"/>
            <w:r w:rsidRPr="00055F3B">
              <w:rPr>
                <w:sz w:val="20"/>
                <w:szCs w:val="20"/>
              </w:rPr>
              <w:t>Institute</w:t>
            </w:r>
            <w:proofErr w:type="spellEnd"/>
            <w:r w:rsidRPr="00055F3B">
              <w:rPr>
                <w:sz w:val="20"/>
                <w:szCs w:val="20"/>
              </w:rPr>
              <w:t xml:space="preserve"> of </w:t>
            </w:r>
            <w:proofErr w:type="spellStart"/>
            <w:r w:rsidRPr="00055F3B">
              <w:rPr>
                <w:sz w:val="20"/>
                <w:szCs w:val="20"/>
              </w:rPr>
              <w:t>Standards</w:t>
            </w:r>
            <w:proofErr w:type="spellEnd"/>
            <w:r w:rsidRPr="00055F3B">
              <w:rPr>
                <w:sz w:val="20"/>
                <w:szCs w:val="20"/>
              </w:rPr>
              <w:t xml:space="preserve"> and </w:t>
            </w:r>
            <w:proofErr w:type="spellStart"/>
            <w:r w:rsidRPr="00055F3B">
              <w:rPr>
                <w:sz w:val="20"/>
                <w:szCs w:val="20"/>
              </w:rPr>
              <w:t>Technology</w:t>
            </w:r>
            <w:proofErr w:type="spellEnd"/>
            <w:r w:rsidRPr="00055F3B">
              <w:rPr>
                <w:sz w:val="20"/>
                <w:szCs w:val="20"/>
              </w:rPr>
              <w:t xml:space="preserve">. (2023). Artificial </w:t>
            </w:r>
            <w:proofErr w:type="spellStart"/>
            <w:r w:rsidRPr="00055F3B">
              <w:rPr>
                <w:sz w:val="20"/>
                <w:szCs w:val="20"/>
              </w:rPr>
              <w:t>intelligence</w:t>
            </w:r>
            <w:proofErr w:type="spellEnd"/>
            <w:r w:rsidRPr="00055F3B">
              <w:rPr>
                <w:sz w:val="20"/>
                <w:szCs w:val="20"/>
              </w:rPr>
              <w:t xml:space="preserve"> </w:t>
            </w:r>
            <w:proofErr w:type="spellStart"/>
            <w:r w:rsidRPr="00055F3B">
              <w:rPr>
                <w:sz w:val="20"/>
                <w:szCs w:val="20"/>
              </w:rPr>
              <w:t>risk</w:t>
            </w:r>
            <w:proofErr w:type="spellEnd"/>
            <w:r w:rsidRPr="00055F3B">
              <w:rPr>
                <w:sz w:val="20"/>
                <w:szCs w:val="20"/>
              </w:rPr>
              <w:t xml:space="preserve"> </w:t>
            </w:r>
            <w:proofErr w:type="spellStart"/>
            <w:r w:rsidRPr="00055F3B">
              <w:rPr>
                <w:sz w:val="20"/>
                <w:szCs w:val="20"/>
              </w:rPr>
              <w:t>management</w:t>
            </w:r>
            <w:proofErr w:type="spellEnd"/>
            <w:r w:rsidRPr="00055F3B">
              <w:rPr>
                <w:sz w:val="20"/>
                <w:szCs w:val="20"/>
              </w:rPr>
              <w:t xml:space="preserve"> </w:t>
            </w:r>
            <w:proofErr w:type="spellStart"/>
            <w:r w:rsidRPr="00055F3B">
              <w:rPr>
                <w:sz w:val="20"/>
                <w:szCs w:val="20"/>
              </w:rPr>
              <w:t>framework</w:t>
            </w:r>
            <w:proofErr w:type="spellEnd"/>
            <w:r w:rsidRPr="00055F3B">
              <w:rPr>
                <w:sz w:val="20"/>
                <w:szCs w:val="20"/>
              </w:rPr>
              <w:t xml:space="preserve"> (AI RMF 1.0) (NIST AI 100-1). </w:t>
            </w:r>
            <w:hyperlink r:id="rId8" w:history="1">
              <w:r w:rsidRPr="00055F3B">
                <w:rPr>
                  <w:rStyle w:val="Hipervnculo"/>
                  <w:sz w:val="20"/>
                  <w:szCs w:val="20"/>
                </w:rPr>
                <w:t>https://doi.org/10.6028/NIST.AI.100-1</w:t>
              </w:r>
            </w:hyperlink>
          </w:p>
          <w:p w14:paraId="496A8BF8" w14:textId="718335D3" w:rsidR="00055F3B" w:rsidRPr="00055F3B" w:rsidRDefault="00055F3B" w:rsidP="00055F3B">
            <w:pPr>
              <w:pStyle w:val="NormalWeb"/>
              <w:rPr>
                <w:sz w:val="20"/>
                <w:szCs w:val="20"/>
              </w:rPr>
            </w:pPr>
            <w:proofErr w:type="spellStart"/>
            <w:r w:rsidRPr="00055F3B">
              <w:rPr>
                <w:sz w:val="20"/>
                <w:szCs w:val="20"/>
              </w:rPr>
              <w:t>Organisation</w:t>
            </w:r>
            <w:proofErr w:type="spellEnd"/>
            <w:r w:rsidRPr="00055F3B">
              <w:rPr>
                <w:sz w:val="20"/>
                <w:szCs w:val="20"/>
              </w:rPr>
              <w:t xml:space="preserve"> </w:t>
            </w:r>
            <w:proofErr w:type="spellStart"/>
            <w:r w:rsidRPr="00055F3B">
              <w:rPr>
                <w:sz w:val="20"/>
                <w:szCs w:val="20"/>
              </w:rPr>
              <w:t>for</w:t>
            </w:r>
            <w:proofErr w:type="spellEnd"/>
            <w:r w:rsidRPr="00055F3B">
              <w:rPr>
                <w:sz w:val="20"/>
                <w:szCs w:val="20"/>
              </w:rPr>
              <w:t xml:space="preserve"> </w:t>
            </w:r>
            <w:proofErr w:type="spellStart"/>
            <w:r w:rsidRPr="00055F3B">
              <w:rPr>
                <w:sz w:val="20"/>
                <w:szCs w:val="20"/>
              </w:rPr>
              <w:t>Economic</w:t>
            </w:r>
            <w:proofErr w:type="spellEnd"/>
            <w:r w:rsidRPr="00055F3B">
              <w:rPr>
                <w:sz w:val="20"/>
                <w:szCs w:val="20"/>
              </w:rPr>
              <w:t xml:space="preserve"> </w:t>
            </w:r>
            <w:proofErr w:type="spellStart"/>
            <w:r w:rsidRPr="00055F3B">
              <w:rPr>
                <w:sz w:val="20"/>
                <w:szCs w:val="20"/>
              </w:rPr>
              <w:t>Co-operation</w:t>
            </w:r>
            <w:proofErr w:type="spellEnd"/>
            <w:r w:rsidRPr="00055F3B">
              <w:rPr>
                <w:sz w:val="20"/>
                <w:szCs w:val="20"/>
              </w:rPr>
              <w:t xml:space="preserve"> and </w:t>
            </w:r>
            <w:proofErr w:type="spellStart"/>
            <w:r w:rsidRPr="00055F3B">
              <w:rPr>
                <w:sz w:val="20"/>
                <w:szCs w:val="20"/>
              </w:rPr>
              <w:t>Development</w:t>
            </w:r>
            <w:proofErr w:type="spellEnd"/>
            <w:r w:rsidRPr="00055F3B">
              <w:rPr>
                <w:sz w:val="20"/>
                <w:szCs w:val="20"/>
              </w:rPr>
              <w:t xml:space="preserve">. (2024). OECD SME and </w:t>
            </w:r>
            <w:proofErr w:type="spellStart"/>
            <w:r w:rsidRPr="00055F3B">
              <w:rPr>
                <w:sz w:val="20"/>
                <w:szCs w:val="20"/>
              </w:rPr>
              <w:t>entrepreneurship</w:t>
            </w:r>
            <w:proofErr w:type="spellEnd"/>
            <w:r w:rsidRPr="00055F3B">
              <w:rPr>
                <w:sz w:val="20"/>
                <w:szCs w:val="20"/>
              </w:rPr>
              <w:t xml:space="preserve"> </w:t>
            </w:r>
            <w:proofErr w:type="spellStart"/>
            <w:r w:rsidRPr="00055F3B">
              <w:rPr>
                <w:sz w:val="20"/>
                <w:szCs w:val="20"/>
              </w:rPr>
              <w:t>outlook</w:t>
            </w:r>
            <w:proofErr w:type="spellEnd"/>
            <w:r w:rsidRPr="00055F3B">
              <w:rPr>
                <w:sz w:val="20"/>
                <w:szCs w:val="20"/>
              </w:rPr>
              <w:t xml:space="preserve"> 2023. OECD Publishing. </w:t>
            </w:r>
            <w:hyperlink r:id="rId9" w:history="1">
              <w:r w:rsidRPr="00055F3B">
                <w:rPr>
                  <w:rStyle w:val="Hipervnculo"/>
                  <w:sz w:val="20"/>
                  <w:szCs w:val="20"/>
                </w:rPr>
                <w:t>https://doi.org/10.1787/34907e9c-en</w:t>
              </w:r>
            </w:hyperlink>
          </w:p>
          <w:p w14:paraId="17888123" w14:textId="719487BC" w:rsidR="00055F3B" w:rsidRPr="00055F3B" w:rsidRDefault="00055F3B" w:rsidP="00055F3B">
            <w:pPr>
              <w:pStyle w:val="NormalWeb"/>
              <w:rPr>
                <w:sz w:val="20"/>
                <w:szCs w:val="20"/>
              </w:rPr>
            </w:pPr>
            <w:proofErr w:type="spellStart"/>
            <w:r w:rsidRPr="00055F3B">
              <w:rPr>
                <w:sz w:val="20"/>
                <w:szCs w:val="20"/>
              </w:rPr>
              <w:t>Organisation</w:t>
            </w:r>
            <w:proofErr w:type="spellEnd"/>
            <w:r w:rsidRPr="00055F3B">
              <w:rPr>
                <w:sz w:val="20"/>
                <w:szCs w:val="20"/>
              </w:rPr>
              <w:t xml:space="preserve"> </w:t>
            </w:r>
            <w:proofErr w:type="spellStart"/>
            <w:r w:rsidRPr="00055F3B">
              <w:rPr>
                <w:sz w:val="20"/>
                <w:szCs w:val="20"/>
              </w:rPr>
              <w:t>for</w:t>
            </w:r>
            <w:proofErr w:type="spellEnd"/>
            <w:r w:rsidRPr="00055F3B">
              <w:rPr>
                <w:sz w:val="20"/>
                <w:szCs w:val="20"/>
              </w:rPr>
              <w:t xml:space="preserve"> </w:t>
            </w:r>
            <w:proofErr w:type="spellStart"/>
            <w:r w:rsidRPr="00055F3B">
              <w:rPr>
                <w:sz w:val="20"/>
                <w:szCs w:val="20"/>
              </w:rPr>
              <w:t>Economic</w:t>
            </w:r>
            <w:proofErr w:type="spellEnd"/>
            <w:r w:rsidRPr="00055F3B">
              <w:rPr>
                <w:sz w:val="20"/>
                <w:szCs w:val="20"/>
              </w:rPr>
              <w:t xml:space="preserve"> </w:t>
            </w:r>
            <w:proofErr w:type="spellStart"/>
            <w:r w:rsidRPr="00055F3B">
              <w:rPr>
                <w:sz w:val="20"/>
                <w:szCs w:val="20"/>
              </w:rPr>
              <w:t>Co-operation</w:t>
            </w:r>
            <w:proofErr w:type="spellEnd"/>
            <w:r w:rsidRPr="00055F3B">
              <w:rPr>
                <w:sz w:val="20"/>
                <w:szCs w:val="20"/>
              </w:rPr>
              <w:t xml:space="preserve"> and </w:t>
            </w:r>
            <w:proofErr w:type="spellStart"/>
            <w:r w:rsidRPr="00055F3B">
              <w:rPr>
                <w:sz w:val="20"/>
                <w:szCs w:val="20"/>
              </w:rPr>
              <w:t>Development</w:t>
            </w:r>
            <w:proofErr w:type="spellEnd"/>
            <w:r w:rsidRPr="00055F3B">
              <w:rPr>
                <w:sz w:val="20"/>
                <w:szCs w:val="20"/>
              </w:rPr>
              <w:t xml:space="preserve">. (2025). OECD digital </w:t>
            </w:r>
            <w:proofErr w:type="spellStart"/>
            <w:r w:rsidRPr="00055F3B">
              <w:rPr>
                <w:sz w:val="20"/>
                <w:szCs w:val="20"/>
              </w:rPr>
              <w:t>economy</w:t>
            </w:r>
            <w:proofErr w:type="spellEnd"/>
            <w:r w:rsidRPr="00055F3B">
              <w:rPr>
                <w:sz w:val="20"/>
                <w:szCs w:val="20"/>
              </w:rPr>
              <w:t xml:space="preserve"> </w:t>
            </w:r>
            <w:proofErr w:type="spellStart"/>
            <w:r w:rsidRPr="00055F3B">
              <w:rPr>
                <w:sz w:val="20"/>
                <w:szCs w:val="20"/>
              </w:rPr>
              <w:t>outlook</w:t>
            </w:r>
            <w:proofErr w:type="spellEnd"/>
            <w:r w:rsidRPr="00055F3B">
              <w:rPr>
                <w:sz w:val="20"/>
                <w:szCs w:val="20"/>
              </w:rPr>
              <w:t xml:space="preserve"> 2024 (</w:t>
            </w:r>
            <w:proofErr w:type="spellStart"/>
            <w:r w:rsidRPr="00055F3B">
              <w:rPr>
                <w:sz w:val="20"/>
                <w:szCs w:val="20"/>
              </w:rPr>
              <w:t>Volume</w:t>
            </w:r>
            <w:proofErr w:type="spellEnd"/>
            <w:r w:rsidRPr="00055F3B">
              <w:rPr>
                <w:sz w:val="20"/>
                <w:szCs w:val="20"/>
              </w:rPr>
              <w:t xml:space="preserve"> 2). OECD Publishing. </w:t>
            </w:r>
            <w:hyperlink r:id="rId10" w:history="1">
              <w:r w:rsidRPr="00055F3B">
                <w:rPr>
                  <w:rStyle w:val="Hipervnculo"/>
                  <w:sz w:val="20"/>
                  <w:szCs w:val="20"/>
                </w:rPr>
                <w:t>https://doi.org/10.1787/3adf705b-en</w:t>
              </w:r>
            </w:hyperlink>
          </w:p>
          <w:p w14:paraId="6ACEDF99" w14:textId="6B787BB9" w:rsidR="00055F3B" w:rsidRPr="00055F3B" w:rsidRDefault="00055F3B" w:rsidP="00055F3B">
            <w:pPr>
              <w:pStyle w:val="NormalWeb"/>
              <w:rPr>
                <w:sz w:val="20"/>
                <w:szCs w:val="20"/>
              </w:rPr>
            </w:pPr>
            <w:r w:rsidRPr="00055F3B">
              <w:rPr>
                <w:sz w:val="20"/>
                <w:szCs w:val="20"/>
              </w:rPr>
              <w:t xml:space="preserve">Servicio de Rentas Internas. (2024). Guía para emprendedores y pequeños negocios. </w:t>
            </w:r>
            <w:hyperlink r:id="rId11" w:history="1">
              <w:r w:rsidRPr="00055F3B">
                <w:rPr>
                  <w:rStyle w:val="Hipervnculo"/>
                  <w:sz w:val="20"/>
                  <w:szCs w:val="20"/>
                </w:rPr>
                <w:t>https://www.sri.gob.ec/</w:t>
              </w:r>
            </w:hyperlink>
          </w:p>
          <w:p w14:paraId="0A8DB249" w14:textId="0FDBC1A8" w:rsidR="00F64869" w:rsidRPr="00055F3B" w:rsidRDefault="00F64869" w:rsidP="00055F3B">
            <w:pPr>
              <w:pStyle w:val="NormalWeb"/>
              <w:rPr>
                <w:sz w:val="20"/>
                <w:szCs w:val="20"/>
              </w:rPr>
            </w:pPr>
          </w:p>
        </w:tc>
      </w:tr>
      <w:tr w:rsidR="00F64869" w:rsidRPr="00055F3B" w14:paraId="134B7545" w14:textId="77777777" w:rsidTr="00C44AC0">
        <w:tblPrEx>
          <w:tblCellMar>
            <w:left w:w="108" w:type="dxa"/>
            <w:right w:w="108" w:type="dxa"/>
          </w:tblCellMar>
          <w:tblLook w:val="04A0" w:firstRow="1" w:lastRow="0" w:firstColumn="1" w:lastColumn="0" w:noHBand="0" w:noVBand="1"/>
        </w:tblPrEx>
        <w:trPr>
          <w:trHeight w:val="816"/>
          <w:jc w:val="center"/>
        </w:trPr>
        <w:tc>
          <w:tcPr>
            <w:tcW w:w="1838" w:type="dxa"/>
            <w:vAlign w:val="center"/>
          </w:tcPr>
          <w:p w14:paraId="286C83E6" w14:textId="77777777" w:rsidR="00F64869" w:rsidRPr="00055F3B" w:rsidRDefault="00F64869" w:rsidP="00055F3B">
            <w:pPr>
              <w:spacing w:after="0" w:line="240" w:lineRule="auto"/>
              <w:jc w:val="left"/>
              <w:rPr>
                <w:rFonts w:ascii="Times New Roman" w:hAnsi="Times New Roman" w:cs="Times New Roman"/>
                <w:b/>
                <w:sz w:val="20"/>
                <w:szCs w:val="20"/>
              </w:rPr>
            </w:pPr>
            <w:r w:rsidRPr="00055F3B">
              <w:rPr>
                <w:rFonts w:ascii="Times New Roman" w:hAnsi="Times New Roman" w:cs="Times New Roman"/>
                <w:b/>
                <w:sz w:val="20"/>
                <w:szCs w:val="20"/>
              </w:rPr>
              <w:t>Anexos</w:t>
            </w:r>
          </w:p>
        </w:tc>
        <w:tc>
          <w:tcPr>
            <w:tcW w:w="7944" w:type="dxa"/>
            <w:gridSpan w:val="2"/>
            <w:vAlign w:val="center"/>
          </w:tcPr>
          <w:p w14:paraId="660CC76C" w14:textId="2470F1C1" w:rsidR="00DA178F" w:rsidRPr="00055F3B" w:rsidRDefault="00843C89" w:rsidP="00055F3B">
            <w:pPr>
              <w:pStyle w:val="NormalWeb"/>
              <w:rPr>
                <w:sz w:val="20"/>
                <w:szCs w:val="20"/>
              </w:rPr>
            </w:pPr>
            <w:r w:rsidRPr="00843C89">
              <w:rPr>
                <w:noProof/>
                <w:sz w:val="20"/>
                <w:szCs w:val="20"/>
              </w:rPr>
              <w:drawing>
                <wp:inline distT="0" distB="0" distL="0" distR="0" wp14:anchorId="1F1800A0" wp14:editId="76DCCB1F">
                  <wp:extent cx="1029970" cy="1290955"/>
                  <wp:effectExtent l="0" t="0" r="0" b="4445"/>
                  <wp:docPr id="945926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26408" name=""/>
                          <pic:cNvPicPr/>
                        </pic:nvPicPr>
                        <pic:blipFill>
                          <a:blip r:embed="rId12"/>
                          <a:stretch>
                            <a:fillRect/>
                          </a:stretch>
                        </pic:blipFill>
                        <pic:spPr>
                          <a:xfrm>
                            <a:off x="0" y="0"/>
                            <a:ext cx="1029970" cy="1290955"/>
                          </a:xfrm>
                          <a:prstGeom prst="rect">
                            <a:avLst/>
                          </a:prstGeom>
                        </pic:spPr>
                      </pic:pic>
                    </a:graphicData>
                  </a:graphic>
                </wp:inline>
              </w:drawing>
            </w:r>
            <w:r>
              <w:rPr>
                <w:noProof/>
              </w:rPr>
              <w:t xml:space="preserve"> </w:t>
            </w:r>
            <w:r w:rsidRPr="00843C89">
              <w:rPr>
                <w:noProof/>
                <w:sz w:val="20"/>
                <w:szCs w:val="20"/>
              </w:rPr>
              <w:drawing>
                <wp:inline distT="0" distB="0" distL="0" distR="0" wp14:anchorId="4B135638" wp14:editId="6BDA6316">
                  <wp:extent cx="3057525" cy="1296520"/>
                  <wp:effectExtent l="0" t="0" r="0" b="0"/>
                  <wp:docPr id="172341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41387" name=""/>
                          <pic:cNvPicPr/>
                        </pic:nvPicPr>
                        <pic:blipFill>
                          <a:blip r:embed="rId13"/>
                          <a:stretch>
                            <a:fillRect/>
                          </a:stretch>
                        </pic:blipFill>
                        <pic:spPr>
                          <a:xfrm>
                            <a:off x="0" y="0"/>
                            <a:ext cx="3077672" cy="1305063"/>
                          </a:xfrm>
                          <a:prstGeom prst="rect">
                            <a:avLst/>
                          </a:prstGeom>
                        </pic:spPr>
                      </pic:pic>
                    </a:graphicData>
                  </a:graphic>
                </wp:inline>
              </w:drawing>
            </w:r>
            <w:r>
              <w:rPr>
                <w:noProof/>
              </w:rPr>
              <w:t xml:space="preserve"> </w:t>
            </w:r>
            <w:r w:rsidRPr="00843C89">
              <w:rPr>
                <w:noProof/>
              </w:rPr>
              <w:drawing>
                <wp:inline distT="0" distB="0" distL="0" distR="0" wp14:anchorId="11E5E1DE" wp14:editId="45FD5B85">
                  <wp:extent cx="1076325" cy="956269"/>
                  <wp:effectExtent l="0" t="0" r="0" b="0"/>
                  <wp:docPr id="15706726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672679" name=""/>
                          <pic:cNvPicPr/>
                        </pic:nvPicPr>
                        <pic:blipFill>
                          <a:blip r:embed="rId14"/>
                          <a:stretch>
                            <a:fillRect/>
                          </a:stretch>
                        </pic:blipFill>
                        <pic:spPr>
                          <a:xfrm>
                            <a:off x="0" y="0"/>
                            <a:ext cx="1089984" cy="968405"/>
                          </a:xfrm>
                          <a:prstGeom prst="rect">
                            <a:avLst/>
                          </a:prstGeom>
                        </pic:spPr>
                      </pic:pic>
                    </a:graphicData>
                  </a:graphic>
                </wp:inline>
              </w:drawing>
            </w:r>
            <w:r>
              <w:rPr>
                <w:noProof/>
              </w:rPr>
              <w:t xml:space="preserve"> </w:t>
            </w:r>
            <w:r w:rsidRPr="00843C89">
              <w:rPr>
                <w:noProof/>
              </w:rPr>
              <w:drawing>
                <wp:inline distT="0" distB="0" distL="0" distR="0" wp14:anchorId="2BFACE43" wp14:editId="5C992672">
                  <wp:extent cx="1215441" cy="1034415"/>
                  <wp:effectExtent l="0" t="0" r="3810" b="0"/>
                  <wp:docPr id="11719071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07137" name=""/>
                          <pic:cNvPicPr/>
                        </pic:nvPicPr>
                        <pic:blipFill>
                          <a:blip r:embed="rId15"/>
                          <a:stretch>
                            <a:fillRect/>
                          </a:stretch>
                        </pic:blipFill>
                        <pic:spPr>
                          <a:xfrm>
                            <a:off x="0" y="0"/>
                            <a:ext cx="1227192" cy="1044416"/>
                          </a:xfrm>
                          <a:prstGeom prst="rect">
                            <a:avLst/>
                          </a:prstGeom>
                        </pic:spPr>
                      </pic:pic>
                    </a:graphicData>
                  </a:graphic>
                </wp:inline>
              </w:drawing>
            </w:r>
            <w:r>
              <w:rPr>
                <w:noProof/>
              </w:rPr>
              <w:t xml:space="preserve"> </w:t>
            </w:r>
            <w:r>
              <w:rPr>
                <w:noProof/>
              </w:rPr>
              <w:drawing>
                <wp:inline distT="0" distB="0" distL="0" distR="0" wp14:anchorId="2B36FFE0" wp14:editId="155247D2">
                  <wp:extent cx="1907347" cy="1072883"/>
                  <wp:effectExtent l="0" t="0" r="0" b="0"/>
                  <wp:docPr id="1101044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044573" name=""/>
                          <pic:cNvPicPr/>
                        </pic:nvPicPr>
                        <pic:blipFill>
                          <a:blip r:embed="rId16"/>
                          <a:stretch>
                            <a:fillRect/>
                          </a:stretch>
                        </pic:blipFill>
                        <pic:spPr>
                          <a:xfrm>
                            <a:off x="0" y="0"/>
                            <a:ext cx="1923730" cy="1082098"/>
                          </a:xfrm>
                          <a:prstGeom prst="rect">
                            <a:avLst/>
                          </a:prstGeom>
                        </pic:spPr>
                      </pic:pic>
                    </a:graphicData>
                  </a:graphic>
                </wp:inline>
              </w:drawing>
            </w:r>
          </w:p>
        </w:tc>
      </w:tr>
    </w:tbl>
    <w:p w14:paraId="23E3FE7D" w14:textId="77777777" w:rsidR="002826F0" w:rsidRPr="00055F3B" w:rsidRDefault="002826F0" w:rsidP="00F64869">
      <w:pPr>
        <w:spacing w:after="0" w:line="360" w:lineRule="auto"/>
        <w:jc w:val="center"/>
        <w:rPr>
          <w:rFonts w:cs="Arial"/>
          <w:b/>
          <w:sz w:val="28"/>
          <w:szCs w:val="28"/>
        </w:rPr>
      </w:pPr>
    </w:p>
    <w:p w14:paraId="7E433A95" w14:textId="77777777" w:rsidR="00E57D43" w:rsidRPr="00055F3B" w:rsidRDefault="00E57D43" w:rsidP="00E57D43">
      <w:pPr>
        <w:spacing w:after="0" w:line="360" w:lineRule="auto"/>
        <w:jc w:val="left"/>
        <w:rPr>
          <w:rFonts w:cs="Arial"/>
          <w:b/>
          <w:sz w:val="20"/>
          <w:szCs w:val="20"/>
        </w:rPr>
      </w:pPr>
      <w:r w:rsidRPr="00055F3B">
        <w:rPr>
          <w:rFonts w:cs="Arial"/>
          <w:b/>
          <w:sz w:val="20"/>
          <w:szCs w:val="20"/>
        </w:rPr>
        <w:t>Firmas de los estudiantes:</w:t>
      </w:r>
    </w:p>
    <w:tbl>
      <w:tblPr>
        <w:tblStyle w:val="Tablaconcuadrcula"/>
        <w:tblW w:w="3397" w:type="dxa"/>
        <w:jc w:val="center"/>
        <w:tblLook w:val="04A0" w:firstRow="1" w:lastRow="0" w:firstColumn="1" w:lastColumn="0" w:noHBand="0" w:noVBand="1"/>
      </w:tblPr>
      <w:tblGrid>
        <w:gridCol w:w="3397"/>
      </w:tblGrid>
      <w:tr w:rsidR="00843C89" w:rsidRPr="00055F3B" w14:paraId="0AF76558" w14:textId="77777777" w:rsidTr="00843C89">
        <w:trPr>
          <w:trHeight w:val="531"/>
          <w:jc w:val="center"/>
        </w:trPr>
        <w:tc>
          <w:tcPr>
            <w:tcW w:w="3397" w:type="dxa"/>
            <w:vAlign w:val="center"/>
          </w:tcPr>
          <w:p w14:paraId="284991F2" w14:textId="12DF8EAA" w:rsidR="00843C89" w:rsidRPr="00055F3B" w:rsidRDefault="00843C89" w:rsidP="00526DF4">
            <w:pPr>
              <w:spacing w:line="360" w:lineRule="auto"/>
              <w:jc w:val="left"/>
              <w:rPr>
                <w:rFonts w:cs="Arial"/>
                <w:bCs/>
                <w:color w:val="7F7F7F" w:themeColor="text1" w:themeTint="80"/>
                <w:sz w:val="14"/>
                <w:szCs w:val="14"/>
              </w:rPr>
            </w:pPr>
            <w:r w:rsidRPr="00055F3B">
              <w:rPr>
                <w:rFonts w:cs="Arial"/>
                <w:bCs/>
                <w:color w:val="7F7F7F" w:themeColor="text1" w:themeTint="80"/>
                <w:sz w:val="14"/>
                <w:szCs w:val="14"/>
              </w:rPr>
              <w:t>Nombre estudiante:</w:t>
            </w:r>
            <w:r>
              <w:rPr>
                <w:rFonts w:cs="Arial"/>
                <w:bCs/>
                <w:color w:val="7F7F7F" w:themeColor="text1" w:themeTint="80"/>
                <w:sz w:val="14"/>
                <w:szCs w:val="14"/>
              </w:rPr>
              <w:t xml:space="preserve"> </w:t>
            </w:r>
            <w:r>
              <w:rPr>
                <w:rFonts w:cs="Arial"/>
                <w:bCs/>
                <w:color w:val="7F7F7F" w:themeColor="text1" w:themeTint="80"/>
                <w:sz w:val="14"/>
                <w:szCs w:val="14"/>
              </w:rPr>
              <w:br/>
              <w:t>MINAYA GARCIA CRISTOPHER JEFFERSON</w:t>
            </w:r>
          </w:p>
        </w:tc>
      </w:tr>
    </w:tbl>
    <w:p w14:paraId="0D45CBFD" w14:textId="77777777" w:rsidR="00C44AC0" w:rsidRPr="00055F3B" w:rsidRDefault="00C44AC0" w:rsidP="00C44AC0">
      <w:pPr>
        <w:spacing w:after="0" w:line="360" w:lineRule="auto"/>
        <w:jc w:val="left"/>
        <w:rPr>
          <w:rFonts w:cs="Arial"/>
          <w:b/>
          <w:sz w:val="20"/>
          <w:szCs w:val="20"/>
        </w:rPr>
      </w:pPr>
    </w:p>
    <w:p w14:paraId="30C569E9" w14:textId="09A0F445" w:rsidR="00C44AC0" w:rsidRPr="00055F3B" w:rsidRDefault="00C44AC0" w:rsidP="00A81C80">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25" w:color="BFBFBF" w:themeColor="background1" w:themeShade="BF"/>
        </w:pBdr>
        <w:spacing w:after="0" w:line="360" w:lineRule="auto"/>
        <w:jc w:val="left"/>
        <w:rPr>
          <w:rFonts w:cs="Arial"/>
          <w:b/>
          <w:sz w:val="20"/>
          <w:szCs w:val="20"/>
        </w:rPr>
      </w:pPr>
      <w:r w:rsidRPr="00055F3B">
        <w:rPr>
          <w:rFonts w:cs="Arial"/>
          <w:b/>
          <w:sz w:val="20"/>
          <w:szCs w:val="20"/>
        </w:rPr>
        <w:t>Responsable</w:t>
      </w:r>
      <w:r w:rsidR="00E57D43" w:rsidRPr="00055F3B">
        <w:rPr>
          <w:rFonts w:cs="Arial"/>
          <w:b/>
          <w:sz w:val="20"/>
          <w:szCs w:val="20"/>
        </w:rPr>
        <w:t xml:space="preserve"> UEA</w:t>
      </w:r>
    </w:p>
    <w:p w14:paraId="6BF0C69C" w14:textId="0AA7A528" w:rsidR="00C44AC0" w:rsidRPr="00BF04AC" w:rsidRDefault="00C44AC0" w:rsidP="004839C8">
      <w:pPr>
        <w:pBdr>
          <w:top w:val="single" w:sz="4" w:space="1" w:color="BFBFBF" w:themeColor="background1" w:themeShade="BF"/>
          <w:left w:val="single" w:sz="4" w:space="4" w:color="BFBFBF" w:themeColor="background1" w:themeShade="BF"/>
          <w:bottom w:val="single" w:sz="4" w:space="1" w:color="BFBFBF" w:themeColor="background1" w:themeShade="BF"/>
          <w:right w:val="single" w:sz="4" w:space="25" w:color="BFBFBF" w:themeColor="background1" w:themeShade="BF"/>
        </w:pBdr>
        <w:spacing w:after="0" w:line="360" w:lineRule="auto"/>
        <w:jc w:val="left"/>
        <w:rPr>
          <w:rFonts w:cs="Arial"/>
          <w:bCs/>
          <w:color w:val="BFBFBF" w:themeColor="background1" w:themeShade="BF"/>
          <w:sz w:val="22"/>
          <w:szCs w:val="20"/>
          <w:lang w:val="es-EC"/>
        </w:rPr>
      </w:pPr>
      <w:r w:rsidRPr="00055F3B">
        <w:rPr>
          <w:rFonts w:cs="Arial"/>
          <w:b/>
          <w:sz w:val="20"/>
          <w:szCs w:val="20"/>
        </w:rPr>
        <w:t>Docente:</w:t>
      </w:r>
      <w:r w:rsidR="00843C89" w:rsidRPr="00843C89">
        <w:t xml:space="preserve"> </w:t>
      </w:r>
      <w:r w:rsidR="00843C89" w:rsidRPr="00843C89">
        <w:rPr>
          <w:rFonts w:cs="Arial"/>
          <w:b/>
          <w:sz w:val="20"/>
          <w:szCs w:val="20"/>
        </w:rPr>
        <w:t>Carlos Manuel Zambrano Loja</w:t>
      </w:r>
    </w:p>
    <w:sectPr w:rsidR="00C44AC0" w:rsidRPr="00BF04AC" w:rsidSect="00340592">
      <w:headerReference w:type="default" r:id="rId17"/>
      <w:pgSz w:w="12242" w:h="15842" w:code="1"/>
      <w:pgMar w:top="2410" w:right="1701" w:bottom="2127"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D57A4" w14:textId="77777777" w:rsidR="00B671E2" w:rsidRPr="00055F3B" w:rsidRDefault="00B671E2">
      <w:pPr>
        <w:spacing w:after="0" w:line="240" w:lineRule="auto"/>
      </w:pPr>
      <w:r w:rsidRPr="00055F3B">
        <w:separator/>
      </w:r>
    </w:p>
  </w:endnote>
  <w:endnote w:type="continuationSeparator" w:id="0">
    <w:p w14:paraId="354C3282" w14:textId="77777777" w:rsidR="00B671E2" w:rsidRPr="00055F3B" w:rsidRDefault="00B671E2">
      <w:pPr>
        <w:spacing w:after="0" w:line="240" w:lineRule="auto"/>
      </w:pPr>
      <w:r w:rsidRPr="00055F3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FE77A1" w14:textId="77777777" w:rsidR="00B671E2" w:rsidRPr="00055F3B" w:rsidRDefault="00B671E2">
      <w:pPr>
        <w:spacing w:after="0" w:line="240" w:lineRule="auto"/>
      </w:pPr>
      <w:r w:rsidRPr="00055F3B">
        <w:separator/>
      </w:r>
    </w:p>
  </w:footnote>
  <w:footnote w:type="continuationSeparator" w:id="0">
    <w:p w14:paraId="487BB280" w14:textId="77777777" w:rsidR="00B671E2" w:rsidRPr="00055F3B" w:rsidRDefault="00B671E2">
      <w:pPr>
        <w:spacing w:after="0" w:line="240" w:lineRule="auto"/>
      </w:pPr>
      <w:r w:rsidRPr="00055F3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984A4" w14:textId="77777777" w:rsidR="00430896" w:rsidRPr="00055F3B" w:rsidRDefault="00701A70">
    <w:pPr>
      <w:pStyle w:val="Encabezado"/>
    </w:pPr>
    <w:r w:rsidRPr="00055F3B">
      <w:rPr>
        <w:noProof/>
        <w:lang w:eastAsia="es-EC"/>
      </w:rPr>
      <w:drawing>
        <wp:anchor distT="0" distB="0" distL="114300" distR="114300" simplePos="0" relativeHeight="251659264" behindDoc="1" locked="0" layoutInCell="1" allowOverlap="1" wp14:anchorId="14FAE4BD" wp14:editId="7825D809">
          <wp:simplePos x="0" y="0"/>
          <wp:positionH relativeFrom="margin">
            <wp:align>center</wp:align>
          </wp:positionH>
          <wp:positionV relativeFrom="paragraph">
            <wp:posOffset>-99695</wp:posOffset>
          </wp:positionV>
          <wp:extent cx="7782180" cy="10050145"/>
          <wp:effectExtent l="0" t="0" r="9525" b="8255"/>
          <wp:wrapNone/>
          <wp:docPr id="1757206465" name="Imagen 1757206465"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Interfaz de usuario gráfica&#10;&#10;Descripción generada automáticamente"/>
                  <pic:cNvPicPr/>
                </pic:nvPicPr>
                <pic:blipFill rotWithShape="1">
                  <a:blip r:embed="rId1" cstate="print">
                    <a:extLst>
                      <a:ext uri="{28A0092B-C50C-407E-A947-70E740481C1C}">
                        <a14:useLocalDpi xmlns:a14="http://schemas.microsoft.com/office/drawing/2010/main" val="0"/>
                      </a:ext>
                    </a:extLst>
                  </a:blip>
                  <a:srcRect t="4265"/>
                  <a:stretch/>
                </pic:blipFill>
                <pic:spPr bwMode="auto">
                  <a:xfrm>
                    <a:off x="0" y="0"/>
                    <a:ext cx="7782180" cy="100501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71B8C"/>
    <w:multiLevelType w:val="multilevel"/>
    <w:tmpl w:val="F35233E2"/>
    <w:lvl w:ilvl="0">
      <w:start w:val="1"/>
      <w:numFmt w:val="decimal"/>
      <w:lvlText w:val="%1"/>
      <w:lvlJc w:val="left"/>
      <w:pPr>
        <w:ind w:left="360" w:hanging="360"/>
      </w:pPr>
      <w:rPr>
        <w:rFonts w:hint="default"/>
      </w:rPr>
    </w:lvl>
    <w:lvl w:ilvl="1">
      <w:start w:val="1"/>
      <w:numFmt w:val="decimal"/>
      <w:lvlText w:val="%1.%2"/>
      <w:lvlJc w:val="left"/>
      <w:pPr>
        <w:ind w:left="1065" w:hanging="360"/>
      </w:pPr>
      <w:rPr>
        <w:rFonts w:hint="default"/>
      </w:rPr>
    </w:lvl>
    <w:lvl w:ilvl="2">
      <w:start w:val="1"/>
      <w:numFmt w:val="decimal"/>
      <w:lvlText w:val="%1.%2.%3"/>
      <w:lvlJc w:val="left"/>
      <w:pPr>
        <w:ind w:left="2130" w:hanging="720"/>
      </w:pPr>
      <w:rPr>
        <w:rFonts w:hint="default"/>
      </w:rPr>
    </w:lvl>
    <w:lvl w:ilvl="3">
      <w:start w:val="1"/>
      <w:numFmt w:val="decimal"/>
      <w:lvlText w:val="%1.%2.%3.%4"/>
      <w:lvlJc w:val="left"/>
      <w:pPr>
        <w:ind w:left="2835" w:hanging="720"/>
      </w:pPr>
      <w:rPr>
        <w:rFonts w:hint="default"/>
      </w:rPr>
    </w:lvl>
    <w:lvl w:ilvl="4">
      <w:start w:val="1"/>
      <w:numFmt w:val="decimal"/>
      <w:lvlText w:val="%1.%2.%3.%4.%5"/>
      <w:lvlJc w:val="left"/>
      <w:pPr>
        <w:ind w:left="3540" w:hanging="720"/>
      </w:pPr>
      <w:rPr>
        <w:rFonts w:hint="default"/>
      </w:rPr>
    </w:lvl>
    <w:lvl w:ilvl="5">
      <w:start w:val="1"/>
      <w:numFmt w:val="decimal"/>
      <w:lvlText w:val="%1.%2.%3.%4.%5.%6"/>
      <w:lvlJc w:val="left"/>
      <w:pPr>
        <w:ind w:left="4605" w:hanging="1080"/>
      </w:pPr>
      <w:rPr>
        <w:rFonts w:hint="default"/>
      </w:rPr>
    </w:lvl>
    <w:lvl w:ilvl="6">
      <w:start w:val="1"/>
      <w:numFmt w:val="decimal"/>
      <w:lvlText w:val="%1.%2.%3.%4.%5.%6.%7"/>
      <w:lvlJc w:val="left"/>
      <w:pPr>
        <w:ind w:left="5310" w:hanging="1080"/>
      </w:pPr>
      <w:rPr>
        <w:rFonts w:hint="default"/>
      </w:rPr>
    </w:lvl>
    <w:lvl w:ilvl="7">
      <w:start w:val="1"/>
      <w:numFmt w:val="decimal"/>
      <w:lvlText w:val="%1.%2.%3.%4.%5.%6.%7.%8"/>
      <w:lvlJc w:val="left"/>
      <w:pPr>
        <w:ind w:left="6375" w:hanging="1440"/>
      </w:pPr>
      <w:rPr>
        <w:rFonts w:hint="default"/>
      </w:rPr>
    </w:lvl>
    <w:lvl w:ilvl="8">
      <w:start w:val="1"/>
      <w:numFmt w:val="decimal"/>
      <w:lvlText w:val="%1.%2.%3.%4.%5.%6.%7.%8.%9"/>
      <w:lvlJc w:val="left"/>
      <w:pPr>
        <w:ind w:left="7080" w:hanging="1440"/>
      </w:pPr>
      <w:rPr>
        <w:rFonts w:hint="default"/>
      </w:rPr>
    </w:lvl>
  </w:abstractNum>
  <w:abstractNum w:abstractNumId="1" w15:restartNumberingAfterBreak="0">
    <w:nsid w:val="4B3E57DA"/>
    <w:multiLevelType w:val="hybridMultilevel"/>
    <w:tmpl w:val="35A08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CB7CEA"/>
    <w:multiLevelType w:val="hybridMultilevel"/>
    <w:tmpl w:val="E7181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2499417">
    <w:abstractNumId w:val="1"/>
  </w:num>
  <w:num w:numId="2" w16cid:durableId="2035380471">
    <w:abstractNumId w:val="2"/>
  </w:num>
  <w:num w:numId="3" w16cid:durableId="1735548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132"/>
    <w:rsid w:val="00055F3B"/>
    <w:rsid w:val="000A0382"/>
    <w:rsid w:val="000F50F9"/>
    <w:rsid w:val="001860AE"/>
    <w:rsid w:val="002826F0"/>
    <w:rsid w:val="002D3253"/>
    <w:rsid w:val="003328B3"/>
    <w:rsid w:val="00340592"/>
    <w:rsid w:val="003A7456"/>
    <w:rsid w:val="00430896"/>
    <w:rsid w:val="004839C8"/>
    <w:rsid w:val="004B1132"/>
    <w:rsid w:val="004D091C"/>
    <w:rsid w:val="004F46FE"/>
    <w:rsid w:val="004F4B3F"/>
    <w:rsid w:val="00526DF4"/>
    <w:rsid w:val="00625A77"/>
    <w:rsid w:val="006403BB"/>
    <w:rsid w:val="006C5923"/>
    <w:rsid w:val="006D3AF7"/>
    <w:rsid w:val="00701A70"/>
    <w:rsid w:val="00734FC8"/>
    <w:rsid w:val="007C4EE1"/>
    <w:rsid w:val="007F2800"/>
    <w:rsid w:val="00802333"/>
    <w:rsid w:val="00843C89"/>
    <w:rsid w:val="008537A6"/>
    <w:rsid w:val="008E0429"/>
    <w:rsid w:val="009260EE"/>
    <w:rsid w:val="00955663"/>
    <w:rsid w:val="00A81C80"/>
    <w:rsid w:val="00B54F50"/>
    <w:rsid w:val="00B671E2"/>
    <w:rsid w:val="00BD50CF"/>
    <w:rsid w:val="00BD61D5"/>
    <w:rsid w:val="00BF04AC"/>
    <w:rsid w:val="00C44AC0"/>
    <w:rsid w:val="00D14755"/>
    <w:rsid w:val="00D82852"/>
    <w:rsid w:val="00DA178F"/>
    <w:rsid w:val="00DC070E"/>
    <w:rsid w:val="00E40309"/>
    <w:rsid w:val="00E57D43"/>
    <w:rsid w:val="00E66F32"/>
    <w:rsid w:val="00F56282"/>
    <w:rsid w:val="00F6486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592C5"/>
  <w15:chartTrackingRefBased/>
  <w15:docId w15:val="{C6A3955F-601C-418A-AA0D-9EAE57441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1132"/>
    <w:pPr>
      <w:jc w:val="both"/>
    </w:pPr>
    <w:rPr>
      <w:rFonts w:ascii="Arial" w:hAnsi="Arial"/>
      <w:sz w:val="24"/>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B113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1132"/>
    <w:rPr>
      <w:rFonts w:ascii="Arial" w:hAnsi="Arial"/>
      <w:sz w:val="24"/>
      <w:lang w:val="en-US"/>
    </w:rPr>
  </w:style>
  <w:style w:type="table" w:styleId="Tablaconcuadrcula">
    <w:name w:val="Table Grid"/>
    <w:basedOn w:val="Tablanormal"/>
    <w:uiPriority w:val="39"/>
    <w:rsid w:val="004B1132"/>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F64869"/>
    <w:pPr>
      <w:spacing w:after="0" w:line="240" w:lineRule="auto"/>
    </w:pPr>
    <w:rPr>
      <w:rFonts w:ascii="Calibri" w:eastAsia="Calibri" w:hAnsi="Calibri" w:cs="Times New Roman"/>
    </w:rPr>
  </w:style>
  <w:style w:type="paragraph" w:styleId="NormalWeb">
    <w:name w:val="Normal (Web)"/>
    <w:basedOn w:val="Normal"/>
    <w:uiPriority w:val="99"/>
    <w:unhideWhenUsed/>
    <w:rsid w:val="00F64869"/>
    <w:pPr>
      <w:spacing w:before="100" w:beforeAutospacing="1" w:after="100" w:afterAutospacing="1" w:line="240" w:lineRule="auto"/>
      <w:jc w:val="left"/>
    </w:pPr>
    <w:rPr>
      <w:rFonts w:ascii="Times New Roman" w:eastAsia="Times New Roman" w:hAnsi="Times New Roman" w:cs="Times New Roman"/>
      <w:szCs w:val="24"/>
    </w:rPr>
  </w:style>
  <w:style w:type="paragraph" w:styleId="Prrafodelista">
    <w:name w:val="List Paragraph"/>
    <w:basedOn w:val="Normal"/>
    <w:uiPriority w:val="34"/>
    <w:qFormat/>
    <w:rsid w:val="006C5923"/>
    <w:pPr>
      <w:ind w:left="720"/>
      <w:contextualSpacing/>
    </w:pPr>
  </w:style>
  <w:style w:type="character" w:styleId="Refdecomentario">
    <w:name w:val="annotation reference"/>
    <w:basedOn w:val="Fuentedeprrafopredeter"/>
    <w:uiPriority w:val="99"/>
    <w:semiHidden/>
    <w:unhideWhenUsed/>
    <w:rsid w:val="007C4EE1"/>
    <w:rPr>
      <w:sz w:val="16"/>
      <w:szCs w:val="16"/>
    </w:rPr>
  </w:style>
  <w:style w:type="paragraph" w:styleId="Textocomentario">
    <w:name w:val="annotation text"/>
    <w:basedOn w:val="Normal"/>
    <w:link w:val="TextocomentarioCar"/>
    <w:uiPriority w:val="99"/>
    <w:unhideWhenUsed/>
    <w:rsid w:val="007C4EE1"/>
    <w:pPr>
      <w:spacing w:line="240" w:lineRule="auto"/>
    </w:pPr>
    <w:rPr>
      <w:sz w:val="20"/>
      <w:szCs w:val="20"/>
    </w:rPr>
  </w:style>
  <w:style w:type="character" w:customStyle="1" w:styleId="TextocomentarioCar">
    <w:name w:val="Texto comentario Car"/>
    <w:basedOn w:val="Fuentedeprrafopredeter"/>
    <w:link w:val="Textocomentario"/>
    <w:uiPriority w:val="99"/>
    <w:rsid w:val="007C4EE1"/>
    <w:rPr>
      <w:rFonts w:ascii="Arial" w:hAnsi="Arial"/>
      <w:sz w:val="20"/>
      <w:szCs w:val="20"/>
      <w:lang w:val="en-US"/>
    </w:rPr>
  </w:style>
  <w:style w:type="paragraph" w:styleId="Asuntodelcomentario">
    <w:name w:val="annotation subject"/>
    <w:basedOn w:val="Textocomentario"/>
    <w:next w:val="Textocomentario"/>
    <w:link w:val="AsuntodelcomentarioCar"/>
    <w:uiPriority w:val="99"/>
    <w:semiHidden/>
    <w:unhideWhenUsed/>
    <w:rsid w:val="007C4EE1"/>
    <w:rPr>
      <w:b/>
      <w:bCs/>
    </w:rPr>
  </w:style>
  <w:style w:type="character" w:customStyle="1" w:styleId="AsuntodelcomentarioCar">
    <w:name w:val="Asunto del comentario Car"/>
    <w:basedOn w:val="TextocomentarioCar"/>
    <w:link w:val="Asuntodelcomentario"/>
    <w:uiPriority w:val="99"/>
    <w:semiHidden/>
    <w:rsid w:val="007C4EE1"/>
    <w:rPr>
      <w:rFonts w:ascii="Arial" w:hAnsi="Arial"/>
      <w:b/>
      <w:bCs/>
      <w:sz w:val="20"/>
      <w:szCs w:val="20"/>
      <w:lang w:val="en-US"/>
    </w:rPr>
  </w:style>
  <w:style w:type="character" w:styleId="Hipervnculo">
    <w:name w:val="Hyperlink"/>
    <w:basedOn w:val="Fuentedeprrafopredeter"/>
    <w:uiPriority w:val="99"/>
    <w:unhideWhenUsed/>
    <w:rsid w:val="00055F3B"/>
    <w:rPr>
      <w:color w:val="0563C1" w:themeColor="hyperlink"/>
      <w:u w:val="single"/>
    </w:rPr>
  </w:style>
  <w:style w:type="character" w:styleId="Mencinsinresolver">
    <w:name w:val="Unresolved Mention"/>
    <w:basedOn w:val="Fuentedeprrafopredeter"/>
    <w:uiPriority w:val="99"/>
    <w:semiHidden/>
    <w:unhideWhenUsed/>
    <w:rsid w:val="00055F3B"/>
    <w:rPr>
      <w:color w:val="605E5C"/>
      <w:shd w:val="clear" w:color="auto" w:fill="E1DFDD"/>
    </w:rPr>
  </w:style>
  <w:style w:type="table" w:styleId="Tablaconcuadrculaclara">
    <w:name w:val="Grid Table Light"/>
    <w:basedOn w:val="Tablanormal"/>
    <w:uiPriority w:val="40"/>
    <w:rsid w:val="00055F3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055F3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vnculovisitado">
    <w:name w:val="FollowedHyperlink"/>
    <w:basedOn w:val="Fuentedeprrafopredeter"/>
    <w:uiPriority w:val="99"/>
    <w:semiHidden/>
    <w:unhideWhenUsed/>
    <w:rsid w:val="00843C8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6028/NIST.AI.100-1"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ri.gob.ec/"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doi.org/10.1787/3adf705b-en"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i.org/10.1787/34907e9c-en" TargetMode="Externa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8</Pages>
  <Words>2848</Words>
  <Characters>15665</Characters>
  <Application>Microsoft Office Word</Application>
  <DocSecurity>0</DocSecurity>
  <Lines>130</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ESCOBAR NATALIE BETZABE</dc:creator>
  <cp:keywords/>
  <dc:description/>
  <cp:lastModifiedBy>MINAYA GARCIA JEFFERSON CRISTOPHER</cp:lastModifiedBy>
  <cp:revision>3</cp:revision>
  <cp:lastPrinted>2026-10-02T05:33:00Z</cp:lastPrinted>
  <dcterms:created xsi:type="dcterms:W3CDTF">2026-09-15T23:51:00Z</dcterms:created>
  <dcterms:modified xsi:type="dcterms:W3CDTF">2026-10-02T05:33:00Z</dcterms:modified>
</cp:coreProperties>
</file>