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2"/>
          <w:szCs w:val="32"/>
        </w:rPr>
        <w:t xml:space="preserve">Label agreement and baseline model confidence</w:t>
      </w:r>
    </w:p>
    <w:p>
      <w:pPr>
        <w:spacing w:after="400"/>
        <w:jc w:val="center"/>
      </w:pPr>
      <w:r>
        <w:rPr>
          <w:color w:val="666666"/>
          <w:sz w:val="22"/>
          <w:szCs w:val="22"/>
        </w:rPr>
        <w:t xml:space="preserve">PA vs. PR-AUC consistency analysis, baseline_fine138_kfold</w:t>
      </w:r>
    </w:p>
    <w:p>
      <w:pPr>
        <w:pStyle w:val="Heading1"/>
        <w:spacing w:after="150" w:before="300"/>
      </w:pPr>
      <w:r>
        <w:t xml:space="preserve">1. Purpose</w:t>
      </w:r>
    </w:p>
    <w:p>
      <w:pPr>
        <w:spacing w:after="160"/>
      </w:pPr>
      <w:r>
        <w:t xml:space="preserve">This note documents a consistency check between the inter-dataset label agreement metric (Positive Specific Agreement, PA, between Goodscents and Leffingwell) and the baseline models' per-label PR-AUC on the 138 fine odor labels. The aim is to establish whether PA can be used as an independent signal for setting confidence thresholds on model predictions, and to propose a concrete threshold scheme.</w:t>
      </w:r>
    </w:p>
    <w:p>
      <w:pPr>
        <w:pStyle w:val="Heading1"/>
        <w:spacing w:after="150" w:before="300"/>
      </w:pPr>
      <w:r>
        <w:t xml:space="preserve">2. Data and method</w:t>
      </w:r>
    </w:p>
    <w:p>
      <w:pPr>
        <w:spacing w:after="160"/>
      </w:pPr>
      <w:r>
        <w:t xml:space="preserve">PA and n_PA (the number of molecules in the Goodscents/Leffingwell intersection for that label) come from the label-consistency notebook. Per-label PR-AUC comes from baseline_fine138_kfold_all_results.csv, aggregated to the best configuration (by mean PR-AUC across 5 folds) per model per label, then further reduced to the single best model per label. Labels were matched by name after stripping the fine_ prefix used in the baseline results file; all 138 labels matched cleanly with no naming discrepancies.</w:t>
      </w:r>
    </w:p>
    <w:p>
      <w:pPr>
        <w:spacing w:after="160"/>
      </w:pPr>
      <w:r>
        <w:t xml:space="preserve">8 of the 138 labels have zero molecules in the Goodscents/Leffingwell intersection (bergamot, cedar, cinnamon, clove, hawthorn, sandalwood, smoky, vetiver), so PA is undefined for them. These are excluded from all PA-based statistics below but remain in the PR-AUC-only threshold analysis (Scenario A).</w:t>
      </w:r>
    </w:p>
    <w:p>
      <w:pPr>
        <w:pStyle w:val="Heading1"/>
        <w:spacing w:after="150" w:before="300"/>
      </w:pPr>
      <w:r>
        <w:t xml:space="preserve">3. Headline finding: PA and PR-AUC are correlated</w:t>
      </w:r>
    </w:p>
    <w:p>
      <w:pPr>
        <w:spacing w:after="160"/>
      </w:pPr>
      <w:r>
        <w:t xml:space="preserve">Across the 130 labels with a defined PA, PA and baseline PR-AUC are positively and significantly correlated (Spearman rho = 0.396, p = 3.1e-06). Labels where the two source datasets agree more about which molecules carry a given descriptor also tend to be labels the baseline models predict more accurately.</w:t>
      </w:r>
    </w:p>
    <w:p>
      <w:pPr>
        <w:spacing w:after="200" w:before="100"/>
        <w:jc w:val="center"/>
      </w:pPr>
      <w:r>
        <w:drawing>
          <wp:inline distT="0" distB="0" distL="0" distR="0">
            <wp:extent cx="4953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714750"/>
                    </a:xfrm>
                    <a:prstGeom prst="rect">
                      <a:avLst/>
                    </a:prstGeom>
                  </pic:spPr>
                </pic:pic>
              </a:graphicData>
            </a:graphic>
          </wp:inline>
        </w:drawing>
      </w:r>
    </w:p>
    <w:p>
      <w:pPr>
        <w:pStyle w:val="Heading1"/>
        <w:spacing w:after="150" w:before="300"/>
      </w:pPr>
      <w:r>
        <w:t xml:space="preserve">4. Ruling out the small-n confound</w:t>
      </w:r>
    </w:p>
    <w:p>
      <w:pPr>
        <w:spacing w:after="160"/>
      </w:pPr>
      <w:r>
        <w:t xml:space="preserve">Because n_PA is small for most labels (median 16.5, many below 10), a natural concern is that the correlation is an artifact: small n_PA makes PA noisy, and small label counts also tend to make PR-AUC worse, so both could be driven by the same underlying scarcity rather than by any real relationship between agreement and predictability.</w:t>
      </w:r>
    </w:p>
    <w:p>
      <w:pPr>
        <w:spacing w:after="160"/>
      </w:pPr>
      <w:r>
        <w:t xml:space="preserve">This concern does not hold up. n_PA does correlate with both PA and PR-AUC individually, confirming the scarcity effect is real, but the PA-PR-AUC correlation survives controlling for n_PA (partial rho = 0.229, p = 8.8e-03), and it gets stronger, not weaker, when the analysis is restricted to higher-n_PA labels. This is the opposite of what a pure small-sample artifact would produce.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2000"/>
        <w:gridCol w:w="2000"/>
      </w:tblGrid>
      <w:tr>
        <w:tc>
          <w:tcPr>
            <w:tcW w:type="dxa" w:w="5350"/>
            <w:shd w:fill="1F3864" w:val="clear"/>
          </w:tcPr>
          <w:p>
            <w:r>
              <w:rPr>
                <w:b/>
                <w:bCs/>
                <w:color w:val="FFFFFF"/>
                <w:sz w:val="20"/>
                <w:szCs w:val="20"/>
              </w:rPr>
              <w:t xml:space="preserve">Test</w:t>
            </w:r>
          </w:p>
        </w:tc>
        <w:tc>
          <w:tcPr>
            <w:tcW w:type="dxa" w:w="2000"/>
            <w:shd w:fill="1F3864" w:val="clear"/>
          </w:tcPr>
          <w:p>
            <w:r>
              <w:rPr>
                <w:b/>
                <w:bCs/>
                <w:color w:val="FFFFFF"/>
                <w:sz w:val="20"/>
                <w:szCs w:val="20"/>
              </w:rPr>
              <w:t xml:space="preserve">rho</w:t>
            </w:r>
          </w:p>
        </w:tc>
        <w:tc>
          <w:tcPr>
            <w:tcW w:type="dxa" w:w="2000"/>
            <w:shd w:fill="1F3864" w:val="clear"/>
          </w:tcPr>
          <w:p>
            <w:r>
              <w:rPr>
                <w:b/>
                <w:bCs/>
                <w:color w:val="FFFFFF"/>
                <w:sz w:val="20"/>
                <w:szCs w:val="20"/>
              </w:rPr>
              <w:t xml:space="preserve">p-value</w:t>
            </w:r>
          </w:p>
        </w:tc>
      </w:tr>
      <w:tr>
        <w:tc>
          <w:tcPr>
            <w:tcW w:type="dxa" w:w="5350"/>
          </w:tcPr>
          <w:p>
            <w:r>
              <w:rPr>
                <w:b w:val="false"/>
                <w:bCs w:val="false"/>
                <w:sz w:val="20"/>
                <w:szCs w:val="20"/>
              </w:rPr>
              <w:t xml:space="preserve">PA vs PR-AUC, all 130 labels with defined PA</w:t>
            </w:r>
          </w:p>
        </w:tc>
        <w:tc>
          <w:tcPr>
            <w:tcW w:type="dxa" w:w="2000"/>
          </w:tcPr>
          <w:p>
            <w:r>
              <w:rPr>
                <w:b w:val="false"/>
                <w:bCs w:val="false"/>
                <w:sz w:val="20"/>
                <w:szCs w:val="20"/>
              </w:rPr>
              <w:t xml:space="preserve">0.396</w:t>
            </w:r>
          </w:p>
        </w:tc>
        <w:tc>
          <w:tcPr>
            <w:tcW w:type="dxa" w:w="2000"/>
          </w:tcPr>
          <w:p>
            <w:r>
              <w:rPr>
                <w:b w:val="false"/>
                <w:bCs w:val="false"/>
                <w:sz w:val="20"/>
                <w:szCs w:val="20"/>
              </w:rPr>
              <w:t xml:space="preserve">3.1e-06</w:t>
            </w:r>
          </w:p>
        </w:tc>
      </w:tr>
      <w:tr>
        <w:tc>
          <w:tcPr>
            <w:tcW w:type="dxa" w:w="5350"/>
          </w:tcPr>
          <w:p>
            <w:r>
              <w:rPr>
                <w:b w:val="false"/>
                <w:bCs w:val="false"/>
                <w:sz w:val="20"/>
                <w:szCs w:val="20"/>
              </w:rPr>
              <w:t xml:space="preserve">n_PA vs PA (reliability check)</w:t>
            </w:r>
          </w:p>
        </w:tc>
        <w:tc>
          <w:tcPr>
            <w:tcW w:type="dxa" w:w="2000"/>
          </w:tcPr>
          <w:p>
            <w:r>
              <w:rPr>
                <w:b w:val="false"/>
                <w:bCs w:val="false"/>
                <w:sz w:val="20"/>
                <w:szCs w:val="20"/>
              </w:rPr>
              <w:t xml:space="preserve">0.592</w:t>
            </w:r>
          </w:p>
        </w:tc>
        <w:tc>
          <w:tcPr>
            <w:tcW w:type="dxa" w:w="2000"/>
          </w:tcPr>
          <w:p>
            <w:r>
              <w:rPr>
                <w:b w:val="false"/>
                <w:bCs w:val="false"/>
                <w:sz w:val="20"/>
                <w:szCs w:val="20"/>
              </w:rPr>
              <w:t xml:space="preserve">1.3e-13</w:t>
            </w:r>
          </w:p>
        </w:tc>
      </w:tr>
      <w:tr>
        <w:tc>
          <w:tcPr>
            <w:tcW w:type="dxa" w:w="5350"/>
          </w:tcPr>
          <w:p>
            <w:r>
              <w:rPr>
                <w:b w:val="false"/>
                <w:bCs w:val="false"/>
                <w:sz w:val="20"/>
                <w:szCs w:val="20"/>
              </w:rPr>
              <w:t xml:space="preserve">n_PA vs PR-AUC (scarcity check)</w:t>
            </w:r>
          </w:p>
        </w:tc>
        <w:tc>
          <w:tcPr>
            <w:tcW w:type="dxa" w:w="2000"/>
          </w:tcPr>
          <w:p>
            <w:r>
              <w:rPr>
                <w:b w:val="false"/>
                <w:bCs w:val="false"/>
                <w:sz w:val="20"/>
                <w:szCs w:val="20"/>
              </w:rPr>
              <w:t xml:space="preserve">0.381</w:t>
            </w:r>
          </w:p>
        </w:tc>
        <w:tc>
          <w:tcPr>
            <w:tcW w:type="dxa" w:w="2000"/>
          </w:tcPr>
          <w:p>
            <w:r>
              <w:rPr>
                <w:b w:val="false"/>
                <w:bCs w:val="false"/>
                <w:sz w:val="20"/>
                <w:szCs w:val="20"/>
              </w:rPr>
              <w:t xml:space="preserve">7.9e-06</w:t>
            </w:r>
          </w:p>
        </w:tc>
      </w:tr>
      <w:tr>
        <w:tc>
          <w:tcPr>
            <w:tcW w:type="dxa" w:w="5350"/>
          </w:tcPr>
          <w:p>
            <w:r>
              <w:rPr>
                <w:b w:val="false"/>
                <w:bCs w:val="false"/>
                <w:sz w:val="20"/>
                <w:szCs w:val="20"/>
              </w:rPr>
              <w:t xml:space="preserve">PA vs PR-AUC, controlling for n_PA (partial)</w:t>
            </w:r>
          </w:p>
        </w:tc>
        <w:tc>
          <w:tcPr>
            <w:tcW w:type="dxa" w:w="2000"/>
          </w:tcPr>
          <w:p>
            <w:r>
              <w:rPr>
                <w:b w:val="false"/>
                <w:bCs w:val="false"/>
                <w:sz w:val="20"/>
                <w:szCs w:val="20"/>
              </w:rPr>
              <w:t xml:space="preserve">0.229</w:t>
            </w:r>
          </w:p>
        </w:tc>
        <w:tc>
          <w:tcPr>
            <w:tcW w:type="dxa" w:w="2000"/>
          </w:tcPr>
          <w:p>
            <w:r>
              <w:rPr>
                <w:b w:val="false"/>
                <w:bCs w:val="false"/>
                <w:sz w:val="20"/>
                <w:szCs w:val="20"/>
              </w:rPr>
              <w:t xml:space="preserve">8.8e-03</w:t>
            </w:r>
          </w:p>
        </w:tc>
      </w:tr>
      <w:tr>
        <w:tc>
          <w:tcPr>
            <w:tcW w:type="dxa" w:w="5350"/>
          </w:tcPr>
          <w:p>
            <w:r>
              <w:rPr>
                <w:b w:val="false"/>
                <w:bCs w:val="false"/>
                <w:sz w:val="20"/>
                <w:szCs w:val="20"/>
              </w:rPr>
              <w:t xml:space="preserve">PA vs PR-AUC, n_PA &gt;= 16.5 (median), n=65</w:t>
            </w:r>
          </w:p>
        </w:tc>
        <w:tc>
          <w:tcPr>
            <w:tcW w:type="dxa" w:w="2000"/>
          </w:tcPr>
          <w:p>
            <w:r>
              <w:rPr>
                <w:b w:val="false"/>
                <w:bCs w:val="false"/>
                <w:sz w:val="20"/>
                <w:szCs w:val="20"/>
              </w:rPr>
              <w:t xml:space="preserve">0.428</w:t>
            </w:r>
          </w:p>
        </w:tc>
        <w:tc>
          <w:tcPr>
            <w:tcW w:type="dxa" w:w="2000"/>
          </w:tcPr>
          <w:p>
            <w:r>
              <w:rPr>
                <w:b w:val="false"/>
                <w:bCs w:val="false"/>
                <w:sz w:val="20"/>
                <w:szCs w:val="20"/>
              </w:rPr>
              <w:t xml:space="preserve">3.8e-04</w:t>
            </w:r>
          </w:p>
        </w:tc>
      </w:tr>
      <w:tr>
        <w:tc>
          <w:tcPr>
            <w:tcW w:type="dxa" w:w="5350"/>
          </w:tcPr>
          <w:p>
            <w:r>
              <w:rPr>
                <w:b w:val="false"/>
                <w:bCs w:val="false"/>
                <w:sz w:val="20"/>
                <w:szCs w:val="20"/>
              </w:rPr>
              <w:t xml:space="preserve">PA vs PR-AUC, n_PA &gt;= 50, n=22</w:t>
            </w:r>
          </w:p>
        </w:tc>
        <w:tc>
          <w:tcPr>
            <w:tcW w:type="dxa" w:w="2000"/>
          </w:tcPr>
          <w:p>
            <w:r>
              <w:rPr>
                <w:b w:val="false"/>
                <w:bCs w:val="false"/>
                <w:sz w:val="20"/>
                <w:szCs w:val="20"/>
              </w:rPr>
              <w:t xml:space="preserve">0.652</w:t>
            </w:r>
          </w:p>
        </w:tc>
        <w:tc>
          <w:tcPr>
            <w:tcW w:type="dxa" w:w="2000"/>
          </w:tcPr>
          <w:p>
            <w:r>
              <w:rPr>
                <w:b w:val="false"/>
                <w:bCs w:val="false"/>
                <w:sz w:val="20"/>
                <w:szCs w:val="20"/>
              </w:rPr>
              <w:t xml:space="preserve">1.0e-03</w:t>
            </w:r>
          </w:p>
        </w:tc>
      </w:tr>
    </w:tbl>
    <w:p>
      <w:r>
        <w:br w:type="page"/>
      </w:r>
    </w:p>
    <w:p>
      <w:pPr>
        <w:pStyle w:val="Heading1"/>
        <w:spacing w:after="150" w:before="300"/>
      </w:pPr>
      <w:r>
        <w:t xml:space="preserve">5. Confidence threshold scenarios</w:t>
      </w:r>
    </w:p>
    <w:p>
      <w:pPr>
        <w:spacing w:after="160"/>
      </w:pPr>
      <w:r>
        <w:t xml:space="preserve">Two threshold scenarios are proposed for classifying labels into confidence tiers based on median-split baseline PR-AUC. A 0.0 floor was also considered but is a no-op: the minimum observed PR-AUC across all 138 labels is 0.05, so no label falls below it.</w:t>
      </w:r>
    </w:p>
    <w:p>
      <w:pPr>
        <w:spacing w:after="160"/>
      </w:pPr>
      <w:r>
        <w:rPr>
          <w:b w:val="false"/>
          <w:bCs w:val="false"/>
        </w:rPr>
        <w:t xml:space="preserve">Scenario A - all 138 labels. This is the primary, most inclusive threshold and applies regardless of whether PA is defined for a label.</w:t>
      </w:r>
    </w:p>
    <w:p>
      <w:pPr>
        <w:spacing w:after="160"/>
      </w:pPr>
      <w:r>
        <w:t xml:space="preserve">Scenario B - the high-n_PA subset (n_PA &gt;= 16.5, the median), i.e. the 65 labels where PA is estimated reliably. This is the basis for the PA-consistency claim specifically.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3550"/>
        <w:gridCol w:w="1800"/>
        <w:gridCol w:w="1400"/>
        <w:gridCol w:w="1400"/>
      </w:tblGrid>
      <w:tr>
        <w:tc>
          <w:tcPr>
            <w:tcW w:type="dxa" w:w="1200"/>
            <w:shd w:fill="1F3864" w:val="clear"/>
          </w:tcPr>
          <w:p>
            <w:r>
              <w:rPr>
                <w:b/>
                <w:bCs/>
                <w:color w:val="FFFFFF"/>
                <w:sz w:val="20"/>
                <w:szCs w:val="20"/>
              </w:rPr>
              <w:t xml:space="preserve">Scenario</w:t>
            </w:r>
          </w:p>
        </w:tc>
        <w:tc>
          <w:tcPr>
            <w:tcW w:type="dxa" w:w="3550"/>
            <w:shd w:fill="1F3864" w:val="clear"/>
          </w:tcPr>
          <w:p>
            <w:r>
              <w:rPr>
                <w:b/>
                <w:bCs/>
                <w:color w:val="FFFFFF"/>
                <w:sz w:val="20"/>
                <w:szCs w:val="20"/>
              </w:rPr>
              <w:t xml:space="preserve">Scope</w:t>
            </w:r>
          </w:p>
        </w:tc>
        <w:tc>
          <w:tcPr>
            <w:tcW w:type="dxa" w:w="1800"/>
            <w:shd w:fill="1F3864" w:val="clear"/>
          </w:tcPr>
          <w:p>
            <w:r>
              <w:rPr>
                <w:b/>
                <w:bCs/>
                <w:color w:val="FFFFFF"/>
                <w:sz w:val="20"/>
                <w:szCs w:val="20"/>
              </w:rPr>
              <w:t xml:space="preserve">Median PR-AUC</w:t>
            </w:r>
          </w:p>
        </w:tc>
        <w:tc>
          <w:tcPr>
            <w:tcW w:type="dxa" w:w="1400"/>
            <w:shd w:fill="1F3864" w:val="clear"/>
          </w:tcPr>
          <w:p>
            <w:r>
              <w:rPr>
                <w:b/>
                <w:bCs/>
                <w:color w:val="FFFFFF"/>
                <w:sz w:val="20"/>
                <w:szCs w:val="20"/>
              </w:rPr>
              <w:t xml:space="preserve">High tier</w:t>
            </w:r>
          </w:p>
        </w:tc>
        <w:tc>
          <w:tcPr>
            <w:tcW w:type="dxa" w:w="1400"/>
            <w:shd w:fill="1F3864" w:val="clear"/>
          </w:tcPr>
          <w:p>
            <w:r>
              <w:rPr>
                <w:b/>
                <w:bCs/>
                <w:color w:val="FFFFFF"/>
                <w:sz w:val="20"/>
                <w:szCs w:val="20"/>
              </w:rPr>
              <w:t xml:space="preserve">Low tier</w:t>
            </w:r>
          </w:p>
        </w:tc>
      </w:tr>
      <w:tr>
        <w:tc>
          <w:tcPr>
            <w:tcW w:type="dxa" w:w="1200"/>
          </w:tcPr>
          <w:p>
            <w:r>
              <w:rPr>
                <w:b w:val="false"/>
                <w:bCs w:val="false"/>
                <w:sz w:val="20"/>
                <w:szCs w:val="20"/>
              </w:rPr>
              <w:t xml:space="preserve">A</w:t>
            </w:r>
          </w:p>
        </w:tc>
        <w:tc>
          <w:tcPr>
            <w:tcW w:type="dxa" w:w="3550"/>
          </w:tcPr>
          <w:p>
            <w:r>
              <w:rPr>
                <w:b w:val="false"/>
                <w:bCs w:val="false"/>
                <w:sz w:val="20"/>
                <w:szCs w:val="20"/>
              </w:rPr>
              <w:t xml:space="preserve">All 138 fine labels</w:t>
            </w:r>
          </w:p>
        </w:tc>
        <w:tc>
          <w:tcPr>
            <w:tcW w:type="dxa" w:w="1800"/>
          </w:tcPr>
          <w:p>
            <w:r>
              <w:rPr>
                <w:b w:val="false"/>
                <w:bCs w:val="false"/>
                <w:sz w:val="20"/>
                <w:szCs w:val="20"/>
              </w:rPr>
              <w:t xml:space="preserve">0.350</w:t>
            </w:r>
          </w:p>
        </w:tc>
        <w:tc>
          <w:tcPr>
            <w:tcW w:type="dxa" w:w="1400"/>
          </w:tcPr>
          <w:p>
            <w:r>
              <w:rPr>
                <w:b w:val="false"/>
                <w:bCs w:val="false"/>
                <w:sz w:val="20"/>
                <w:szCs w:val="20"/>
              </w:rPr>
              <w:t xml:space="preserve">69 labels</w:t>
            </w:r>
          </w:p>
        </w:tc>
        <w:tc>
          <w:tcPr>
            <w:tcW w:type="dxa" w:w="1400"/>
          </w:tcPr>
          <w:p>
            <w:r>
              <w:rPr>
                <w:b w:val="false"/>
                <w:bCs w:val="false"/>
                <w:sz w:val="20"/>
                <w:szCs w:val="20"/>
              </w:rPr>
              <w:t xml:space="preserve">69 labels</w:t>
            </w:r>
          </w:p>
        </w:tc>
      </w:tr>
      <w:tr>
        <w:tc>
          <w:tcPr>
            <w:tcW w:type="dxa" w:w="1200"/>
          </w:tcPr>
          <w:p>
            <w:r>
              <w:rPr>
                <w:b w:val="false"/>
                <w:bCs w:val="false"/>
                <w:sz w:val="20"/>
                <w:szCs w:val="20"/>
              </w:rPr>
              <w:t xml:space="preserve">B</w:t>
            </w:r>
          </w:p>
        </w:tc>
        <w:tc>
          <w:tcPr>
            <w:tcW w:type="dxa" w:w="3550"/>
          </w:tcPr>
          <w:p>
            <w:r>
              <w:rPr>
                <w:b w:val="false"/>
                <w:bCs w:val="false"/>
                <w:sz w:val="20"/>
                <w:szCs w:val="20"/>
              </w:rPr>
              <w:t xml:space="preserve">High-n_PA subset (n_PA &gt;= 16.5), n=65</w:t>
            </w:r>
          </w:p>
        </w:tc>
        <w:tc>
          <w:tcPr>
            <w:tcW w:type="dxa" w:w="1800"/>
          </w:tcPr>
          <w:p>
            <w:r>
              <w:rPr>
                <w:b w:val="false"/>
                <w:bCs w:val="false"/>
                <w:sz w:val="20"/>
                <w:szCs w:val="20"/>
              </w:rPr>
              <w:t xml:space="preserve">0.400</w:t>
            </w:r>
          </w:p>
        </w:tc>
        <w:tc>
          <w:tcPr>
            <w:tcW w:type="dxa" w:w="1400"/>
          </w:tcPr>
          <w:p>
            <w:r>
              <w:rPr>
                <w:b w:val="false"/>
                <w:bCs w:val="false"/>
                <w:sz w:val="20"/>
                <w:szCs w:val="20"/>
              </w:rPr>
              <w:t xml:space="preserve">33 labels</w:t>
            </w:r>
          </w:p>
        </w:tc>
        <w:tc>
          <w:tcPr>
            <w:tcW w:type="dxa" w:w="1400"/>
          </w:tcPr>
          <w:p>
            <w:r>
              <w:rPr>
                <w:b w:val="false"/>
                <w:bCs w:val="false"/>
                <w:sz w:val="20"/>
                <w:szCs w:val="20"/>
              </w:rPr>
              <w:t xml:space="preserve">32 labels</w:t>
            </w:r>
          </w:p>
        </w:tc>
      </w:tr>
    </w:tbl>
    <w:p>
      <w:pPr>
        <w:spacing w:after="160"/>
      </w:pPr>
      <w:r>
        <w:rPr>
          <w:i/>
          <w:iCs/>
        </w:rPr>
        <w:t xml:space="preserve">For the 65 labels present in both scenarios, the high/low tier assignment agrees 89.2% of the time, indicating the reliable-PA subset behaves consistently with the full population rather than diverging from it.</w:t>
      </w:r>
    </w:p>
    <w:p>
      <w:pPr>
        <w:spacing w:after="200" w:before="10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981325"/>
                    </a:xfrm>
                    <a:prstGeom prst="rect">
                      <a:avLst/>
                    </a:prstGeom>
                  </pic:spPr>
                </pic:pic>
              </a:graphicData>
            </a:graphic>
          </wp:inline>
        </w:drawing>
      </w:r>
    </w:p>
    <w:p>
      <w:pPr>
        <w:pStyle w:val="Heading1"/>
        <w:spacing w:after="150" w:before="300"/>
      </w:pPr>
      <w:r>
        <w:t xml:space="preserve">6. Illustrative examples</w:t>
      </w:r>
    </w:p>
    <w:p>
      <w:pPr>
        <w:spacing w:after="160"/>
      </w:pPr>
      <w:r>
        <w:t xml:space="preserve">Highest-PA labels (defined PA, n=130 pool):</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000"/>
      </w:tblGrid>
      <w:tr>
        <w:tc>
          <w:tcPr>
            <w:tcW w:type="dxa" w:w="3000"/>
            <w:shd w:fill="1F3864" w:val="clear"/>
          </w:tcPr>
          <w:p>
            <w:r>
              <w:rPr>
                <w:b/>
                <w:bCs/>
                <w:color w:val="FFFFFF"/>
                <w:sz w:val="20"/>
                <w:szCs w:val="20"/>
              </w:rPr>
              <w:t xml:space="preserve">Label</w:t>
            </w:r>
          </w:p>
        </w:tc>
        <w:tc>
          <w:tcPr>
            <w:tcW w:type="dxa" w:w="1800"/>
            <w:shd w:fill="1F3864" w:val="clear"/>
          </w:tcPr>
          <w:p>
            <w:r>
              <w:rPr>
                <w:b/>
                <w:bCs/>
                <w:color w:val="FFFFFF"/>
                <w:sz w:val="20"/>
                <w:szCs w:val="20"/>
              </w:rPr>
              <w:t xml:space="preserve">PA</w:t>
            </w:r>
          </w:p>
        </w:tc>
        <w:tc>
          <w:tcPr>
            <w:tcW w:type="dxa" w:w="1800"/>
            <w:shd w:fill="1F3864" w:val="clear"/>
          </w:tcPr>
          <w:p>
            <w:r>
              <w:rPr>
                <w:b/>
                <w:bCs/>
                <w:color w:val="FFFFFF"/>
                <w:sz w:val="20"/>
                <w:szCs w:val="20"/>
              </w:rPr>
              <w:t xml:space="preserve">n_PA</w:t>
            </w:r>
          </w:p>
        </w:tc>
        <w:tc>
          <w:tcPr>
            <w:tcW w:type="dxa" w:w="2000"/>
            <w:shd w:fill="1F3864" w:val="clear"/>
          </w:tcPr>
          <w:p>
            <w:r>
              <w:rPr>
                <w:b/>
                <w:bCs/>
                <w:color w:val="FFFFFF"/>
                <w:sz w:val="20"/>
                <w:szCs w:val="20"/>
              </w:rPr>
              <w:t xml:space="preserve">PR-AUC</w:t>
            </w:r>
          </w:p>
        </w:tc>
      </w:tr>
      <w:tr>
        <w:tc>
          <w:tcPr>
            <w:tcW w:type="dxa" w:w="3000"/>
          </w:tcPr>
          <w:p>
            <w:r>
              <w:rPr>
                <w:b w:val="false"/>
                <w:bCs w:val="false"/>
                <w:sz w:val="20"/>
                <w:szCs w:val="20"/>
              </w:rPr>
              <w:t xml:space="preserve">chamomile</w:t>
            </w:r>
          </w:p>
        </w:tc>
        <w:tc>
          <w:tcPr>
            <w:tcW w:type="dxa" w:w="1800"/>
          </w:tcPr>
          <w:p>
            <w:r>
              <w:rPr>
                <w:b w:val="false"/>
                <w:bCs w:val="false"/>
                <w:sz w:val="20"/>
                <w:szCs w:val="20"/>
              </w:rPr>
              <w:t xml:space="preserve">0.80</w:t>
            </w:r>
          </w:p>
        </w:tc>
        <w:tc>
          <w:tcPr>
            <w:tcW w:type="dxa" w:w="1800"/>
          </w:tcPr>
          <w:p>
            <w:r>
              <w:rPr>
                <w:b w:val="false"/>
                <w:bCs w:val="false"/>
                <w:sz w:val="20"/>
                <w:szCs w:val="20"/>
              </w:rPr>
              <w:t xml:space="preserve">3</w:t>
            </w:r>
          </w:p>
        </w:tc>
        <w:tc>
          <w:tcPr>
            <w:tcW w:type="dxa" w:w="2000"/>
          </w:tcPr>
          <w:p>
            <w:r>
              <w:rPr>
                <w:b w:val="false"/>
                <w:bCs w:val="false"/>
                <w:sz w:val="20"/>
                <w:szCs w:val="20"/>
              </w:rPr>
              <w:t xml:space="preserve">0.361</w:t>
            </w:r>
          </w:p>
        </w:tc>
      </w:tr>
      <w:tr>
        <w:tc>
          <w:tcPr>
            <w:tcW w:type="dxa" w:w="3000"/>
          </w:tcPr>
          <w:p>
            <w:r>
              <w:rPr>
                <w:b w:val="false"/>
                <w:bCs w:val="false"/>
                <w:sz w:val="20"/>
                <w:szCs w:val="20"/>
              </w:rPr>
              <w:t xml:space="preserve">grapefruit</w:t>
            </w:r>
          </w:p>
        </w:tc>
        <w:tc>
          <w:tcPr>
            <w:tcW w:type="dxa" w:w="1800"/>
          </w:tcPr>
          <w:p>
            <w:r>
              <w:rPr>
                <w:b w:val="false"/>
                <w:bCs w:val="false"/>
                <w:sz w:val="20"/>
                <w:szCs w:val="20"/>
              </w:rPr>
              <w:t xml:space="preserve">0.75</w:t>
            </w:r>
          </w:p>
        </w:tc>
        <w:tc>
          <w:tcPr>
            <w:tcW w:type="dxa" w:w="1800"/>
          </w:tcPr>
          <w:p>
            <w:r>
              <w:rPr>
                <w:b w:val="false"/>
                <w:bCs w:val="false"/>
                <w:sz w:val="20"/>
                <w:szCs w:val="20"/>
              </w:rPr>
              <w:t xml:space="preserve">5</w:t>
            </w:r>
          </w:p>
        </w:tc>
        <w:tc>
          <w:tcPr>
            <w:tcW w:type="dxa" w:w="2000"/>
          </w:tcPr>
          <w:p>
            <w:r>
              <w:rPr>
                <w:b w:val="false"/>
                <w:bCs w:val="false"/>
                <w:sz w:val="20"/>
                <w:szCs w:val="20"/>
              </w:rPr>
              <w:t xml:space="preserve">0.374</w:t>
            </w:r>
          </w:p>
        </w:tc>
      </w:tr>
      <w:tr>
        <w:tc>
          <w:tcPr>
            <w:tcW w:type="dxa" w:w="3000"/>
          </w:tcPr>
          <w:p>
            <w:r>
              <w:rPr>
                <w:b w:val="false"/>
                <w:bCs w:val="false"/>
                <w:sz w:val="20"/>
                <w:szCs w:val="20"/>
              </w:rPr>
              <w:t xml:space="preserve">fruity</w:t>
            </w:r>
          </w:p>
        </w:tc>
        <w:tc>
          <w:tcPr>
            <w:tcW w:type="dxa" w:w="1800"/>
          </w:tcPr>
          <w:p>
            <w:r>
              <w:rPr>
                <w:b w:val="false"/>
                <w:bCs w:val="false"/>
                <w:sz w:val="20"/>
                <w:szCs w:val="20"/>
              </w:rPr>
              <w:t xml:space="preserve">0.69</w:t>
            </w:r>
          </w:p>
        </w:tc>
        <w:tc>
          <w:tcPr>
            <w:tcW w:type="dxa" w:w="1800"/>
          </w:tcPr>
          <w:p>
            <w:r>
              <w:rPr>
                <w:b w:val="false"/>
                <w:bCs w:val="false"/>
                <w:sz w:val="20"/>
                <w:szCs w:val="20"/>
              </w:rPr>
              <w:t xml:space="preserve">401</w:t>
            </w:r>
          </w:p>
        </w:tc>
        <w:tc>
          <w:tcPr>
            <w:tcW w:type="dxa" w:w="2000"/>
          </w:tcPr>
          <w:p>
            <w:r>
              <w:rPr>
                <w:b w:val="false"/>
                <w:bCs w:val="false"/>
                <w:sz w:val="20"/>
                <w:szCs w:val="20"/>
              </w:rPr>
              <w:t xml:space="preserve">0.809</w:t>
            </w:r>
          </w:p>
        </w:tc>
      </w:tr>
      <w:tr>
        <w:tc>
          <w:tcPr>
            <w:tcW w:type="dxa" w:w="3000"/>
          </w:tcPr>
          <w:p>
            <w:r>
              <w:rPr>
                <w:b w:val="false"/>
                <w:bCs w:val="false"/>
                <w:sz w:val="20"/>
                <w:szCs w:val="20"/>
              </w:rPr>
              <w:t xml:space="preserve">green</w:t>
            </w:r>
          </w:p>
        </w:tc>
        <w:tc>
          <w:tcPr>
            <w:tcW w:type="dxa" w:w="1800"/>
          </w:tcPr>
          <w:p>
            <w:r>
              <w:rPr>
                <w:b w:val="false"/>
                <w:bCs w:val="false"/>
                <w:sz w:val="20"/>
                <w:szCs w:val="20"/>
              </w:rPr>
              <w:t xml:space="preserve">0.67</w:t>
            </w:r>
          </w:p>
        </w:tc>
        <w:tc>
          <w:tcPr>
            <w:tcW w:type="dxa" w:w="1800"/>
          </w:tcPr>
          <w:p>
            <w:r>
              <w:rPr>
                <w:b w:val="false"/>
                <w:bCs w:val="false"/>
                <w:sz w:val="20"/>
                <w:szCs w:val="20"/>
              </w:rPr>
              <w:t xml:space="preserve">318</w:t>
            </w:r>
          </w:p>
        </w:tc>
        <w:tc>
          <w:tcPr>
            <w:tcW w:type="dxa" w:w="2000"/>
          </w:tcPr>
          <w:p>
            <w:r>
              <w:rPr>
                <w:b w:val="false"/>
                <w:bCs w:val="false"/>
                <w:sz w:val="20"/>
                <w:szCs w:val="20"/>
              </w:rPr>
              <w:t xml:space="preserve">0.676</w:t>
            </w:r>
          </w:p>
        </w:tc>
      </w:tr>
      <w:tr>
        <w:tc>
          <w:tcPr>
            <w:tcW w:type="dxa" w:w="3000"/>
          </w:tcPr>
          <w:p>
            <w:r>
              <w:rPr>
                <w:b w:val="false"/>
                <w:bCs w:val="false"/>
                <w:sz w:val="20"/>
                <w:szCs w:val="20"/>
              </w:rPr>
              <w:t xml:space="preserve">rose</w:t>
            </w:r>
          </w:p>
        </w:tc>
        <w:tc>
          <w:tcPr>
            <w:tcW w:type="dxa" w:w="1800"/>
          </w:tcPr>
          <w:p>
            <w:r>
              <w:rPr>
                <w:b w:val="false"/>
                <w:bCs w:val="false"/>
                <w:sz w:val="20"/>
                <w:szCs w:val="20"/>
              </w:rPr>
              <w:t xml:space="preserve">0.67</w:t>
            </w:r>
          </w:p>
        </w:tc>
        <w:tc>
          <w:tcPr>
            <w:tcW w:type="dxa" w:w="1800"/>
          </w:tcPr>
          <w:p>
            <w:r>
              <w:rPr>
                <w:b w:val="false"/>
                <w:bCs w:val="false"/>
                <w:sz w:val="20"/>
                <w:szCs w:val="20"/>
              </w:rPr>
              <w:t xml:space="preserve">40</w:t>
            </w:r>
          </w:p>
        </w:tc>
        <w:tc>
          <w:tcPr>
            <w:tcW w:type="dxa" w:w="2000"/>
          </w:tcPr>
          <w:p>
            <w:r>
              <w:rPr>
                <w:b w:val="false"/>
                <w:bCs w:val="false"/>
                <w:sz w:val="20"/>
                <w:szCs w:val="20"/>
              </w:rPr>
              <w:t xml:space="preserve">0.520</w:t>
            </w:r>
          </w:p>
        </w:tc>
      </w:tr>
      <w:tr>
        <w:tc>
          <w:tcPr>
            <w:tcW w:type="dxa" w:w="3000"/>
          </w:tcPr>
          <w:p>
            <w:r>
              <w:rPr>
                <w:b w:val="false"/>
                <w:bCs w:val="false"/>
                <w:sz w:val="20"/>
                <w:szCs w:val="20"/>
              </w:rPr>
              <w:t xml:space="preserve">tea</w:t>
            </w:r>
          </w:p>
        </w:tc>
        <w:tc>
          <w:tcPr>
            <w:tcW w:type="dxa" w:w="1800"/>
          </w:tcPr>
          <w:p>
            <w:r>
              <w:rPr>
                <w:b w:val="false"/>
                <w:bCs w:val="false"/>
                <w:sz w:val="20"/>
                <w:szCs w:val="20"/>
              </w:rPr>
              <w:t xml:space="preserve">0.67</w:t>
            </w:r>
          </w:p>
        </w:tc>
        <w:tc>
          <w:tcPr>
            <w:tcW w:type="dxa" w:w="1800"/>
          </w:tcPr>
          <w:p>
            <w:r>
              <w:rPr>
                <w:b w:val="false"/>
                <w:bCs w:val="false"/>
                <w:sz w:val="20"/>
                <w:szCs w:val="20"/>
              </w:rPr>
              <w:t xml:space="preserve">2</w:t>
            </w:r>
          </w:p>
        </w:tc>
        <w:tc>
          <w:tcPr>
            <w:tcW w:type="dxa" w:w="2000"/>
          </w:tcPr>
          <w:p>
            <w:r>
              <w:rPr>
                <w:b w:val="false"/>
                <w:bCs w:val="false"/>
                <w:sz w:val="20"/>
                <w:szCs w:val="20"/>
              </w:rPr>
              <w:t xml:space="preserve">0.073</w:t>
            </w:r>
          </w:p>
        </w:tc>
      </w:tr>
    </w:tbl>
    <w:p>
      <w:pPr>
        <w:spacing w:after="160"/>
      </w:pPr>
      <w:r>
        <w:t xml:space="preserve"> </w:t>
      </w:r>
    </w:p>
    <w:p>
      <w:pPr>
        <w:spacing w:after="160"/>
      </w:pPr>
      <w:r>
        <w:t xml:space="preserve">Zero-PA labels with small n_PA (illustrating the reliability concern for low n_PA, not necessarily genuine disagreement):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000"/>
      </w:tblGrid>
      <w:tr>
        <w:tc>
          <w:tcPr>
            <w:tcW w:type="dxa" w:w="3000"/>
            <w:shd w:fill="1F3864" w:val="clear"/>
          </w:tcPr>
          <w:p>
            <w:r>
              <w:rPr>
                <w:b/>
                <w:bCs/>
                <w:color w:val="FFFFFF"/>
                <w:sz w:val="20"/>
                <w:szCs w:val="20"/>
              </w:rPr>
              <w:t xml:space="preserve">Label</w:t>
            </w:r>
          </w:p>
        </w:tc>
        <w:tc>
          <w:tcPr>
            <w:tcW w:type="dxa" w:w="1800"/>
            <w:shd w:fill="1F3864" w:val="clear"/>
          </w:tcPr>
          <w:p>
            <w:r>
              <w:rPr>
                <w:b/>
                <w:bCs/>
                <w:color w:val="FFFFFF"/>
                <w:sz w:val="20"/>
                <w:szCs w:val="20"/>
              </w:rPr>
              <w:t xml:space="preserve">PA</w:t>
            </w:r>
          </w:p>
        </w:tc>
        <w:tc>
          <w:tcPr>
            <w:tcW w:type="dxa" w:w="1800"/>
            <w:shd w:fill="1F3864" w:val="clear"/>
          </w:tcPr>
          <w:p>
            <w:r>
              <w:rPr>
                <w:b/>
                <w:bCs/>
                <w:color w:val="FFFFFF"/>
                <w:sz w:val="20"/>
                <w:szCs w:val="20"/>
              </w:rPr>
              <w:t xml:space="preserve">n_PA</w:t>
            </w:r>
          </w:p>
        </w:tc>
        <w:tc>
          <w:tcPr>
            <w:tcW w:type="dxa" w:w="2000"/>
            <w:shd w:fill="1F3864" w:val="clear"/>
          </w:tcPr>
          <w:p>
            <w:r>
              <w:rPr>
                <w:b/>
                <w:bCs/>
                <w:color w:val="FFFFFF"/>
                <w:sz w:val="20"/>
                <w:szCs w:val="20"/>
              </w:rPr>
              <w:t xml:space="preserve">PR-AUC</w:t>
            </w:r>
          </w:p>
        </w:tc>
      </w:tr>
      <w:tr>
        <w:tc>
          <w:tcPr>
            <w:tcW w:type="dxa" w:w="3000"/>
          </w:tcPr>
          <w:p>
            <w:r>
              <w:rPr>
                <w:b w:val="false"/>
                <w:bCs w:val="false"/>
                <w:sz w:val="20"/>
                <w:szCs w:val="20"/>
              </w:rPr>
              <w:t xml:space="preserve">almond</w:t>
            </w:r>
          </w:p>
        </w:tc>
        <w:tc>
          <w:tcPr>
            <w:tcW w:type="dxa" w:w="1800"/>
          </w:tcPr>
          <w:p>
            <w:r>
              <w:rPr>
                <w:b w:val="false"/>
                <w:bCs w:val="false"/>
                <w:sz w:val="20"/>
                <w:szCs w:val="20"/>
              </w:rPr>
              <w:t xml:space="preserve">0.00</w:t>
            </w:r>
          </w:p>
        </w:tc>
        <w:tc>
          <w:tcPr>
            <w:tcW w:type="dxa" w:w="1800"/>
          </w:tcPr>
          <w:p>
            <w:r>
              <w:rPr>
                <w:b w:val="false"/>
                <w:bCs w:val="false"/>
                <w:sz w:val="20"/>
                <w:szCs w:val="20"/>
              </w:rPr>
              <w:t xml:space="preserve">4</w:t>
            </w:r>
          </w:p>
        </w:tc>
        <w:tc>
          <w:tcPr>
            <w:tcW w:type="dxa" w:w="2000"/>
          </w:tcPr>
          <w:p>
            <w:r>
              <w:rPr>
                <w:b w:val="false"/>
                <w:bCs w:val="false"/>
                <w:sz w:val="20"/>
                <w:szCs w:val="20"/>
              </w:rPr>
              <w:t xml:space="preserve">0.342</w:t>
            </w:r>
          </w:p>
        </w:tc>
      </w:tr>
      <w:tr>
        <w:tc>
          <w:tcPr>
            <w:tcW w:type="dxa" w:w="3000"/>
          </w:tcPr>
          <w:p>
            <w:r>
              <w:rPr>
                <w:b w:val="false"/>
                <w:bCs w:val="false"/>
                <w:sz w:val="20"/>
                <w:szCs w:val="20"/>
              </w:rPr>
              <w:t xml:space="preserve">amber</w:t>
            </w:r>
          </w:p>
        </w:tc>
        <w:tc>
          <w:tcPr>
            <w:tcW w:type="dxa" w:w="1800"/>
          </w:tcPr>
          <w:p>
            <w:r>
              <w:rPr>
                <w:b w:val="false"/>
                <w:bCs w:val="false"/>
                <w:sz w:val="20"/>
                <w:szCs w:val="20"/>
              </w:rPr>
              <w:t xml:space="preserve">0.00</w:t>
            </w:r>
          </w:p>
        </w:tc>
        <w:tc>
          <w:tcPr>
            <w:tcW w:type="dxa" w:w="1800"/>
          </w:tcPr>
          <w:p>
            <w:r>
              <w:rPr>
                <w:b w:val="false"/>
                <w:bCs w:val="false"/>
                <w:sz w:val="20"/>
                <w:szCs w:val="20"/>
              </w:rPr>
              <w:t xml:space="preserve">3</w:t>
            </w:r>
          </w:p>
        </w:tc>
        <w:tc>
          <w:tcPr>
            <w:tcW w:type="dxa" w:w="2000"/>
          </w:tcPr>
          <w:p>
            <w:r>
              <w:rPr>
                <w:b w:val="false"/>
                <w:bCs w:val="false"/>
                <w:sz w:val="20"/>
                <w:szCs w:val="20"/>
              </w:rPr>
              <w:t xml:space="preserve">0.388</w:t>
            </w:r>
          </w:p>
        </w:tc>
      </w:tr>
      <w:tr>
        <w:tc>
          <w:tcPr>
            <w:tcW w:type="dxa" w:w="3000"/>
          </w:tcPr>
          <w:p>
            <w:r>
              <w:rPr>
                <w:b w:val="false"/>
                <w:bCs w:val="false"/>
                <w:sz w:val="20"/>
                <w:szCs w:val="20"/>
              </w:rPr>
              <w:t xml:space="preserve">anisic</w:t>
            </w:r>
          </w:p>
        </w:tc>
        <w:tc>
          <w:tcPr>
            <w:tcW w:type="dxa" w:w="1800"/>
          </w:tcPr>
          <w:p>
            <w:r>
              <w:rPr>
                <w:b w:val="false"/>
                <w:bCs w:val="false"/>
                <w:sz w:val="20"/>
                <w:szCs w:val="20"/>
              </w:rPr>
              <w:t xml:space="preserve">0.00</w:t>
            </w:r>
          </w:p>
        </w:tc>
        <w:tc>
          <w:tcPr>
            <w:tcW w:type="dxa" w:w="1800"/>
          </w:tcPr>
          <w:p>
            <w:r>
              <w:rPr>
                <w:b w:val="false"/>
                <w:bCs w:val="false"/>
                <w:sz w:val="20"/>
                <w:szCs w:val="20"/>
              </w:rPr>
              <w:t xml:space="preserve">3</w:t>
            </w:r>
          </w:p>
        </w:tc>
        <w:tc>
          <w:tcPr>
            <w:tcW w:type="dxa" w:w="2000"/>
          </w:tcPr>
          <w:p>
            <w:r>
              <w:rPr>
                <w:b w:val="false"/>
                <w:bCs w:val="false"/>
                <w:sz w:val="20"/>
                <w:szCs w:val="20"/>
              </w:rPr>
              <w:t xml:space="preserve">0.378</w:t>
            </w:r>
          </w:p>
        </w:tc>
      </w:tr>
      <w:tr>
        <w:tc>
          <w:tcPr>
            <w:tcW w:type="dxa" w:w="3000"/>
          </w:tcPr>
          <w:p>
            <w:r>
              <w:rPr>
                <w:b w:val="false"/>
                <w:bCs w:val="false"/>
                <w:sz w:val="20"/>
                <w:szCs w:val="20"/>
              </w:rPr>
              <w:t xml:space="preserve">aromatic</w:t>
            </w:r>
          </w:p>
        </w:tc>
        <w:tc>
          <w:tcPr>
            <w:tcW w:type="dxa" w:w="1800"/>
          </w:tcPr>
          <w:p>
            <w:r>
              <w:rPr>
                <w:b w:val="false"/>
                <w:bCs w:val="false"/>
                <w:sz w:val="20"/>
                <w:szCs w:val="20"/>
              </w:rPr>
              <w:t xml:space="preserve">0.00</w:t>
            </w:r>
          </w:p>
        </w:tc>
        <w:tc>
          <w:tcPr>
            <w:tcW w:type="dxa" w:w="1800"/>
          </w:tcPr>
          <w:p>
            <w:r>
              <w:rPr>
                <w:b w:val="false"/>
                <w:bCs w:val="false"/>
                <w:sz w:val="20"/>
                <w:szCs w:val="20"/>
              </w:rPr>
              <w:t xml:space="preserve">2</w:t>
            </w:r>
          </w:p>
        </w:tc>
        <w:tc>
          <w:tcPr>
            <w:tcW w:type="dxa" w:w="2000"/>
          </w:tcPr>
          <w:p>
            <w:r>
              <w:rPr>
                <w:b w:val="false"/>
                <w:bCs w:val="false"/>
                <w:sz w:val="20"/>
                <w:szCs w:val="20"/>
              </w:rPr>
              <w:t xml:space="preserve">0.096</w:t>
            </w:r>
          </w:p>
        </w:tc>
      </w:tr>
      <w:tr>
        <w:tc>
          <w:tcPr>
            <w:tcW w:type="dxa" w:w="3000"/>
          </w:tcPr>
          <w:p>
            <w:r>
              <w:rPr>
                <w:b w:val="false"/>
                <w:bCs w:val="false"/>
                <w:sz w:val="20"/>
                <w:szCs w:val="20"/>
              </w:rPr>
              <w:t xml:space="preserve">black currant</w:t>
            </w:r>
          </w:p>
        </w:tc>
        <w:tc>
          <w:tcPr>
            <w:tcW w:type="dxa" w:w="1800"/>
          </w:tcPr>
          <w:p>
            <w:r>
              <w:rPr>
                <w:b w:val="false"/>
                <w:bCs w:val="false"/>
                <w:sz w:val="20"/>
                <w:szCs w:val="20"/>
              </w:rPr>
              <w:t xml:space="preserve">0.00</w:t>
            </w:r>
          </w:p>
        </w:tc>
        <w:tc>
          <w:tcPr>
            <w:tcW w:type="dxa" w:w="1800"/>
          </w:tcPr>
          <w:p>
            <w:r>
              <w:rPr>
                <w:b w:val="false"/>
                <w:bCs w:val="false"/>
                <w:sz w:val="20"/>
                <w:szCs w:val="20"/>
              </w:rPr>
              <w:t xml:space="preserve">2</w:t>
            </w:r>
          </w:p>
        </w:tc>
        <w:tc>
          <w:tcPr>
            <w:tcW w:type="dxa" w:w="2000"/>
          </w:tcPr>
          <w:p>
            <w:r>
              <w:rPr>
                <w:b w:val="false"/>
                <w:bCs w:val="false"/>
                <w:sz w:val="20"/>
                <w:szCs w:val="20"/>
              </w:rPr>
              <w:t xml:space="preserve">0.341</w:t>
            </w:r>
          </w:p>
        </w:tc>
      </w:tr>
      <w:tr>
        <w:tc>
          <w:tcPr>
            <w:tcW w:type="dxa" w:w="3000"/>
          </w:tcPr>
          <w:p>
            <w:r>
              <w:rPr>
                <w:b w:val="false"/>
                <w:bCs w:val="false"/>
                <w:sz w:val="20"/>
                <w:szCs w:val="20"/>
              </w:rPr>
              <w:t xml:space="preserve">bitter</w:t>
            </w:r>
          </w:p>
        </w:tc>
        <w:tc>
          <w:tcPr>
            <w:tcW w:type="dxa" w:w="1800"/>
          </w:tcPr>
          <w:p>
            <w:r>
              <w:rPr>
                <w:b w:val="false"/>
                <w:bCs w:val="false"/>
                <w:sz w:val="20"/>
                <w:szCs w:val="20"/>
              </w:rPr>
              <w:t xml:space="preserve">0.00</w:t>
            </w:r>
          </w:p>
        </w:tc>
        <w:tc>
          <w:tcPr>
            <w:tcW w:type="dxa" w:w="1800"/>
          </w:tcPr>
          <w:p>
            <w:r>
              <w:rPr>
                <w:b w:val="false"/>
                <w:bCs w:val="false"/>
                <w:sz w:val="20"/>
                <w:szCs w:val="20"/>
              </w:rPr>
              <w:t xml:space="preserve">2</w:t>
            </w:r>
          </w:p>
        </w:tc>
        <w:tc>
          <w:tcPr>
            <w:tcW w:type="dxa" w:w="2000"/>
          </w:tcPr>
          <w:p>
            <w:r>
              <w:rPr>
                <w:b w:val="false"/>
                <w:bCs w:val="false"/>
                <w:sz w:val="20"/>
                <w:szCs w:val="20"/>
              </w:rPr>
              <w:t xml:space="preserve">0.212</w:t>
            </w:r>
          </w:p>
        </w:tc>
      </w:tr>
    </w:tbl>
    <w:p>
      <w:pPr>
        <w:pStyle w:val="Heading1"/>
        <w:spacing w:after="150" w:before="300"/>
      </w:pPr>
      <w:r>
        <w:t xml:space="preserve">7. Recommendations for the paper</w:t>
      </w:r>
    </w:p>
    <w:p>
      <w:pPr>
        <w:pStyle w:val="ListParagraph"/>
        <w:numPr>
          <w:ilvl w:val="0"/>
          <w:numId w:val="1"/>
        </w:numPr>
        <w:spacing w:after="80"/>
      </w:pPr>
      <w:r>
        <w:t xml:space="preserve">Report the PA-PR-AUC correlation as a genuine finding, with the partial correlation and the n_PA-restricted robustness check included as the confound-ruling-out evidence, not left implicit.</w:t>
      </w:r>
    </w:p>
    <w:p>
      <w:pPr>
        <w:pStyle w:val="ListParagraph"/>
        <w:numPr>
          <w:ilvl w:val="0"/>
          <w:numId w:val="1"/>
        </w:numPr>
        <w:spacing w:after="80"/>
      </w:pPr>
      <w:r>
        <w:t xml:space="preserve">Restrict the PA-reliability claim explicitly to n_PA &gt;= 16.5 (median split of the data itself, not a hand-picked cutoff), and state this restriction plainly as a limitation for the excluded low-n_PA labels.</w:t>
      </w:r>
    </w:p>
    <w:p>
      <w:pPr>
        <w:pStyle w:val="ListParagraph"/>
        <w:numPr>
          <w:ilvl w:val="0"/>
          <w:numId w:val="1"/>
        </w:numPr>
        <w:spacing w:after="80"/>
      </w:pPr>
      <w:r>
        <w:t xml:space="preserve">Use Scenario A's median (0.350) as the primary PR-AUC confidence threshold covering all 138 labels; cite Scenario B's median (0.400) as corroborating evidence from the subset where PA is trustworthy, and report the 89.2% tier-agreement rate as a consistency check between the two.</w:t>
      </w:r>
    </w:p>
    <w:p>
      <w:pPr>
        <w:pStyle w:val="ListParagraph"/>
        <w:numPr>
          <w:ilvl w:val="0"/>
          <w:numId w:val="1"/>
        </w:numPr>
        <w:spacing w:after="80"/>
      </w:pPr>
      <w:r>
        <w:t xml:space="preserve">Treat the 8 zero-overlap labels (undefined PA) as a vocabulary-coverage-gap note, consistent with the existing Leffingwell zero-positive-label finding, rather than folding them into the PA analysis as PA = 0.</w:t>
      </w:r>
    </w:p>
    <w:p>
      <w:pPr>
        <w:pStyle w:val="ListParagraph"/>
        <w:numPr>
          <w:ilvl w:val="0"/>
          <w:numId w:val="1"/>
        </w:numPr>
        <w:spacing w:after="80"/>
      </w:pPr>
      <w:r>
        <w:t xml:space="preserve">Drop the 0.0 PR-AUC floor from the threshold scheme, since it partitions nothing given the observed PR-AUC range (0.05 to 0.85).</w:t>
      </w:r>
    </w:p>
    <w:p>
      <w:pPr>
        <w:pStyle w:val="Heading1"/>
        <w:spacing w:after="150" w:before="300"/>
      </w:pPr>
      <w:r>
        <w:t xml:space="preserve">8. Reproducibility</w:t>
      </w:r>
    </w:p>
    <w:p>
      <w:pPr>
        <w:spacing w:after="160"/>
      </w:pPr>
      <w:r>
        <w:t xml:space="preserve">All figures and statistics in this report are reproducible from three scripts: plot_pa_per_label.py, plot_pa_vs_prauc_scatter.py, and plot_prauc_threshold_scenarios.py, run against pa_per_label_gs_lw.csv and best_model_per_label.csv. See accompanying files.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762bdf3085858cc62f9a21c972ef6b6c62c8664.png"/><Relationship Id="rId8" Type="http://schemas.openxmlformats.org/officeDocument/2006/relationships/image" Target="media/ff16361b976a40fdb45ae89478e26d22a43d7a0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2026-07-10T15:11:17.956Z</dcterms:created>
  <dcterms:modified xsi:type="dcterms:W3CDTF">2026-07-10T15:11:17.975Z</dcterms:modified>
</cp:coreProperties>
</file>

<file path=docProps/custom.xml><?xml version="1.0" encoding="utf-8"?>
<Properties xmlns="http://schemas.openxmlformats.org/officeDocument/2006/custom-properties" xmlns:vt="http://schemas.openxmlformats.org/officeDocument/2006/docPropsVTypes"/>
</file>