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Advancing Nutrition Science through Gemini AI</w:t>
      </w:r>
    </w:p>
    <w:p>
      <w:pPr>
        <w:pStyle w:val="Heading2"/>
      </w:pPr>
      <w:r>
        <w:t>1. Data Overview</w:t>
      </w:r>
    </w:p>
    <w:p>
      <w:r>
        <w:br/>
        <w:t>The dataset integrates structured nutritional databases including macronutrients (Carbohydrates, Proteins, Fats), micronutrients (Vitamins, Minerals), caloric density, dietary classifications, and health indicators (BMI category, dietary goals).</w:t>
        <w:br/>
        <w:t>The dataset was validated for schema consistency, datatype alignment, and AI-readiness.</w:t>
        <w:br/>
      </w:r>
    </w:p>
    <w:p>
      <w:pPr>
        <w:pStyle w:val="Heading2"/>
      </w:pPr>
      <w:r>
        <w:t>2. Univariate Analysis</w:t>
      </w:r>
    </w:p>
    <w:p>
      <w:r>
        <w:br/>
        <w:t>Descriptive statistics including mean, median, variance, and distribution density were computed.</w:t>
        <w:br/>
        <w:t>Skewness and kurtosis metrics were evaluated to identify non-normal nutrient distributions.</w:t>
        <w:br/>
      </w:r>
    </w:p>
    <w:p>
      <w:pPr>
        <w:pStyle w:val="Heading2"/>
      </w:pPr>
      <w:r>
        <w:t>3. Bivariate Analysis</w:t>
      </w:r>
    </w:p>
    <w:p>
      <w:r>
        <w:br/>
        <w:t>Pearson correlation and covariance matrices were generated to evaluate nutrient interdependencies.</w:t>
        <w:br/>
        <w:t>Scatter plots and regression trends were used to understand calorie-protein-fat relationships.</w:t>
        <w:br/>
      </w:r>
    </w:p>
    <w:p>
      <w:pPr>
        <w:pStyle w:val="Heading2"/>
      </w:pPr>
      <w:r>
        <w:t>4. Multivariate Analysis</w:t>
      </w:r>
    </w:p>
    <w:p>
      <w:r>
        <w:br/>
        <w:t>Principal Component Analysis (PCA) and clustering techniques were applied to detect dietary consumption patterns.</w:t>
        <w:br/>
        <w:t>Feature interactions across macronutrient ratios were analyzed for predictive modeling.</w:t>
        <w:br/>
      </w:r>
    </w:p>
    <w:p>
      <w:pPr>
        <w:pStyle w:val="Heading2"/>
      </w:pPr>
      <w:r>
        <w:t>5. Outlier Detection</w:t>
      </w:r>
    </w:p>
    <w:p>
      <w:r>
        <w:br/>
        <w:t>Outliers were identified using Z-score (&gt;3 threshold) and IQR methods.</w:t>
        <w:br/>
        <w:t>Anomalous nutritional values were capped or removed to prevent AI bias amplification.</w:t>
        <w:br/>
      </w:r>
    </w:p>
    <w:p>
      <w:pPr>
        <w:pStyle w:val="Heading2"/>
      </w:pPr>
      <w:r>
        <w:t>6. Advanced Data Preprocessing</w:t>
      </w:r>
    </w:p>
    <w:p>
      <w:r>
        <w:br/>
        <w:t>StandardScaler normalization applied for feature standardization.</w:t>
        <w:br/>
        <w:t>Feature engineering introduced:</w:t>
        <w:br/>
        <w:t>• Protein-to-Calorie Ratio</w:t>
        <w:br/>
        <w:t>• Macronutrient Balance Index</w:t>
        <w:br/>
        <w:t>• Health Risk Score</w:t>
        <w:br/>
        <w:t>Processed datasets saved for model training.</w:t>
        <w:br/>
      </w:r>
    </w:p>
    <w:p>
      <w:pPr>
        <w:pStyle w:val="Heading2"/>
      </w:pPr>
      <w:r>
        <w:t>7. Gemini AI Architecture for Nutrition Intelligence</w:t>
      </w:r>
    </w:p>
    <w:p>
      <w:r>
        <w:br/>
        <w:t>The system leverages a transformer-based large multimodal model architecture.</w:t>
        <w:br/>
        <w:t>Gemini AI processes structured nutritional data combined with natural language dietary queries.</w:t>
        <w:br/>
        <w:br/>
        <w:t>Architecture Components:</w:t>
        <w:br/>
        <w:t>• Input Layer: Structured nutrition data + user dietary preferences</w:t>
        <w:br/>
        <w:t>• Embedding Layer: Feature vector encoding of nutrients</w:t>
        <w:br/>
        <w:t>• Transformer Encoder Blocks: Multi-head self-attention for pattern learning</w:t>
        <w:br/>
        <w:t>• Context Fusion Layer: Integration of user health goals</w:t>
        <w:br/>
        <w:t>• Output Layer: Personalized dietary recommendation &amp; health prediction</w:t>
        <w:br/>
        <w:br/>
        <w:t>The architecture supports:</w:t>
        <w:br/>
        <w:t>• Context-aware meal planning</w:t>
        <w:br/>
        <w:t>• Nutritional deficiency prediction</w:t>
        <w:br/>
        <w:t>• Adaptive diet optimization</w:t>
        <w:br/>
        <w:t>• Conversational AI-based food analysis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