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9: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interfaz llamada Vista, en la cual se definirán los siguientes 3 métodos por medio los cuales podrá visualizar de diferentes maneras los diferentes atributos del producto.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1: mostrar todos los parámetros separados por guión medio (-).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2: mostrar sólo el código y la descripción del producto separados por guión medio (-).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3: mostrar sólo el código, la descripción, el precio de compra y el precio de venta del producto separados por guión medio (-).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abstracta llamada Producto, la cual tenga los siguientes atributos y métodos.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 abstractos: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subclase debe implementar los métodos abstractos de la clase Producto, e implementar la clase Vista.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Implemente en la clase principal un menú con las siguientes opciones: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producto: solicite el código de un producto a vender, el tipo (calzado o prenda) y muestre la información del mismo.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