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1.11</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1.0 0.0 1.0 5.6</w:t>
                    <w:br w:type="textWrapping"/>
                    <w:t xml:space="preserve">1.0 0.0 2.0 0.4</w:t>
                    <w:br w:type="textWrapping"/>
                    <w:t xml:space="preserve">1.0 0.0 3.0 7.8</w:t>
                    <w:br w:type="textWrapping"/>
                    <w:t xml:space="preserve">2.0 0.0 1.0 8.9</w:t>
                    <w:br w:type="textWrapping"/>
                    <w:t xml:space="preserve">2.0 0.0 2.0 0.5</w:t>
                    <w:br w:type="textWrapping"/>
                    <w:t xml:space="preserve">2.0 0.0 3.0 1.5</w:t>
                    <w:br w:type="textWrapping"/>
                    <w:t xml:space="preserve">3.0 0.0 1.0 8.1</w:t>
                    <w:br w:type="textWrapping"/>
                    <w:t xml:space="preserve">3.0 0.0 2.0 4.0</w:t>
                    <w:br w:type="textWrapping"/>
                    <w:t xml:space="preserve">3.0 0.0 3.0 7.9</w:t>
                    <w:br w:type="textWrapping"/>
                    <w:t xml:space="preserve">4.0 1.0 1.0 4.8</w:t>
                    <w:br w:type="textWrapping"/>
                    <w:t xml:space="preserve">4.0 1.0 2.0 9.3</w:t>
                    <w:br w:type="textWrapping"/>
                    <w:t xml:space="preserve">4.0 1.0 3.0 4.8</w:t>
                    <w:br w:type="textWrapping"/>
                    <w:t xml:space="preserve">5.0 1.0 1.0 5.8</w:t>
                    <w:br w:type="textWrapping"/>
                    <w:t xml:space="preserve">5.0 1.0 2.0 3.3</w:t>
                    <w:br w:type="textWrapping"/>
                    <w:t xml:space="preserve">5.0 1.0 3.0 4.7</w:t>
                    <w:br w:type="textWrapping"/>
                    <w:t xml:space="preserve">6.0 1.0 1.0 6.3</w:t>
                    <w:br w:type="textWrapping"/>
                    <w:t xml:space="preserve">6.0 1.0 2.0 5.5</w:t>
                    <w:br w:type="textWrapping"/>
                    <w:t xml:space="preserve">6.0 1.0 3.0 8.4</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w:t>
                    <w:br w:type="textWrapping"/>
                    <w:t xml:space="preserve">8</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8P0Ld/KoG67tRqqlycDVEuOtbg==">AMUW2mXhqvqrp0HJwk1knDxxNRuQYCJQHOgwFQRtgFPWGLeNyxrOst8WcrYl2fQjkZYLOsYiE0stz4eb7xt7wKZSdLDMYchlo8CdFaOiw/+0AjKRuFKTI5E=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